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D02" w:rsidRPr="005C3D30" w:rsidRDefault="00AC6D02" w:rsidP="006F07E0">
      <w:pPr>
        <w:jc w:val="center"/>
        <w:rPr>
          <w:b/>
          <w:szCs w:val="22"/>
        </w:rPr>
      </w:pPr>
      <w:r w:rsidRPr="005C3D30">
        <w:rPr>
          <w:b/>
          <w:noProof/>
          <w:szCs w:val="22"/>
        </w:rPr>
        <w:drawing>
          <wp:inline distT="0" distB="0" distL="0" distR="0" wp14:anchorId="0238A127" wp14:editId="518B1857">
            <wp:extent cx="1638300" cy="1661375"/>
            <wp:effectExtent l="19050" t="0" r="0" b="0"/>
            <wp:docPr id="4" name="Picture 1" descr="newea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eagl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017" cy="1664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D02" w:rsidRPr="005C3D30" w:rsidRDefault="00AC6D02" w:rsidP="00AC6D02">
      <w:pPr>
        <w:jc w:val="center"/>
        <w:rPr>
          <w:b/>
          <w:szCs w:val="22"/>
        </w:rPr>
      </w:pPr>
    </w:p>
    <w:p w:rsidR="00AC6D02" w:rsidRPr="00926BF0" w:rsidRDefault="00AC6D02" w:rsidP="005C0758">
      <w:pPr>
        <w:jc w:val="center"/>
        <w:rPr>
          <w:b/>
          <w:sz w:val="36"/>
          <w:szCs w:val="36"/>
        </w:rPr>
      </w:pPr>
      <w:r w:rsidRPr="00926BF0">
        <w:rPr>
          <w:b/>
          <w:sz w:val="36"/>
          <w:szCs w:val="36"/>
        </w:rPr>
        <w:t xml:space="preserve">New Mexico Public Education </w:t>
      </w:r>
      <w:r w:rsidR="00021237">
        <w:rPr>
          <w:b/>
          <w:sz w:val="36"/>
          <w:szCs w:val="36"/>
        </w:rPr>
        <w:t>Department</w:t>
      </w:r>
    </w:p>
    <w:p w:rsidR="005D1A8F" w:rsidRPr="00926BF0" w:rsidRDefault="005D1A8F" w:rsidP="005D1A8F">
      <w:pPr>
        <w:jc w:val="center"/>
        <w:rPr>
          <w:b/>
          <w:sz w:val="36"/>
          <w:szCs w:val="36"/>
        </w:rPr>
      </w:pPr>
    </w:p>
    <w:p w:rsidR="005D1A8F" w:rsidRDefault="00021237" w:rsidP="005D1A8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New Mexico Charter School Program Competitive Subgrant Phase I Application</w:t>
      </w:r>
      <w:r w:rsidR="00C034FC">
        <w:rPr>
          <w:b/>
          <w:sz w:val="36"/>
          <w:szCs w:val="36"/>
        </w:rPr>
        <w:t xml:space="preserve"> - 2018</w:t>
      </w:r>
    </w:p>
    <w:p w:rsidR="00021237" w:rsidRPr="00926BF0" w:rsidRDefault="00021237" w:rsidP="005D1A8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New Schools</w:t>
      </w:r>
    </w:p>
    <w:p w:rsidR="005D1A8F" w:rsidRPr="005C3D30" w:rsidRDefault="00AC6D02">
      <w:pPr>
        <w:spacing w:after="200" w:line="276" w:lineRule="auto"/>
        <w:rPr>
          <w:b/>
          <w:smallCaps/>
          <w:szCs w:val="22"/>
        </w:rPr>
      </w:pPr>
      <w:r w:rsidRPr="005C3D30">
        <w:rPr>
          <w:b/>
          <w:smallCaps/>
          <w:noProof/>
          <w:szCs w:val="22"/>
        </w:rPr>
        <w:drawing>
          <wp:anchor distT="0" distB="0" distL="114300" distR="114300" simplePos="0" relativeHeight="251659264" behindDoc="0" locked="0" layoutInCell="1" allowOverlap="1" wp14:anchorId="6031A885" wp14:editId="6C1AE67B">
            <wp:simplePos x="0" y="0"/>
            <wp:positionH relativeFrom="column">
              <wp:posOffset>21590</wp:posOffset>
            </wp:positionH>
            <wp:positionV relativeFrom="paragraph">
              <wp:posOffset>180340</wp:posOffset>
            </wp:positionV>
            <wp:extent cx="5619519" cy="4118726"/>
            <wp:effectExtent l="190500" t="190500" r="400685" b="377190"/>
            <wp:wrapNone/>
            <wp:docPr id="5" name="Picture 4" descr="MP90043932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P900439327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519" cy="4118726"/>
                    </a:xfrm>
                    <a:prstGeom prst="rect">
                      <a:avLst/>
                    </a:prstGeom>
                    <a:ln>
                      <a:solidFill>
                        <a:schemeClr val="tx2">
                          <a:lumMod val="50000"/>
                        </a:schemeClr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5D1A8F" w:rsidRPr="005C3D30" w:rsidRDefault="005D1A8F">
      <w:pPr>
        <w:spacing w:after="200" w:line="276" w:lineRule="auto"/>
        <w:rPr>
          <w:b/>
          <w:smallCaps/>
          <w:szCs w:val="22"/>
        </w:rPr>
      </w:pPr>
    </w:p>
    <w:p w:rsidR="005D1A8F" w:rsidRPr="005C3D30" w:rsidRDefault="005D1A8F">
      <w:pPr>
        <w:spacing w:after="200" w:line="276" w:lineRule="auto"/>
        <w:rPr>
          <w:b/>
          <w:smallCaps/>
          <w:szCs w:val="22"/>
        </w:rPr>
      </w:pPr>
    </w:p>
    <w:p w:rsidR="005D1A8F" w:rsidRPr="005C3D30" w:rsidRDefault="005D1A8F">
      <w:pPr>
        <w:spacing w:after="200" w:line="276" w:lineRule="auto"/>
        <w:rPr>
          <w:b/>
          <w:smallCaps/>
          <w:szCs w:val="22"/>
        </w:rPr>
      </w:pPr>
    </w:p>
    <w:p w:rsidR="005D1A8F" w:rsidRPr="005C3D30" w:rsidRDefault="005D1A8F">
      <w:pPr>
        <w:spacing w:after="200" w:line="276" w:lineRule="auto"/>
        <w:rPr>
          <w:b/>
          <w:smallCaps/>
          <w:szCs w:val="22"/>
        </w:rPr>
      </w:pPr>
    </w:p>
    <w:p w:rsidR="005D1A8F" w:rsidRPr="005C3D30" w:rsidRDefault="005D1A8F">
      <w:pPr>
        <w:spacing w:after="200" w:line="276" w:lineRule="auto"/>
        <w:rPr>
          <w:b/>
          <w:smallCaps/>
          <w:szCs w:val="22"/>
        </w:rPr>
      </w:pPr>
    </w:p>
    <w:p w:rsidR="005D1A8F" w:rsidRPr="005C3D30" w:rsidRDefault="005D1A8F">
      <w:pPr>
        <w:spacing w:after="200" w:line="276" w:lineRule="auto"/>
        <w:rPr>
          <w:b/>
          <w:smallCaps/>
          <w:szCs w:val="22"/>
        </w:rPr>
      </w:pPr>
    </w:p>
    <w:p w:rsidR="005D1A8F" w:rsidRPr="005C3D30" w:rsidRDefault="005D1A8F">
      <w:pPr>
        <w:spacing w:after="200" w:line="276" w:lineRule="auto"/>
        <w:rPr>
          <w:b/>
          <w:smallCaps/>
          <w:szCs w:val="22"/>
        </w:rPr>
      </w:pPr>
    </w:p>
    <w:p w:rsidR="005D1A8F" w:rsidRPr="005C3D30" w:rsidRDefault="005D1A8F">
      <w:pPr>
        <w:spacing w:after="200" w:line="276" w:lineRule="auto"/>
        <w:rPr>
          <w:b/>
          <w:smallCaps/>
          <w:szCs w:val="22"/>
        </w:rPr>
      </w:pPr>
    </w:p>
    <w:p w:rsidR="005D1A8F" w:rsidRPr="005C3D30" w:rsidRDefault="005D1A8F">
      <w:pPr>
        <w:spacing w:after="200" w:line="276" w:lineRule="auto"/>
        <w:rPr>
          <w:b/>
          <w:smallCaps/>
          <w:szCs w:val="22"/>
        </w:rPr>
      </w:pPr>
    </w:p>
    <w:p w:rsidR="005D1A8F" w:rsidRPr="005C3D30" w:rsidRDefault="005D1A8F">
      <w:pPr>
        <w:spacing w:after="200" w:line="276" w:lineRule="auto"/>
        <w:rPr>
          <w:b/>
          <w:smallCaps/>
          <w:szCs w:val="22"/>
        </w:rPr>
      </w:pPr>
    </w:p>
    <w:p w:rsidR="005D1A8F" w:rsidRPr="005C3D30" w:rsidRDefault="005D1A8F">
      <w:pPr>
        <w:spacing w:after="200" w:line="276" w:lineRule="auto"/>
        <w:rPr>
          <w:b/>
          <w:smallCaps/>
          <w:szCs w:val="22"/>
        </w:rPr>
      </w:pPr>
    </w:p>
    <w:p w:rsidR="005D1A8F" w:rsidRPr="005C3D30" w:rsidRDefault="005D1A8F">
      <w:pPr>
        <w:spacing w:after="200" w:line="276" w:lineRule="auto"/>
        <w:rPr>
          <w:b/>
          <w:smallCaps/>
          <w:szCs w:val="22"/>
        </w:rPr>
      </w:pPr>
    </w:p>
    <w:p w:rsidR="009B46BD" w:rsidRDefault="009B46BD" w:rsidP="00021237">
      <w:pPr>
        <w:spacing w:after="200" w:line="276" w:lineRule="auto"/>
        <w:rPr>
          <w:b/>
          <w:szCs w:val="22"/>
        </w:rPr>
      </w:pPr>
    </w:p>
    <w:p w:rsidR="00892DC2" w:rsidRDefault="00557B02" w:rsidP="001642A8">
      <w:pPr>
        <w:spacing w:after="200" w:line="276" w:lineRule="auto"/>
        <w:jc w:val="center"/>
        <w:rPr>
          <w:b/>
          <w:szCs w:val="22"/>
        </w:rPr>
      </w:pPr>
      <w:r w:rsidRPr="009B46BD">
        <w:rPr>
          <w:b/>
          <w:szCs w:val="22"/>
        </w:rPr>
        <w:br w:type="page"/>
      </w:r>
    </w:p>
    <w:p w:rsidR="00067ED6" w:rsidRPr="001642A8" w:rsidRDefault="00067ED6" w:rsidP="001642A8">
      <w:pPr>
        <w:pStyle w:val="Heading1"/>
        <w:rPr>
          <w:rFonts w:asciiTheme="minorHAnsi" w:hAnsiTheme="minorHAnsi"/>
          <w:color w:val="auto"/>
        </w:rPr>
      </w:pPr>
      <w:r w:rsidRPr="001642A8">
        <w:rPr>
          <w:rFonts w:asciiTheme="minorHAnsi" w:hAnsiTheme="minorHAnsi"/>
          <w:color w:val="auto"/>
        </w:rPr>
        <w:lastRenderedPageBreak/>
        <w:t>Directions:</w:t>
      </w:r>
      <w:r w:rsidR="008D3965" w:rsidRPr="001642A8">
        <w:rPr>
          <w:rFonts w:asciiTheme="minorHAnsi" w:hAnsiTheme="minorHAnsi"/>
          <w:color w:val="auto"/>
        </w:rPr>
        <w:t xml:space="preserve"> </w:t>
      </w:r>
    </w:p>
    <w:p w:rsidR="001642A8" w:rsidRDefault="001642A8" w:rsidP="00067ED6"/>
    <w:p w:rsidR="001642A8" w:rsidRDefault="001642A8" w:rsidP="001642A8">
      <w:r>
        <w:t>In the first phase, applicants must submit a new charter school application</w:t>
      </w:r>
      <w:r w:rsidRPr="00E50A7A">
        <w:t xml:space="preserve"> to operate a charter school</w:t>
      </w:r>
      <w:r>
        <w:t xml:space="preserve"> to </w:t>
      </w:r>
      <w:r w:rsidRPr="00E50A7A">
        <w:t xml:space="preserve">an authorized public chartering authority in New Mexico and </w:t>
      </w:r>
      <w:r>
        <w:t xml:space="preserve">the applicant must have </w:t>
      </w:r>
      <w:r w:rsidRPr="00E50A7A">
        <w:t>provided adequate and timely notice to that authorized public chartering authority</w:t>
      </w:r>
      <w:r>
        <w:t>.</w:t>
      </w:r>
    </w:p>
    <w:p w:rsidR="001642A8" w:rsidRDefault="001642A8" w:rsidP="001642A8"/>
    <w:p w:rsidR="001642A8" w:rsidRDefault="001642A8" w:rsidP="001642A8">
      <w:r w:rsidRPr="001642A8">
        <w:rPr>
          <w:u w:val="single"/>
        </w:rPr>
        <w:t>Applicants who submit to an authorized public chartering authority other than the Public Education Commission will need to ensure the NMCSP program manager receives a copy of the application.</w:t>
      </w:r>
      <w:r>
        <w:t xml:space="preserve"> </w:t>
      </w:r>
    </w:p>
    <w:p w:rsidR="001642A8" w:rsidRDefault="001642A8" w:rsidP="001642A8"/>
    <w:p w:rsidR="001642A8" w:rsidRDefault="001642A8" w:rsidP="001642A8">
      <w:pPr>
        <w:pStyle w:val="ListParagraph"/>
        <w:numPr>
          <w:ilvl w:val="0"/>
          <w:numId w:val="47"/>
        </w:numPr>
      </w:pPr>
      <w:r>
        <w:t xml:space="preserve">To request SharePoint credentials for the purpose of submitting an application, please email </w:t>
      </w:r>
      <w:hyperlink r:id="rId12" w:history="1">
        <w:r w:rsidRPr="008A2D66">
          <w:rPr>
            <w:rStyle w:val="Hyperlink"/>
          </w:rPr>
          <w:t>charter.schools@state.nm.us</w:t>
        </w:r>
      </w:hyperlink>
      <w:r>
        <w:t xml:space="preserve"> .</w:t>
      </w:r>
    </w:p>
    <w:p w:rsidR="001642A8" w:rsidRPr="001642A8" w:rsidRDefault="001642A8" w:rsidP="001642A8"/>
    <w:p w:rsidR="001642A8" w:rsidRPr="001642A8" w:rsidRDefault="001642A8" w:rsidP="001642A8">
      <w:pPr>
        <w:rPr>
          <w:u w:val="single"/>
        </w:rPr>
      </w:pPr>
    </w:p>
    <w:p w:rsidR="001642A8" w:rsidRDefault="001642A8" w:rsidP="001642A8">
      <w:pPr>
        <w:spacing w:line="276" w:lineRule="auto"/>
      </w:pPr>
      <w:r>
        <w:t>The application submitted to the</w:t>
      </w:r>
      <w:r w:rsidRPr="00E50A7A">
        <w:t xml:space="preserve"> authorized public chartering authority</w:t>
      </w:r>
      <w:r>
        <w:t xml:space="preserve"> will qualify as a </w:t>
      </w:r>
      <w:r w:rsidRPr="00E50A7A">
        <w:t xml:space="preserve">New School NMCSP Subgrant Competition </w:t>
      </w:r>
      <w:r>
        <w:t xml:space="preserve">Phase 1 application </w:t>
      </w:r>
      <w:r w:rsidRPr="001642A8">
        <w:rPr>
          <w:b/>
          <w:u w:val="single"/>
        </w:rPr>
        <w:t>ONLY IF</w:t>
      </w:r>
      <w:r w:rsidRPr="001642A8">
        <w:rPr>
          <w:u w:val="single"/>
        </w:rPr>
        <w:t xml:space="preserve"> the new charter school application </w:t>
      </w:r>
      <w:r>
        <w:rPr>
          <w:u w:val="single"/>
        </w:rPr>
        <w:t>contains all of the same prompts and corresponding rubrics as the</w:t>
      </w:r>
      <w:r w:rsidRPr="001642A8">
        <w:rPr>
          <w:u w:val="single"/>
        </w:rPr>
        <w:t xml:space="preserve"> 201</w:t>
      </w:r>
      <w:r w:rsidR="00BA3853">
        <w:rPr>
          <w:u w:val="single"/>
        </w:rPr>
        <w:t>7</w:t>
      </w:r>
      <w:r w:rsidRPr="001642A8">
        <w:rPr>
          <w:u w:val="single"/>
        </w:rPr>
        <w:t xml:space="preserve"> Public Education Commission new charter school application</w:t>
      </w:r>
      <w:r>
        <w:t xml:space="preserve">.  </w:t>
      </w:r>
    </w:p>
    <w:p w:rsidR="001642A8" w:rsidRDefault="001642A8" w:rsidP="001642A8">
      <w:pPr>
        <w:pStyle w:val="ListParagraph"/>
        <w:spacing w:line="276" w:lineRule="auto"/>
        <w:contextualSpacing w:val="0"/>
      </w:pPr>
    </w:p>
    <w:p w:rsidR="001642A8" w:rsidRDefault="001642A8" w:rsidP="001642A8">
      <w:pPr>
        <w:pStyle w:val="ListParagraph"/>
        <w:numPr>
          <w:ilvl w:val="0"/>
          <w:numId w:val="45"/>
        </w:numPr>
        <w:spacing w:line="276" w:lineRule="auto"/>
        <w:contextualSpacing w:val="0"/>
      </w:pPr>
      <w:r>
        <w:t xml:space="preserve">An applicant who submits a </w:t>
      </w:r>
      <w:r w:rsidRPr="00444D49">
        <w:t>new charter school application</w:t>
      </w:r>
      <w:r>
        <w:t xml:space="preserve">, which does not contain all the same prompts and corresponding rubrics as the </w:t>
      </w:r>
      <w:r w:rsidRPr="00152ED9">
        <w:t>201</w:t>
      </w:r>
      <w:r w:rsidR="00A045CB">
        <w:t>7</w:t>
      </w:r>
      <w:r w:rsidRPr="00152ED9">
        <w:t xml:space="preserve"> Public Education Commission new charter school application</w:t>
      </w:r>
      <w:r>
        <w:t xml:space="preserve">, to an </w:t>
      </w:r>
      <w:r w:rsidRPr="00444D49">
        <w:t>authorized public chartering authority</w:t>
      </w:r>
      <w:r>
        <w:t xml:space="preserve">  other than the PEC must complete the </w:t>
      </w:r>
      <w:r w:rsidRPr="00152ED9">
        <w:t>201</w:t>
      </w:r>
      <w:r w:rsidR="00A045CB">
        <w:t>7</w:t>
      </w:r>
      <w:r w:rsidRPr="00152ED9">
        <w:t xml:space="preserve"> Public Education Commission new charter school application</w:t>
      </w:r>
      <w:r>
        <w:t xml:space="preserve"> as </w:t>
      </w:r>
      <w:r w:rsidRPr="00152ED9">
        <w:t>a New School NMCSP Subgrant Competition Phase 1 application</w:t>
      </w:r>
      <w:r>
        <w:t xml:space="preserve">. </w:t>
      </w:r>
    </w:p>
    <w:p w:rsidR="001642A8" w:rsidRDefault="001642A8" w:rsidP="001642A8"/>
    <w:p w:rsidR="001642A8" w:rsidRDefault="001642A8" w:rsidP="001642A8"/>
    <w:p w:rsidR="001642A8" w:rsidRDefault="001642A8" w:rsidP="001642A8"/>
    <w:p w:rsidR="001642A8" w:rsidRDefault="001642A8">
      <w:pPr>
        <w:spacing w:after="200" w:line="276" w:lineRule="auto"/>
        <w:rPr>
          <w:rFonts w:asciiTheme="minorHAnsi" w:eastAsiaTheme="majorEastAsia" w:hAnsiTheme="minorHAnsi" w:cstheme="majorBidi"/>
          <w:b/>
          <w:bCs/>
          <w:sz w:val="28"/>
          <w:szCs w:val="28"/>
        </w:rPr>
      </w:pPr>
      <w:r>
        <w:rPr>
          <w:rFonts w:asciiTheme="minorHAnsi" w:hAnsiTheme="minorHAnsi"/>
        </w:rPr>
        <w:br w:type="page"/>
      </w:r>
    </w:p>
    <w:p w:rsidR="001642A8" w:rsidRDefault="001642A8" w:rsidP="001642A8">
      <w:pPr>
        <w:pStyle w:val="Heading1"/>
        <w:rPr>
          <w:rFonts w:asciiTheme="minorHAnsi" w:hAnsiTheme="minorHAnsi"/>
          <w:color w:val="auto"/>
        </w:rPr>
      </w:pPr>
      <w:r w:rsidRPr="001642A8">
        <w:rPr>
          <w:rFonts w:asciiTheme="minorHAnsi" w:hAnsiTheme="minorHAnsi"/>
          <w:color w:val="auto"/>
        </w:rPr>
        <w:lastRenderedPageBreak/>
        <w:t xml:space="preserve">Scoring: </w:t>
      </w:r>
    </w:p>
    <w:p w:rsidR="001642A8" w:rsidRPr="001642A8" w:rsidRDefault="001642A8" w:rsidP="001642A8"/>
    <w:p w:rsidR="001642A8" w:rsidRDefault="001642A8" w:rsidP="001642A8">
      <w:r>
        <w:t xml:space="preserve">Phase 1 applications submitted through the Public Education Commission’s new application process will be scored through that evaluation process.  </w:t>
      </w:r>
    </w:p>
    <w:p w:rsidR="001642A8" w:rsidRDefault="001642A8" w:rsidP="001642A8"/>
    <w:p w:rsidR="001642A8" w:rsidRDefault="001642A8" w:rsidP="001642A8">
      <w:r w:rsidRPr="00152ED9">
        <w:t xml:space="preserve">Phase 1 applications submitted through </w:t>
      </w:r>
      <w:r>
        <w:t xml:space="preserve">a different authorized public chartering authority’s </w:t>
      </w:r>
      <w:r w:rsidRPr="00152ED9">
        <w:t>new application process will</w:t>
      </w:r>
      <w:r>
        <w:t xml:space="preserve"> be evaluated by the NMCSP using the same evaluation process as the Public Education Commission’s </w:t>
      </w:r>
      <w:r w:rsidRPr="00E61E6F">
        <w:t>new application</w:t>
      </w:r>
      <w:r>
        <w:t xml:space="preserve"> evaluation</w:t>
      </w:r>
      <w:r w:rsidRPr="00E61E6F">
        <w:t xml:space="preserve"> process</w:t>
      </w:r>
      <w:r>
        <w:t xml:space="preserve">.  </w:t>
      </w:r>
    </w:p>
    <w:p w:rsidR="001642A8" w:rsidRDefault="001642A8" w:rsidP="001642A8"/>
    <w:p w:rsidR="001642A8" w:rsidRDefault="001642A8" w:rsidP="001642A8">
      <w:pPr>
        <w:pStyle w:val="ListParagraph"/>
        <w:numPr>
          <w:ilvl w:val="0"/>
          <w:numId w:val="45"/>
        </w:numPr>
      </w:pPr>
      <w:r>
        <w:t xml:space="preserve">This process includes the use of a consensus review by a peer review team—including one licensed NM teacher, one licensed NM business official, one licensed NM administrator, and one </w:t>
      </w:r>
      <w:r w:rsidRPr="00E61E6F">
        <w:t>former or current charter school authorizer or authorizing staff, or high level education policy expert</w:t>
      </w:r>
      <w:r>
        <w:t>—selected through a rigorous evaluation process.</w:t>
      </w:r>
    </w:p>
    <w:p w:rsidR="001642A8" w:rsidRDefault="001642A8" w:rsidP="001642A8"/>
    <w:p w:rsidR="001642A8" w:rsidRDefault="001642A8" w:rsidP="001642A8">
      <w:r>
        <w:t xml:space="preserve">The Phase 1 application will also include attendance by NMCSP program staff at the community input hearing held by the </w:t>
      </w:r>
      <w:r w:rsidRPr="000C6EDA">
        <w:t>authorized public chartering authority</w:t>
      </w:r>
      <w:r>
        <w:t xml:space="preserve"> to which the applicant submits their Phase 1 application.</w:t>
      </w:r>
    </w:p>
    <w:p w:rsidR="001642A8" w:rsidRDefault="001642A8" w:rsidP="001642A8"/>
    <w:p w:rsidR="001642A8" w:rsidRPr="001642A8" w:rsidRDefault="001642A8" w:rsidP="001642A8">
      <w:pPr>
        <w:rPr>
          <w:i/>
        </w:rPr>
      </w:pPr>
      <w:r w:rsidRPr="001642A8">
        <w:rPr>
          <w:i/>
        </w:rPr>
        <w:t xml:space="preserve">To be eligible to move to Phase 2 of the New School NMCSP Subgrant Competition, an applicant must meet the following scoring requirements for the Phase 1 application: </w:t>
      </w:r>
    </w:p>
    <w:p w:rsidR="001642A8" w:rsidRDefault="001642A8" w:rsidP="001642A8">
      <w:pPr>
        <w:pStyle w:val="ListParagraph"/>
        <w:numPr>
          <w:ilvl w:val="0"/>
          <w:numId w:val="46"/>
        </w:numPr>
        <w:spacing w:line="276" w:lineRule="auto"/>
        <w:contextualSpacing w:val="0"/>
      </w:pPr>
      <w:r w:rsidRPr="00E61E6F">
        <w:t xml:space="preserve">No response is evaluated as “Falls Far Below the Criteria”; </w:t>
      </w:r>
    </w:p>
    <w:p w:rsidR="001642A8" w:rsidRDefault="001642A8" w:rsidP="001642A8">
      <w:pPr>
        <w:pStyle w:val="ListParagraph"/>
        <w:numPr>
          <w:ilvl w:val="0"/>
          <w:numId w:val="46"/>
        </w:numPr>
        <w:spacing w:line="276" w:lineRule="auto"/>
        <w:contextualSpacing w:val="0"/>
      </w:pPr>
      <w:r w:rsidRPr="00E61E6F">
        <w:t xml:space="preserve">No more than 3 responses may be evaluated as “Approaches the Criteria” in any one section of the application; and </w:t>
      </w:r>
    </w:p>
    <w:p w:rsidR="001642A8" w:rsidRDefault="001642A8" w:rsidP="001642A8">
      <w:pPr>
        <w:pStyle w:val="ListParagraph"/>
        <w:numPr>
          <w:ilvl w:val="0"/>
          <w:numId w:val="46"/>
        </w:numPr>
        <w:spacing w:line="276" w:lineRule="auto"/>
        <w:contextualSpacing w:val="0"/>
      </w:pPr>
      <w:r>
        <w:t>T</w:t>
      </w:r>
      <w:r w:rsidRPr="00E61E6F">
        <w:t>he applicant must earn 95% of the available points or more.</w:t>
      </w:r>
    </w:p>
    <w:p w:rsidR="001642A8" w:rsidRDefault="001642A8" w:rsidP="00067ED6"/>
    <w:p w:rsidR="00835354" w:rsidRDefault="00835354" w:rsidP="00067ED6">
      <w:r>
        <w:t>Applicants that are eligible to submit a Phase II application will be notified by the CSP program manager.</w:t>
      </w:r>
    </w:p>
    <w:p w:rsidR="00835354" w:rsidRDefault="00835354" w:rsidP="00067ED6"/>
    <w:p w:rsidR="00835354" w:rsidRDefault="00835354">
      <w:pPr>
        <w:spacing w:after="200" w:line="276" w:lineRule="auto"/>
      </w:pPr>
      <w:r>
        <w:br w:type="page"/>
      </w:r>
    </w:p>
    <w:p w:rsidR="00835354" w:rsidRPr="00835354" w:rsidRDefault="00835354" w:rsidP="00835354">
      <w:pPr>
        <w:pStyle w:val="Heading1"/>
        <w:rPr>
          <w:rFonts w:asciiTheme="minorHAnsi" w:hAnsiTheme="minorHAnsi"/>
          <w:color w:val="auto"/>
        </w:rPr>
      </w:pPr>
      <w:r w:rsidRPr="00835354">
        <w:rPr>
          <w:rFonts w:asciiTheme="minorHAnsi" w:hAnsiTheme="minorHAnsi"/>
          <w:color w:val="auto"/>
        </w:rPr>
        <w:lastRenderedPageBreak/>
        <w:t>Subgrant Program Calendar</w:t>
      </w:r>
    </w:p>
    <w:p w:rsidR="00835354" w:rsidRDefault="00835354" w:rsidP="00835354">
      <w:pPr>
        <w:rPr>
          <w:b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6384"/>
      </w:tblGrid>
      <w:tr w:rsidR="00835354" w:rsidRPr="00F74DD9" w:rsidTr="00163483">
        <w:tc>
          <w:tcPr>
            <w:tcW w:w="3192" w:type="dxa"/>
            <w:tcBorders>
              <w:top w:val="nil"/>
              <w:left w:val="nil"/>
              <w:bottom w:val="thinThickSmallGap" w:sz="24" w:space="0" w:color="auto"/>
              <w:right w:val="thinThickSmallGap" w:sz="24" w:space="0" w:color="auto"/>
            </w:tcBorders>
          </w:tcPr>
          <w:p w:rsidR="00835354" w:rsidRPr="00F74DD9" w:rsidRDefault="00835354" w:rsidP="00EA1D10">
            <w:pPr>
              <w:spacing w:before="120" w:after="120"/>
              <w:rPr>
                <w:b/>
              </w:rPr>
            </w:pPr>
          </w:p>
        </w:tc>
        <w:tc>
          <w:tcPr>
            <w:tcW w:w="63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35354" w:rsidRPr="00F74DD9" w:rsidRDefault="00835354" w:rsidP="00835354">
            <w:pPr>
              <w:spacing w:before="120" w:after="120"/>
              <w:jc w:val="center"/>
              <w:rPr>
                <w:b/>
              </w:rPr>
            </w:pPr>
            <w:r w:rsidRPr="00F74DD9">
              <w:rPr>
                <w:b/>
              </w:rPr>
              <w:t>New Charters</w:t>
            </w:r>
          </w:p>
        </w:tc>
      </w:tr>
      <w:tr w:rsidR="00835354" w:rsidRPr="00F74DD9" w:rsidTr="00EA1D10">
        <w:tc>
          <w:tcPr>
            <w:tcW w:w="9576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835354" w:rsidRPr="00F74DD9" w:rsidRDefault="00835354" w:rsidP="00EA1D10">
            <w:pPr>
              <w:spacing w:before="120" w:after="120"/>
              <w:jc w:val="center"/>
              <w:rPr>
                <w:b/>
              </w:rPr>
            </w:pPr>
            <w:r w:rsidRPr="00F74DD9">
              <w:rPr>
                <w:b/>
              </w:rPr>
              <w:t>Grant Application Reviewer Selection Process</w:t>
            </w:r>
          </w:p>
        </w:tc>
      </w:tr>
      <w:tr w:rsidR="00835354" w:rsidRPr="00F74DD9" w:rsidTr="00047820">
        <w:tc>
          <w:tcPr>
            <w:tcW w:w="3192" w:type="dxa"/>
            <w:tcBorders>
              <w:left w:val="thinThickSmallGap" w:sz="24" w:space="0" w:color="auto"/>
            </w:tcBorders>
            <w:vAlign w:val="center"/>
          </w:tcPr>
          <w:p w:rsidR="00835354" w:rsidRPr="00F74DD9" w:rsidRDefault="00835354" w:rsidP="00EA1D10">
            <w:pPr>
              <w:spacing w:before="120" w:after="120"/>
            </w:pPr>
            <w:r w:rsidRPr="00F74DD9">
              <w:t>PED Releases RFI for Grant Application Reviewers</w:t>
            </w:r>
          </w:p>
        </w:tc>
        <w:tc>
          <w:tcPr>
            <w:tcW w:w="6384" w:type="dxa"/>
            <w:tcBorders>
              <w:right w:val="thinThickSmallGap" w:sz="24" w:space="0" w:color="auto"/>
            </w:tcBorders>
            <w:vAlign w:val="center"/>
          </w:tcPr>
          <w:p w:rsidR="00835354" w:rsidRPr="00F74DD9" w:rsidRDefault="00BA3853" w:rsidP="00BA3853">
            <w:pPr>
              <w:spacing w:before="120" w:after="120"/>
              <w:jc w:val="center"/>
            </w:pPr>
            <w:r>
              <w:t>February 7</w:t>
            </w:r>
          </w:p>
        </w:tc>
      </w:tr>
      <w:tr w:rsidR="00835354" w:rsidRPr="00F74DD9" w:rsidTr="00F32946">
        <w:tc>
          <w:tcPr>
            <w:tcW w:w="3192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835354" w:rsidRPr="00F74DD9" w:rsidRDefault="00835354" w:rsidP="00EA1D10">
            <w:pPr>
              <w:spacing w:before="120" w:after="120"/>
            </w:pPr>
            <w:r w:rsidRPr="00F74DD9">
              <w:t>Interested Grant Application Reviewers Submit Resumes and Statements of Interest</w:t>
            </w:r>
          </w:p>
        </w:tc>
        <w:tc>
          <w:tcPr>
            <w:tcW w:w="6384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35354" w:rsidRPr="00F74DD9" w:rsidRDefault="00BA3853" w:rsidP="00BA3853">
            <w:pPr>
              <w:spacing w:before="120" w:after="120"/>
              <w:jc w:val="center"/>
            </w:pPr>
            <w:r>
              <w:t>February 16</w:t>
            </w:r>
          </w:p>
        </w:tc>
      </w:tr>
      <w:tr w:rsidR="00835354" w:rsidRPr="00F74DD9" w:rsidTr="009A3542">
        <w:tc>
          <w:tcPr>
            <w:tcW w:w="3192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835354" w:rsidRPr="00F74DD9" w:rsidRDefault="00835354" w:rsidP="00EA1D10">
            <w:pPr>
              <w:spacing w:before="120" w:after="120"/>
            </w:pPr>
            <w:r w:rsidRPr="00F74DD9">
              <w:t xml:space="preserve">PED Directors Review Potential Grant Application Reviewers </w:t>
            </w:r>
          </w:p>
        </w:tc>
        <w:tc>
          <w:tcPr>
            <w:tcW w:w="6384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35354" w:rsidRPr="00F74DD9" w:rsidRDefault="00BA3853" w:rsidP="00BA3853">
            <w:pPr>
              <w:spacing w:before="120" w:after="120"/>
              <w:jc w:val="center"/>
            </w:pPr>
            <w:r>
              <w:t>February 16</w:t>
            </w:r>
            <w:r w:rsidR="00835354" w:rsidRPr="00F74DD9">
              <w:t xml:space="preserve">– </w:t>
            </w:r>
            <w:r>
              <w:t>February 23</w:t>
            </w:r>
          </w:p>
        </w:tc>
      </w:tr>
      <w:tr w:rsidR="00835354" w:rsidRPr="00F74DD9" w:rsidTr="0073480C">
        <w:tc>
          <w:tcPr>
            <w:tcW w:w="3192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835354" w:rsidRPr="00F74DD9" w:rsidRDefault="00835354" w:rsidP="00EA1D10">
            <w:pPr>
              <w:spacing w:before="120" w:after="120"/>
            </w:pPr>
            <w:r w:rsidRPr="00F74DD9">
              <w:t>Selections of Grant Application Reviewers Finalized</w:t>
            </w:r>
          </w:p>
        </w:tc>
        <w:tc>
          <w:tcPr>
            <w:tcW w:w="6384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35354" w:rsidRPr="00F74DD9" w:rsidRDefault="00BA3853" w:rsidP="00BA3853">
            <w:pPr>
              <w:spacing w:before="120" w:after="120"/>
              <w:jc w:val="center"/>
            </w:pPr>
            <w:r>
              <w:t>February 23</w:t>
            </w:r>
          </w:p>
        </w:tc>
      </w:tr>
      <w:tr w:rsidR="00835354" w:rsidRPr="00F74DD9" w:rsidTr="00EA1D10">
        <w:tc>
          <w:tcPr>
            <w:tcW w:w="9576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835354" w:rsidRPr="00F74DD9" w:rsidRDefault="00835354" w:rsidP="00EA1D10">
            <w:pPr>
              <w:spacing w:before="120" w:after="120"/>
              <w:jc w:val="center"/>
              <w:rPr>
                <w:b/>
              </w:rPr>
            </w:pPr>
            <w:r w:rsidRPr="00F74DD9">
              <w:rPr>
                <w:b/>
              </w:rPr>
              <w:t>Grant Application/RFA Process</w:t>
            </w:r>
          </w:p>
        </w:tc>
      </w:tr>
      <w:tr w:rsidR="00835354" w:rsidRPr="00F74DD9" w:rsidTr="00054FBE">
        <w:tc>
          <w:tcPr>
            <w:tcW w:w="3192" w:type="dxa"/>
            <w:tcBorders>
              <w:left w:val="thinThickSmallGap" w:sz="24" w:space="0" w:color="auto"/>
            </w:tcBorders>
            <w:vAlign w:val="center"/>
          </w:tcPr>
          <w:p w:rsidR="00835354" w:rsidRPr="00F74DD9" w:rsidRDefault="00835354" w:rsidP="00EA1D10">
            <w:pPr>
              <w:spacing w:before="120" w:after="120"/>
            </w:pPr>
            <w:r w:rsidRPr="00F74DD9">
              <w:t>PED Releases Subgrant RFA</w:t>
            </w:r>
          </w:p>
        </w:tc>
        <w:tc>
          <w:tcPr>
            <w:tcW w:w="6384" w:type="dxa"/>
            <w:tcBorders>
              <w:right w:val="thinThickSmallGap" w:sz="24" w:space="0" w:color="auto"/>
            </w:tcBorders>
            <w:vAlign w:val="center"/>
          </w:tcPr>
          <w:p w:rsidR="00835354" w:rsidRPr="00F74DD9" w:rsidRDefault="00BA3853" w:rsidP="00EA1D10">
            <w:pPr>
              <w:spacing w:before="120" w:after="120"/>
              <w:jc w:val="center"/>
            </w:pPr>
            <w:r>
              <w:t xml:space="preserve">February </w:t>
            </w:r>
            <w:r w:rsidR="00835354" w:rsidRPr="00F74DD9">
              <w:t xml:space="preserve"> 15</w:t>
            </w:r>
          </w:p>
        </w:tc>
      </w:tr>
      <w:tr w:rsidR="00835354" w:rsidRPr="00F74DD9" w:rsidTr="003E0222">
        <w:tc>
          <w:tcPr>
            <w:tcW w:w="3192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835354" w:rsidRPr="00F74DD9" w:rsidRDefault="00835354" w:rsidP="00EA1D10">
            <w:pPr>
              <w:spacing w:before="120" w:after="120"/>
            </w:pPr>
            <w:r w:rsidRPr="00F74DD9">
              <w:t>RFA Responses Due to PED</w:t>
            </w:r>
          </w:p>
        </w:tc>
        <w:tc>
          <w:tcPr>
            <w:tcW w:w="6384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35354" w:rsidRPr="00F74DD9" w:rsidRDefault="00835354" w:rsidP="00835354">
            <w:pPr>
              <w:spacing w:before="120" w:after="120"/>
              <w:ind w:left="408"/>
              <w:jc w:val="center"/>
            </w:pPr>
            <w:r w:rsidRPr="00F74DD9">
              <w:t xml:space="preserve">Phase I – </w:t>
            </w:r>
            <w:r w:rsidR="00BA3853">
              <w:t>February 2</w:t>
            </w:r>
            <w:r w:rsidR="00440DF1">
              <w:t>3</w:t>
            </w:r>
          </w:p>
          <w:p w:rsidR="00835354" w:rsidRPr="00F74DD9" w:rsidRDefault="00835354" w:rsidP="00BA3853">
            <w:pPr>
              <w:spacing w:before="120" w:after="120"/>
              <w:ind w:left="408"/>
              <w:jc w:val="center"/>
            </w:pPr>
            <w:r w:rsidRPr="00F74DD9">
              <w:t xml:space="preserve">Phase II – </w:t>
            </w:r>
            <w:r w:rsidR="00BA3853">
              <w:t>March</w:t>
            </w:r>
            <w:r w:rsidRPr="00F74DD9">
              <w:t xml:space="preserve"> 1</w:t>
            </w:r>
            <w:r w:rsidR="00BA3853">
              <w:t>5</w:t>
            </w:r>
          </w:p>
        </w:tc>
      </w:tr>
      <w:tr w:rsidR="00835354" w:rsidRPr="00F74DD9" w:rsidTr="00767143">
        <w:tc>
          <w:tcPr>
            <w:tcW w:w="3192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835354" w:rsidRPr="00F74DD9" w:rsidRDefault="00835354" w:rsidP="00EA1D10">
            <w:pPr>
              <w:spacing w:before="120" w:after="120"/>
            </w:pPr>
            <w:r w:rsidRPr="00F74DD9">
              <w:t>RFA Responses Evaluated</w:t>
            </w:r>
          </w:p>
        </w:tc>
        <w:tc>
          <w:tcPr>
            <w:tcW w:w="6384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35354" w:rsidRPr="00F74DD9" w:rsidRDefault="00835354" w:rsidP="00835354">
            <w:pPr>
              <w:spacing w:before="120" w:after="120"/>
              <w:ind w:left="408"/>
              <w:jc w:val="center"/>
            </w:pPr>
            <w:r w:rsidRPr="00F74DD9">
              <w:t xml:space="preserve">Phase I – </w:t>
            </w:r>
            <w:r w:rsidR="00BA3853">
              <w:t>February 2</w:t>
            </w:r>
            <w:r w:rsidR="00440DF1">
              <w:t>3</w:t>
            </w:r>
            <w:r w:rsidR="00BA3853">
              <w:t xml:space="preserve"> – March 1</w:t>
            </w:r>
            <w:r w:rsidR="005224FC">
              <w:t>0</w:t>
            </w:r>
          </w:p>
          <w:p w:rsidR="00835354" w:rsidRPr="00F74DD9" w:rsidRDefault="00835354" w:rsidP="00BA3853">
            <w:pPr>
              <w:spacing w:before="120" w:after="120"/>
              <w:ind w:left="408"/>
              <w:jc w:val="center"/>
            </w:pPr>
            <w:r w:rsidRPr="00F74DD9">
              <w:t xml:space="preserve">Phase II – </w:t>
            </w:r>
            <w:r w:rsidR="00BA3853">
              <w:t>March 15 – March 30</w:t>
            </w:r>
          </w:p>
        </w:tc>
      </w:tr>
      <w:tr w:rsidR="00835354" w:rsidRPr="00F74DD9" w:rsidTr="00F67D15">
        <w:tc>
          <w:tcPr>
            <w:tcW w:w="3192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835354" w:rsidRPr="00F74DD9" w:rsidRDefault="00835354" w:rsidP="00EA1D10">
            <w:pPr>
              <w:spacing w:before="120" w:after="120"/>
            </w:pPr>
            <w:r w:rsidRPr="00F74DD9">
              <w:t>Notification of Eligibility to Move to Phase II</w:t>
            </w:r>
          </w:p>
        </w:tc>
        <w:tc>
          <w:tcPr>
            <w:tcW w:w="6384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35354" w:rsidRPr="00F74DD9" w:rsidRDefault="00BA3853" w:rsidP="005224FC">
            <w:pPr>
              <w:spacing w:before="120" w:after="120"/>
              <w:jc w:val="center"/>
            </w:pPr>
            <w:r>
              <w:t>March</w:t>
            </w:r>
            <w:r w:rsidR="00835354" w:rsidRPr="00F74DD9">
              <w:t xml:space="preserve"> </w:t>
            </w:r>
            <w:r>
              <w:t>1</w:t>
            </w:r>
            <w:r w:rsidR="005224FC">
              <w:t>0</w:t>
            </w:r>
          </w:p>
        </w:tc>
      </w:tr>
      <w:tr w:rsidR="00835354" w:rsidRPr="00F74DD9" w:rsidTr="00285066">
        <w:tc>
          <w:tcPr>
            <w:tcW w:w="3192" w:type="dxa"/>
            <w:tcBorders>
              <w:left w:val="thinThickSmallGap" w:sz="24" w:space="0" w:color="auto"/>
            </w:tcBorders>
            <w:vAlign w:val="center"/>
          </w:tcPr>
          <w:p w:rsidR="00835354" w:rsidRPr="00F74DD9" w:rsidRDefault="00835354" w:rsidP="00EA1D10">
            <w:pPr>
              <w:spacing w:before="120" w:after="120"/>
            </w:pPr>
            <w:r w:rsidRPr="00F74DD9">
              <w:t>Behavioral Event Interviews</w:t>
            </w:r>
          </w:p>
        </w:tc>
        <w:tc>
          <w:tcPr>
            <w:tcW w:w="6384" w:type="dxa"/>
            <w:tcBorders>
              <w:right w:val="thinThickSmallGap" w:sz="24" w:space="0" w:color="auto"/>
            </w:tcBorders>
            <w:vAlign w:val="center"/>
          </w:tcPr>
          <w:p w:rsidR="00835354" w:rsidRPr="00F74DD9" w:rsidRDefault="00BA3853" w:rsidP="00E74AD4">
            <w:pPr>
              <w:spacing w:before="120" w:after="120"/>
              <w:jc w:val="center"/>
            </w:pPr>
            <w:r>
              <w:t xml:space="preserve">February </w:t>
            </w:r>
            <w:r w:rsidR="00E74AD4">
              <w:t>and March</w:t>
            </w:r>
          </w:p>
        </w:tc>
      </w:tr>
      <w:tr w:rsidR="00835354" w:rsidRPr="00F74DD9" w:rsidTr="00604330">
        <w:tc>
          <w:tcPr>
            <w:tcW w:w="3192" w:type="dxa"/>
            <w:tcBorders>
              <w:left w:val="thinThickSmallGap" w:sz="24" w:space="0" w:color="auto"/>
            </w:tcBorders>
            <w:vAlign w:val="center"/>
          </w:tcPr>
          <w:p w:rsidR="00835354" w:rsidRPr="00F74DD9" w:rsidRDefault="00835354" w:rsidP="00EA1D10">
            <w:pPr>
              <w:spacing w:before="120" w:after="120"/>
            </w:pPr>
            <w:r w:rsidRPr="00F74DD9">
              <w:t>Community Input Hearings</w:t>
            </w:r>
            <w:r w:rsidR="00BA3853">
              <w:t xml:space="preserve"> Reviewed and Evaluated</w:t>
            </w:r>
          </w:p>
        </w:tc>
        <w:tc>
          <w:tcPr>
            <w:tcW w:w="6384" w:type="dxa"/>
            <w:tcBorders>
              <w:right w:val="thinThickSmallGap" w:sz="24" w:space="0" w:color="auto"/>
            </w:tcBorders>
            <w:vAlign w:val="center"/>
          </w:tcPr>
          <w:p w:rsidR="00835354" w:rsidRPr="00F74DD9" w:rsidRDefault="00BA3853" w:rsidP="00440DF1">
            <w:pPr>
              <w:spacing w:before="120" w:after="120"/>
              <w:jc w:val="center"/>
            </w:pPr>
            <w:r>
              <w:t>February 2</w:t>
            </w:r>
            <w:r w:rsidR="00440DF1">
              <w:t>3</w:t>
            </w:r>
            <w:r>
              <w:t xml:space="preserve"> – March 30</w:t>
            </w:r>
          </w:p>
        </w:tc>
      </w:tr>
      <w:tr w:rsidR="00835354" w:rsidRPr="00F74DD9" w:rsidTr="008F00F2">
        <w:tc>
          <w:tcPr>
            <w:tcW w:w="3192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835354" w:rsidRPr="00F74DD9" w:rsidRDefault="00835354" w:rsidP="00EA1D10">
            <w:pPr>
              <w:spacing w:before="120" w:after="120"/>
            </w:pPr>
            <w:r w:rsidRPr="00F74DD9">
              <w:t>Awards Announced</w:t>
            </w:r>
          </w:p>
        </w:tc>
        <w:tc>
          <w:tcPr>
            <w:tcW w:w="6384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35354" w:rsidRPr="00F74DD9" w:rsidRDefault="00BA3853" w:rsidP="00BA3853">
            <w:pPr>
              <w:spacing w:before="120" w:after="120"/>
              <w:jc w:val="center"/>
            </w:pPr>
            <w:r>
              <w:t>April 1</w:t>
            </w:r>
          </w:p>
        </w:tc>
      </w:tr>
    </w:tbl>
    <w:p w:rsidR="00835354" w:rsidRPr="00F74DD9" w:rsidRDefault="00835354" w:rsidP="00835354">
      <w:r w:rsidRPr="00F74DD9">
        <w:t xml:space="preserve"> </w:t>
      </w:r>
    </w:p>
    <w:p w:rsidR="00835354" w:rsidRDefault="00835354" w:rsidP="00835354">
      <w:pPr>
        <w:rPr>
          <w:b/>
          <w:sz w:val="32"/>
        </w:rPr>
      </w:pPr>
    </w:p>
    <w:p w:rsidR="00835354" w:rsidRPr="00067ED6" w:rsidRDefault="00835354" w:rsidP="00067ED6">
      <w:bookmarkStart w:id="0" w:name="_GoBack"/>
      <w:bookmarkEnd w:id="0"/>
    </w:p>
    <w:sectPr w:rsidR="00835354" w:rsidRPr="00067ED6" w:rsidSect="001642A8">
      <w:type w:val="continuous"/>
      <w:pgSz w:w="12240" w:h="15840"/>
      <w:pgMar w:top="1440" w:right="1440" w:bottom="99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E79" w:rsidRDefault="00581E79" w:rsidP="004E7B34">
      <w:r>
        <w:separator/>
      </w:r>
    </w:p>
  </w:endnote>
  <w:endnote w:type="continuationSeparator" w:id="0">
    <w:p w:rsidR="00581E79" w:rsidRDefault="00581E79" w:rsidP="004E7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E79" w:rsidRDefault="00581E79" w:rsidP="004E7B34">
      <w:r>
        <w:separator/>
      </w:r>
    </w:p>
  </w:footnote>
  <w:footnote w:type="continuationSeparator" w:id="0">
    <w:p w:rsidR="00581E79" w:rsidRDefault="00581E79" w:rsidP="004E7B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upperLetter"/>
      <w:lvlText w:val="%1."/>
      <w:lvlJc w:val="left"/>
      <w:pPr>
        <w:ind w:left="100" w:hanging="360"/>
      </w:pPr>
      <w:rPr>
        <w:rFonts w:ascii="Calibri" w:hAnsi="Calibri" w:cs="Calibri"/>
        <w:b/>
        <w:bCs/>
        <w:color w:val="231F20"/>
        <w:sz w:val="24"/>
        <w:szCs w:val="24"/>
      </w:rPr>
    </w:lvl>
    <w:lvl w:ilvl="1">
      <w:numFmt w:val="bullet"/>
      <w:lvlText w:val="•"/>
      <w:lvlJc w:val="left"/>
      <w:pPr>
        <w:ind w:left="1046" w:hanging="360"/>
      </w:pPr>
    </w:lvl>
    <w:lvl w:ilvl="2">
      <w:numFmt w:val="bullet"/>
      <w:lvlText w:val="•"/>
      <w:lvlJc w:val="left"/>
      <w:pPr>
        <w:ind w:left="1992" w:hanging="360"/>
      </w:pPr>
    </w:lvl>
    <w:lvl w:ilvl="3">
      <w:numFmt w:val="bullet"/>
      <w:lvlText w:val="•"/>
      <w:lvlJc w:val="left"/>
      <w:pPr>
        <w:ind w:left="2938" w:hanging="360"/>
      </w:pPr>
    </w:lvl>
    <w:lvl w:ilvl="4">
      <w:numFmt w:val="bullet"/>
      <w:lvlText w:val="•"/>
      <w:lvlJc w:val="left"/>
      <w:pPr>
        <w:ind w:left="3884" w:hanging="360"/>
      </w:pPr>
    </w:lvl>
    <w:lvl w:ilvl="5">
      <w:numFmt w:val="bullet"/>
      <w:lvlText w:val="•"/>
      <w:lvlJc w:val="left"/>
      <w:pPr>
        <w:ind w:left="4830" w:hanging="360"/>
      </w:pPr>
    </w:lvl>
    <w:lvl w:ilvl="6">
      <w:numFmt w:val="bullet"/>
      <w:lvlText w:val="•"/>
      <w:lvlJc w:val="left"/>
      <w:pPr>
        <w:ind w:left="5776" w:hanging="360"/>
      </w:pPr>
    </w:lvl>
    <w:lvl w:ilvl="7">
      <w:numFmt w:val="bullet"/>
      <w:lvlText w:val="•"/>
      <w:lvlJc w:val="left"/>
      <w:pPr>
        <w:ind w:left="6722" w:hanging="360"/>
      </w:pPr>
    </w:lvl>
    <w:lvl w:ilvl="8">
      <w:numFmt w:val="bullet"/>
      <w:lvlText w:val="•"/>
      <w:lvlJc w:val="left"/>
      <w:pPr>
        <w:ind w:left="7668" w:hanging="360"/>
      </w:pPr>
    </w:lvl>
  </w:abstractNum>
  <w:abstractNum w:abstractNumId="1">
    <w:nsid w:val="00000403"/>
    <w:multiLevelType w:val="multilevel"/>
    <w:tmpl w:val="00000886"/>
    <w:lvl w:ilvl="0">
      <w:numFmt w:val="bullet"/>
      <w:lvlText w:val=""/>
      <w:lvlJc w:val="left"/>
      <w:pPr>
        <w:ind w:left="880" w:hanging="360"/>
      </w:pPr>
      <w:rPr>
        <w:rFonts w:ascii="Symbol" w:hAnsi="Symbol" w:cs="Symbol"/>
        <w:b w:val="0"/>
        <w:bCs w:val="0"/>
        <w:color w:val="231F20"/>
        <w:sz w:val="24"/>
        <w:szCs w:val="24"/>
      </w:rPr>
    </w:lvl>
    <w:lvl w:ilvl="1">
      <w:numFmt w:val="bullet"/>
      <w:lvlText w:val="•"/>
      <w:lvlJc w:val="left"/>
      <w:pPr>
        <w:ind w:left="1748" w:hanging="360"/>
      </w:pPr>
    </w:lvl>
    <w:lvl w:ilvl="2">
      <w:numFmt w:val="bullet"/>
      <w:lvlText w:val="•"/>
      <w:lvlJc w:val="left"/>
      <w:pPr>
        <w:ind w:left="2616" w:hanging="360"/>
      </w:pPr>
    </w:lvl>
    <w:lvl w:ilvl="3">
      <w:numFmt w:val="bullet"/>
      <w:lvlText w:val="•"/>
      <w:lvlJc w:val="left"/>
      <w:pPr>
        <w:ind w:left="3484" w:hanging="360"/>
      </w:pPr>
    </w:lvl>
    <w:lvl w:ilvl="4">
      <w:numFmt w:val="bullet"/>
      <w:lvlText w:val="•"/>
      <w:lvlJc w:val="left"/>
      <w:pPr>
        <w:ind w:left="4352" w:hanging="360"/>
      </w:pPr>
    </w:lvl>
    <w:lvl w:ilvl="5">
      <w:numFmt w:val="bullet"/>
      <w:lvlText w:val="•"/>
      <w:lvlJc w:val="left"/>
      <w:pPr>
        <w:ind w:left="5220" w:hanging="360"/>
      </w:pPr>
    </w:lvl>
    <w:lvl w:ilvl="6">
      <w:numFmt w:val="bullet"/>
      <w:lvlText w:val="•"/>
      <w:lvlJc w:val="left"/>
      <w:pPr>
        <w:ind w:left="6088" w:hanging="360"/>
      </w:pPr>
    </w:lvl>
    <w:lvl w:ilvl="7">
      <w:numFmt w:val="bullet"/>
      <w:lvlText w:val="•"/>
      <w:lvlJc w:val="left"/>
      <w:pPr>
        <w:ind w:left="6956" w:hanging="360"/>
      </w:pPr>
    </w:lvl>
    <w:lvl w:ilvl="8">
      <w:numFmt w:val="bullet"/>
      <w:lvlText w:val="•"/>
      <w:lvlJc w:val="left"/>
      <w:pPr>
        <w:ind w:left="7824" w:hanging="360"/>
      </w:pPr>
    </w:lvl>
  </w:abstractNum>
  <w:abstractNum w:abstractNumId="2">
    <w:nsid w:val="00000404"/>
    <w:multiLevelType w:val="multilevel"/>
    <w:tmpl w:val="00000887"/>
    <w:lvl w:ilvl="0">
      <w:numFmt w:val="bullet"/>
      <w:lvlText w:val=""/>
      <w:lvlJc w:val="left"/>
      <w:pPr>
        <w:ind w:left="880" w:hanging="360"/>
      </w:pPr>
      <w:rPr>
        <w:rFonts w:ascii="Symbol" w:hAnsi="Symbol" w:cs="Symbol"/>
        <w:b w:val="0"/>
        <w:bCs w:val="0"/>
        <w:color w:val="231F20"/>
        <w:sz w:val="24"/>
        <w:szCs w:val="24"/>
      </w:rPr>
    </w:lvl>
    <w:lvl w:ilvl="1">
      <w:numFmt w:val="bullet"/>
      <w:lvlText w:val="•"/>
      <w:lvlJc w:val="left"/>
      <w:pPr>
        <w:ind w:left="1748" w:hanging="360"/>
      </w:pPr>
    </w:lvl>
    <w:lvl w:ilvl="2">
      <w:numFmt w:val="bullet"/>
      <w:lvlText w:val="•"/>
      <w:lvlJc w:val="left"/>
      <w:pPr>
        <w:ind w:left="2616" w:hanging="360"/>
      </w:pPr>
    </w:lvl>
    <w:lvl w:ilvl="3">
      <w:numFmt w:val="bullet"/>
      <w:lvlText w:val="•"/>
      <w:lvlJc w:val="left"/>
      <w:pPr>
        <w:ind w:left="3484" w:hanging="360"/>
      </w:pPr>
    </w:lvl>
    <w:lvl w:ilvl="4">
      <w:numFmt w:val="bullet"/>
      <w:lvlText w:val="•"/>
      <w:lvlJc w:val="left"/>
      <w:pPr>
        <w:ind w:left="4352" w:hanging="360"/>
      </w:pPr>
    </w:lvl>
    <w:lvl w:ilvl="5">
      <w:numFmt w:val="bullet"/>
      <w:lvlText w:val="•"/>
      <w:lvlJc w:val="left"/>
      <w:pPr>
        <w:ind w:left="5220" w:hanging="360"/>
      </w:pPr>
    </w:lvl>
    <w:lvl w:ilvl="6">
      <w:numFmt w:val="bullet"/>
      <w:lvlText w:val="•"/>
      <w:lvlJc w:val="left"/>
      <w:pPr>
        <w:ind w:left="6088" w:hanging="360"/>
      </w:pPr>
    </w:lvl>
    <w:lvl w:ilvl="7">
      <w:numFmt w:val="bullet"/>
      <w:lvlText w:val="•"/>
      <w:lvlJc w:val="left"/>
      <w:pPr>
        <w:ind w:left="6956" w:hanging="360"/>
      </w:pPr>
    </w:lvl>
    <w:lvl w:ilvl="8">
      <w:numFmt w:val="bullet"/>
      <w:lvlText w:val="•"/>
      <w:lvlJc w:val="left"/>
      <w:pPr>
        <w:ind w:left="7824" w:hanging="360"/>
      </w:pPr>
    </w:lvl>
  </w:abstractNum>
  <w:abstractNum w:abstractNumId="3">
    <w:nsid w:val="0057395B"/>
    <w:multiLevelType w:val="hybridMultilevel"/>
    <w:tmpl w:val="1BA03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AC5003"/>
    <w:multiLevelType w:val="hybridMultilevel"/>
    <w:tmpl w:val="BD7E2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C566E8"/>
    <w:multiLevelType w:val="hybridMultilevel"/>
    <w:tmpl w:val="33107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DA3432"/>
    <w:multiLevelType w:val="hybridMultilevel"/>
    <w:tmpl w:val="4A2CF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F15D22"/>
    <w:multiLevelType w:val="hybridMultilevel"/>
    <w:tmpl w:val="39303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F86BA0"/>
    <w:multiLevelType w:val="hybridMultilevel"/>
    <w:tmpl w:val="7B329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833406"/>
    <w:multiLevelType w:val="hybridMultilevel"/>
    <w:tmpl w:val="B3D22044"/>
    <w:lvl w:ilvl="0" w:tplc="D3D65776">
      <w:start w:val="1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1AF7CEF"/>
    <w:multiLevelType w:val="hybridMultilevel"/>
    <w:tmpl w:val="ACD02730"/>
    <w:lvl w:ilvl="0" w:tplc="3EF01248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31D39FD"/>
    <w:multiLevelType w:val="hybridMultilevel"/>
    <w:tmpl w:val="33303E0C"/>
    <w:lvl w:ilvl="0" w:tplc="04090015">
      <w:start w:val="1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5E65DC"/>
    <w:multiLevelType w:val="hybridMultilevel"/>
    <w:tmpl w:val="C9007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5D6B99"/>
    <w:multiLevelType w:val="hybridMultilevel"/>
    <w:tmpl w:val="368E5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4C3260"/>
    <w:multiLevelType w:val="hybridMultilevel"/>
    <w:tmpl w:val="A998D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ED4F37"/>
    <w:multiLevelType w:val="hybridMultilevel"/>
    <w:tmpl w:val="AE64DC0C"/>
    <w:lvl w:ilvl="0" w:tplc="96AE22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6872412"/>
    <w:multiLevelType w:val="hybridMultilevel"/>
    <w:tmpl w:val="13146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DC3B93"/>
    <w:multiLevelType w:val="hybridMultilevel"/>
    <w:tmpl w:val="62EEB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E73672"/>
    <w:multiLevelType w:val="hybridMultilevel"/>
    <w:tmpl w:val="CF847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066B91"/>
    <w:multiLevelType w:val="hybridMultilevel"/>
    <w:tmpl w:val="806AE1C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0">
    <w:nsid w:val="432B04B7"/>
    <w:multiLevelType w:val="hybridMultilevel"/>
    <w:tmpl w:val="DD0E23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A931BD"/>
    <w:multiLevelType w:val="hybridMultilevel"/>
    <w:tmpl w:val="D388B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5736C8"/>
    <w:multiLevelType w:val="hybridMultilevel"/>
    <w:tmpl w:val="8C203F84"/>
    <w:lvl w:ilvl="0" w:tplc="1CB837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204C96"/>
    <w:multiLevelType w:val="hybridMultilevel"/>
    <w:tmpl w:val="9EACD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DE4AA6"/>
    <w:multiLevelType w:val="hybridMultilevel"/>
    <w:tmpl w:val="130AD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226F62"/>
    <w:multiLevelType w:val="hybridMultilevel"/>
    <w:tmpl w:val="B4CED87C"/>
    <w:lvl w:ilvl="0" w:tplc="BB181D1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E11530"/>
    <w:multiLevelType w:val="hybridMultilevel"/>
    <w:tmpl w:val="E8CA4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9B6905"/>
    <w:multiLevelType w:val="hybridMultilevel"/>
    <w:tmpl w:val="7CC05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2E7239"/>
    <w:multiLevelType w:val="hybridMultilevel"/>
    <w:tmpl w:val="587E7104"/>
    <w:lvl w:ilvl="0" w:tplc="3FE8FAB4">
      <w:start w:val="1"/>
      <w:numFmt w:val="upperLetter"/>
      <w:lvlText w:val="%1."/>
      <w:lvlJc w:val="left"/>
      <w:pPr>
        <w:ind w:left="370" w:hanging="360"/>
      </w:pPr>
      <w:rPr>
        <w:rFonts w:asciiTheme="minorHAnsi" w:hAnsiTheme="minorHAnsi" w:hint="default"/>
        <w:b/>
        <w:color w:val="231F20"/>
      </w:rPr>
    </w:lvl>
    <w:lvl w:ilvl="1" w:tplc="04090001">
      <w:start w:val="1"/>
      <w:numFmt w:val="bullet"/>
      <w:lvlText w:val=""/>
      <w:lvlJc w:val="left"/>
      <w:pPr>
        <w:ind w:left="109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10" w:hanging="180"/>
      </w:pPr>
    </w:lvl>
    <w:lvl w:ilvl="3" w:tplc="0409000F" w:tentative="1">
      <w:start w:val="1"/>
      <w:numFmt w:val="decimal"/>
      <w:lvlText w:val="%4."/>
      <w:lvlJc w:val="left"/>
      <w:pPr>
        <w:ind w:left="2530" w:hanging="360"/>
      </w:pPr>
    </w:lvl>
    <w:lvl w:ilvl="4" w:tplc="04090019" w:tentative="1">
      <w:start w:val="1"/>
      <w:numFmt w:val="lowerLetter"/>
      <w:lvlText w:val="%5."/>
      <w:lvlJc w:val="left"/>
      <w:pPr>
        <w:ind w:left="3250" w:hanging="360"/>
      </w:pPr>
    </w:lvl>
    <w:lvl w:ilvl="5" w:tplc="0409001B" w:tentative="1">
      <w:start w:val="1"/>
      <w:numFmt w:val="lowerRoman"/>
      <w:lvlText w:val="%6."/>
      <w:lvlJc w:val="right"/>
      <w:pPr>
        <w:ind w:left="3970" w:hanging="180"/>
      </w:pPr>
    </w:lvl>
    <w:lvl w:ilvl="6" w:tplc="0409000F" w:tentative="1">
      <w:start w:val="1"/>
      <w:numFmt w:val="decimal"/>
      <w:lvlText w:val="%7."/>
      <w:lvlJc w:val="left"/>
      <w:pPr>
        <w:ind w:left="4690" w:hanging="360"/>
      </w:pPr>
    </w:lvl>
    <w:lvl w:ilvl="7" w:tplc="04090019" w:tentative="1">
      <w:start w:val="1"/>
      <w:numFmt w:val="lowerLetter"/>
      <w:lvlText w:val="%8."/>
      <w:lvlJc w:val="left"/>
      <w:pPr>
        <w:ind w:left="5410" w:hanging="360"/>
      </w:pPr>
    </w:lvl>
    <w:lvl w:ilvl="8" w:tplc="04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9">
    <w:nsid w:val="4F7C7E26"/>
    <w:multiLevelType w:val="hybridMultilevel"/>
    <w:tmpl w:val="DF1CC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044D79"/>
    <w:multiLevelType w:val="hybridMultilevel"/>
    <w:tmpl w:val="B8400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AE436F"/>
    <w:multiLevelType w:val="hybridMultilevel"/>
    <w:tmpl w:val="8F9CE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8374C4"/>
    <w:multiLevelType w:val="hybridMultilevel"/>
    <w:tmpl w:val="8C8A2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C429CF"/>
    <w:multiLevelType w:val="hybridMultilevel"/>
    <w:tmpl w:val="62106B78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4">
    <w:nsid w:val="5CF16529"/>
    <w:multiLevelType w:val="hybridMultilevel"/>
    <w:tmpl w:val="09902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4C6D37"/>
    <w:multiLevelType w:val="hybridMultilevel"/>
    <w:tmpl w:val="483697FA"/>
    <w:lvl w:ilvl="0" w:tplc="10D89F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E97749"/>
    <w:multiLevelType w:val="hybridMultilevel"/>
    <w:tmpl w:val="0C464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0A2DFB"/>
    <w:multiLevelType w:val="hybridMultilevel"/>
    <w:tmpl w:val="6C649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1CE67F8"/>
    <w:multiLevelType w:val="hybridMultilevel"/>
    <w:tmpl w:val="F4167A88"/>
    <w:lvl w:ilvl="0" w:tplc="9F0AC65A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3270FB5"/>
    <w:multiLevelType w:val="hybridMultilevel"/>
    <w:tmpl w:val="6E7E4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6AE6852"/>
    <w:multiLevelType w:val="hybridMultilevel"/>
    <w:tmpl w:val="BCDE43D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1">
    <w:nsid w:val="68832AA4"/>
    <w:multiLevelType w:val="hybridMultilevel"/>
    <w:tmpl w:val="1DDAA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995518D"/>
    <w:multiLevelType w:val="hybridMultilevel"/>
    <w:tmpl w:val="5B0078FA"/>
    <w:lvl w:ilvl="0" w:tplc="C374F5B2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ajorEastAsia" w:hAnsiTheme="minorHAnsi" w:cstheme="majorBidi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7B6F0C"/>
    <w:multiLevelType w:val="hybridMultilevel"/>
    <w:tmpl w:val="01D6A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C8D3DD8"/>
    <w:multiLevelType w:val="hybridMultilevel"/>
    <w:tmpl w:val="786C5BBE"/>
    <w:lvl w:ilvl="0" w:tplc="A12467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0873770"/>
    <w:multiLevelType w:val="hybridMultilevel"/>
    <w:tmpl w:val="E1783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5579CC"/>
    <w:multiLevelType w:val="hybridMultilevel"/>
    <w:tmpl w:val="8DDCC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512E26"/>
    <w:multiLevelType w:val="hybridMultilevel"/>
    <w:tmpl w:val="0BB6A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35"/>
  </w:num>
  <w:num w:numId="4">
    <w:abstractNumId w:val="41"/>
  </w:num>
  <w:num w:numId="5">
    <w:abstractNumId w:val="38"/>
  </w:num>
  <w:num w:numId="6">
    <w:abstractNumId w:val="33"/>
  </w:num>
  <w:num w:numId="7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9"/>
  </w:num>
  <w:num w:numId="10">
    <w:abstractNumId w:val="20"/>
  </w:num>
  <w:num w:numId="11">
    <w:abstractNumId w:val="25"/>
  </w:num>
  <w:num w:numId="12">
    <w:abstractNumId w:val="21"/>
  </w:num>
  <w:num w:numId="13">
    <w:abstractNumId w:val="47"/>
  </w:num>
  <w:num w:numId="14">
    <w:abstractNumId w:val="14"/>
  </w:num>
  <w:num w:numId="15">
    <w:abstractNumId w:val="29"/>
  </w:num>
  <w:num w:numId="16">
    <w:abstractNumId w:val="8"/>
  </w:num>
  <w:num w:numId="17">
    <w:abstractNumId w:val="23"/>
  </w:num>
  <w:num w:numId="18">
    <w:abstractNumId w:val="3"/>
  </w:num>
  <w:num w:numId="19">
    <w:abstractNumId w:val="7"/>
  </w:num>
  <w:num w:numId="20">
    <w:abstractNumId w:val="16"/>
  </w:num>
  <w:num w:numId="21">
    <w:abstractNumId w:val="12"/>
  </w:num>
  <w:num w:numId="22">
    <w:abstractNumId w:val="18"/>
  </w:num>
  <w:num w:numId="23">
    <w:abstractNumId w:val="36"/>
  </w:num>
  <w:num w:numId="24">
    <w:abstractNumId w:val="27"/>
  </w:num>
  <w:num w:numId="25">
    <w:abstractNumId w:val="17"/>
  </w:num>
  <w:num w:numId="26">
    <w:abstractNumId w:val="37"/>
  </w:num>
  <w:num w:numId="27">
    <w:abstractNumId w:val="46"/>
  </w:num>
  <w:num w:numId="28">
    <w:abstractNumId w:val="32"/>
  </w:num>
  <w:num w:numId="29">
    <w:abstractNumId w:val="13"/>
  </w:num>
  <w:num w:numId="30">
    <w:abstractNumId w:val="39"/>
  </w:num>
  <w:num w:numId="31">
    <w:abstractNumId w:val="4"/>
  </w:num>
  <w:num w:numId="32">
    <w:abstractNumId w:val="45"/>
  </w:num>
  <w:num w:numId="33">
    <w:abstractNumId w:val="24"/>
  </w:num>
  <w:num w:numId="34">
    <w:abstractNumId w:val="6"/>
  </w:num>
  <w:num w:numId="35">
    <w:abstractNumId w:val="10"/>
  </w:num>
  <w:num w:numId="36">
    <w:abstractNumId w:val="42"/>
  </w:num>
  <w:num w:numId="37">
    <w:abstractNumId w:val="31"/>
  </w:num>
  <w:num w:numId="38">
    <w:abstractNumId w:val="2"/>
  </w:num>
  <w:num w:numId="39">
    <w:abstractNumId w:val="1"/>
  </w:num>
  <w:num w:numId="40">
    <w:abstractNumId w:val="0"/>
  </w:num>
  <w:num w:numId="41">
    <w:abstractNumId w:val="19"/>
  </w:num>
  <w:num w:numId="42">
    <w:abstractNumId w:val="28"/>
  </w:num>
  <w:num w:numId="43">
    <w:abstractNumId w:val="22"/>
  </w:num>
  <w:num w:numId="44">
    <w:abstractNumId w:val="40"/>
  </w:num>
  <w:num w:numId="45">
    <w:abstractNumId w:val="34"/>
  </w:num>
  <w:num w:numId="46">
    <w:abstractNumId w:val="43"/>
  </w:num>
  <w:num w:numId="47">
    <w:abstractNumId w:val="30"/>
  </w:num>
  <w:num w:numId="4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autoFormatOverride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3C2"/>
    <w:rsid w:val="000114E8"/>
    <w:rsid w:val="0001295B"/>
    <w:rsid w:val="00012DFB"/>
    <w:rsid w:val="000141F2"/>
    <w:rsid w:val="00014741"/>
    <w:rsid w:val="000167D0"/>
    <w:rsid w:val="00017D5F"/>
    <w:rsid w:val="00021237"/>
    <w:rsid w:val="00021448"/>
    <w:rsid w:val="00022CCE"/>
    <w:rsid w:val="00024402"/>
    <w:rsid w:val="000330D1"/>
    <w:rsid w:val="000426CA"/>
    <w:rsid w:val="00046B09"/>
    <w:rsid w:val="000504DF"/>
    <w:rsid w:val="0005060E"/>
    <w:rsid w:val="000530B6"/>
    <w:rsid w:val="00055314"/>
    <w:rsid w:val="00056679"/>
    <w:rsid w:val="00057958"/>
    <w:rsid w:val="00062977"/>
    <w:rsid w:val="00063F2D"/>
    <w:rsid w:val="00067ED6"/>
    <w:rsid w:val="00076CAB"/>
    <w:rsid w:val="00091CE8"/>
    <w:rsid w:val="000928D0"/>
    <w:rsid w:val="00092F59"/>
    <w:rsid w:val="00097F4D"/>
    <w:rsid w:val="000A0B22"/>
    <w:rsid w:val="000A679B"/>
    <w:rsid w:val="000A7985"/>
    <w:rsid w:val="000B7467"/>
    <w:rsid w:val="000C154C"/>
    <w:rsid w:val="000C40D2"/>
    <w:rsid w:val="000C6AA6"/>
    <w:rsid w:val="000D0035"/>
    <w:rsid w:val="000D2206"/>
    <w:rsid w:val="000D3BCF"/>
    <w:rsid w:val="000D3D25"/>
    <w:rsid w:val="000D4BC6"/>
    <w:rsid w:val="000D7769"/>
    <w:rsid w:val="000D7B7D"/>
    <w:rsid w:val="000E495B"/>
    <w:rsid w:val="000E72CE"/>
    <w:rsid w:val="000F05DD"/>
    <w:rsid w:val="000F2F8A"/>
    <w:rsid w:val="0010359F"/>
    <w:rsid w:val="001241A3"/>
    <w:rsid w:val="0012436A"/>
    <w:rsid w:val="001268DC"/>
    <w:rsid w:val="00130C7A"/>
    <w:rsid w:val="00132634"/>
    <w:rsid w:val="00136D5F"/>
    <w:rsid w:val="00141F61"/>
    <w:rsid w:val="00146509"/>
    <w:rsid w:val="00146F56"/>
    <w:rsid w:val="00147573"/>
    <w:rsid w:val="00160289"/>
    <w:rsid w:val="001615AD"/>
    <w:rsid w:val="00161ABB"/>
    <w:rsid w:val="001625D7"/>
    <w:rsid w:val="001642A8"/>
    <w:rsid w:val="00170F78"/>
    <w:rsid w:val="00173C47"/>
    <w:rsid w:val="00175414"/>
    <w:rsid w:val="001772F0"/>
    <w:rsid w:val="0018078E"/>
    <w:rsid w:val="00181472"/>
    <w:rsid w:val="0018495F"/>
    <w:rsid w:val="00186FD7"/>
    <w:rsid w:val="00186FE7"/>
    <w:rsid w:val="00190708"/>
    <w:rsid w:val="00192BB1"/>
    <w:rsid w:val="00194005"/>
    <w:rsid w:val="001A2098"/>
    <w:rsid w:val="001B2628"/>
    <w:rsid w:val="001B46DA"/>
    <w:rsid w:val="001B7318"/>
    <w:rsid w:val="001C5C0E"/>
    <w:rsid w:val="001C7F82"/>
    <w:rsid w:val="001D36C0"/>
    <w:rsid w:val="001D6C16"/>
    <w:rsid w:val="001F5954"/>
    <w:rsid w:val="0020291C"/>
    <w:rsid w:val="00204BC4"/>
    <w:rsid w:val="00215623"/>
    <w:rsid w:val="002165B6"/>
    <w:rsid w:val="00217109"/>
    <w:rsid w:val="0022473D"/>
    <w:rsid w:val="002323FD"/>
    <w:rsid w:val="00232BFD"/>
    <w:rsid w:val="0025265F"/>
    <w:rsid w:val="002552EC"/>
    <w:rsid w:val="00255E83"/>
    <w:rsid w:val="0026047F"/>
    <w:rsid w:val="00270D26"/>
    <w:rsid w:val="00274372"/>
    <w:rsid w:val="002748C4"/>
    <w:rsid w:val="00274D04"/>
    <w:rsid w:val="002755E8"/>
    <w:rsid w:val="00280717"/>
    <w:rsid w:val="00293F3F"/>
    <w:rsid w:val="00294AFA"/>
    <w:rsid w:val="00296F6F"/>
    <w:rsid w:val="002A41F9"/>
    <w:rsid w:val="002A57D3"/>
    <w:rsid w:val="002A6E2C"/>
    <w:rsid w:val="002C4FBC"/>
    <w:rsid w:val="002C5CC9"/>
    <w:rsid w:val="002C6B2E"/>
    <w:rsid w:val="002C6C39"/>
    <w:rsid w:val="002D4AB4"/>
    <w:rsid w:val="002D557D"/>
    <w:rsid w:val="002D5D98"/>
    <w:rsid w:val="002D666A"/>
    <w:rsid w:val="002D7944"/>
    <w:rsid w:val="002D7C78"/>
    <w:rsid w:val="00302BCA"/>
    <w:rsid w:val="003106F4"/>
    <w:rsid w:val="00315DE5"/>
    <w:rsid w:val="00317EDA"/>
    <w:rsid w:val="00320AEA"/>
    <w:rsid w:val="003256D1"/>
    <w:rsid w:val="00326A62"/>
    <w:rsid w:val="00326BF6"/>
    <w:rsid w:val="00335764"/>
    <w:rsid w:val="00346359"/>
    <w:rsid w:val="00346CE0"/>
    <w:rsid w:val="0035172D"/>
    <w:rsid w:val="0037449C"/>
    <w:rsid w:val="003760C0"/>
    <w:rsid w:val="0037747D"/>
    <w:rsid w:val="00394BCD"/>
    <w:rsid w:val="00396EFA"/>
    <w:rsid w:val="00397109"/>
    <w:rsid w:val="003A1662"/>
    <w:rsid w:val="003A344D"/>
    <w:rsid w:val="003A38B9"/>
    <w:rsid w:val="003A4891"/>
    <w:rsid w:val="003A5458"/>
    <w:rsid w:val="003A674C"/>
    <w:rsid w:val="003B339A"/>
    <w:rsid w:val="003B3F17"/>
    <w:rsid w:val="003B675A"/>
    <w:rsid w:val="003C2979"/>
    <w:rsid w:val="003C4152"/>
    <w:rsid w:val="003C4EEA"/>
    <w:rsid w:val="003D0FC1"/>
    <w:rsid w:val="003D3F55"/>
    <w:rsid w:val="003E2539"/>
    <w:rsid w:val="003E2F48"/>
    <w:rsid w:val="004037C2"/>
    <w:rsid w:val="00404142"/>
    <w:rsid w:val="00406540"/>
    <w:rsid w:val="00413147"/>
    <w:rsid w:val="00416090"/>
    <w:rsid w:val="00420561"/>
    <w:rsid w:val="004228EA"/>
    <w:rsid w:val="00423D46"/>
    <w:rsid w:val="004243C2"/>
    <w:rsid w:val="00433885"/>
    <w:rsid w:val="00435FE6"/>
    <w:rsid w:val="004366DD"/>
    <w:rsid w:val="0043693F"/>
    <w:rsid w:val="00440DF1"/>
    <w:rsid w:val="00443BAB"/>
    <w:rsid w:val="0045019A"/>
    <w:rsid w:val="0046239D"/>
    <w:rsid w:val="004758EE"/>
    <w:rsid w:val="004869A4"/>
    <w:rsid w:val="00487973"/>
    <w:rsid w:val="00490172"/>
    <w:rsid w:val="00491EF7"/>
    <w:rsid w:val="00496FF1"/>
    <w:rsid w:val="004A06A3"/>
    <w:rsid w:val="004A2C6D"/>
    <w:rsid w:val="004B6B7E"/>
    <w:rsid w:val="004B7BED"/>
    <w:rsid w:val="004D0092"/>
    <w:rsid w:val="004D5CD0"/>
    <w:rsid w:val="004D7540"/>
    <w:rsid w:val="004E7B34"/>
    <w:rsid w:val="00503CE0"/>
    <w:rsid w:val="00504E5B"/>
    <w:rsid w:val="00505766"/>
    <w:rsid w:val="00505FEB"/>
    <w:rsid w:val="00506822"/>
    <w:rsid w:val="00510442"/>
    <w:rsid w:val="00512812"/>
    <w:rsid w:val="005206AE"/>
    <w:rsid w:val="005224FC"/>
    <w:rsid w:val="0052421D"/>
    <w:rsid w:val="0052489C"/>
    <w:rsid w:val="0052515C"/>
    <w:rsid w:val="005309E7"/>
    <w:rsid w:val="0053190B"/>
    <w:rsid w:val="005345D5"/>
    <w:rsid w:val="005408D0"/>
    <w:rsid w:val="0054147B"/>
    <w:rsid w:val="005448B2"/>
    <w:rsid w:val="00550867"/>
    <w:rsid w:val="005534E0"/>
    <w:rsid w:val="005567BD"/>
    <w:rsid w:val="00557B02"/>
    <w:rsid w:val="00563987"/>
    <w:rsid w:val="005679B5"/>
    <w:rsid w:val="00571CE3"/>
    <w:rsid w:val="005733AC"/>
    <w:rsid w:val="0057457A"/>
    <w:rsid w:val="00575FBE"/>
    <w:rsid w:val="00577A9C"/>
    <w:rsid w:val="00581E79"/>
    <w:rsid w:val="005833F6"/>
    <w:rsid w:val="00586902"/>
    <w:rsid w:val="005A24FB"/>
    <w:rsid w:val="005A418D"/>
    <w:rsid w:val="005A6024"/>
    <w:rsid w:val="005A747F"/>
    <w:rsid w:val="005B2CFC"/>
    <w:rsid w:val="005B483C"/>
    <w:rsid w:val="005B5052"/>
    <w:rsid w:val="005B743F"/>
    <w:rsid w:val="005C0758"/>
    <w:rsid w:val="005C3D30"/>
    <w:rsid w:val="005C52A7"/>
    <w:rsid w:val="005D0ECF"/>
    <w:rsid w:val="005D1A8F"/>
    <w:rsid w:val="005D1B75"/>
    <w:rsid w:val="005D2198"/>
    <w:rsid w:val="005E2448"/>
    <w:rsid w:val="005E2969"/>
    <w:rsid w:val="005F2FE5"/>
    <w:rsid w:val="00600588"/>
    <w:rsid w:val="00610A6C"/>
    <w:rsid w:val="00621DBF"/>
    <w:rsid w:val="006307F1"/>
    <w:rsid w:val="0063749A"/>
    <w:rsid w:val="00645FA6"/>
    <w:rsid w:val="00654705"/>
    <w:rsid w:val="006640BC"/>
    <w:rsid w:val="00665567"/>
    <w:rsid w:val="00674D14"/>
    <w:rsid w:val="006848E2"/>
    <w:rsid w:val="00690029"/>
    <w:rsid w:val="006A0B92"/>
    <w:rsid w:val="006A2695"/>
    <w:rsid w:val="006A4B2D"/>
    <w:rsid w:val="006A5F26"/>
    <w:rsid w:val="006B0AAC"/>
    <w:rsid w:val="006B3949"/>
    <w:rsid w:val="006B3E5D"/>
    <w:rsid w:val="006B4F88"/>
    <w:rsid w:val="006C2D04"/>
    <w:rsid w:val="006C305E"/>
    <w:rsid w:val="006C6AA7"/>
    <w:rsid w:val="006C6C5E"/>
    <w:rsid w:val="006D3194"/>
    <w:rsid w:val="006D4458"/>
    <w:rsid w:val="006D576A"/>
    <w:rsid w:val="006E1672"/>
    <w:rsid w:val="006E75ED"/>
    <w:rsid w:val="006F07E0"/>
    <w:rsid w:val="00703FFD"/>
    <w:rsid w:val="00704810"/>
    <w:rsid w:val="00714A33"/>
    <w:rsid w:val="007158CD"/>
    <w:rsid w:val="00716B7B"/>
    <w:rsid w:val="0072177E"/>
    <w:rsid w:val="007218D4"/>
    <w:rsid w:val="007228D9"/>
    <w:rsid w:val="00724073"/>
    <w:rsid w:val="00724D04"/>
    <w:rsid w:val="00734C02"/>
    <w:rsid w:val="00745F9A"/>
    <w:rsid w:val="007470C7"/>
    <w:rsid w:val="00752B51"/>
    <w:rsid w:val="0075339B"/>
    <w:rsid w:val="00754982"/>
    <w:rsid w:val="00763A7B"/>
    <w:rsid w:val="00775EF0"/>
    <w:rsid w:val="00777D25"/>
    <w:rsid w:val="0078528B"/>
    <w:rsid w:val="007A6C9F"/>
    <w:rsid w:val="007B175F"/>
    <w:rsid w:val="007B1CD5"/>
    <w:rsid w:val="007B69D4"/>
    <w:rsid w:val="007C037B"/>
    <w:rsid w:val="007C60ED"/>
    <w:rsid w:val="007C7317"/>
    <w:rsid w:val="007D04D9"/>
    <w:rsid w:val="007E1BF4"/>
    <w:rsid w:val="007E6098"/>
    <w:rsid w:val="007E66D4"/>
    <w:rsid w:val="007E7FCC"/>
    <w:rsid w:val="008030EB"/>
    <w:rsid w:val="00804985"/>
    <w:rsid w:val="008231BD"/>
    <w:rsid w:val="00825945"/>
    <w:rsid w:val="00833BA7"/>
    <w:rsid w:val="008345CD"/>
    <w:rsid w:val="00835354"/>
    <w:rsid w:val="008410E8"/>
    <w:rsid w:val="00842EF0"/>
    <w:rsid w:val="0085077A"/>
    <w:rsid w:val="00852B20"/>
    <w:rsid w:val="00853946"/>
    <w:rsid w:val="00853B95"/>
    <w:rsid w:val="008540C7"/>
    <w:rsid w:val="00857FF1"/>
    <w:rsid w:val="0086036E"/>
    <w:rsid w:val="00862BFB"/>
    <w:rsid w:val="00864108"/>
    <w:rsid w:val="0086466D"/>
    <w:rsid w:val="00866CF8"/>
    <w:rsid w:val="00866DB7"/>
    <w:rsid w:val="00870DAA"/>
    <w:rsid w:val="00872668"/>
    <w:rsid w:val="0089015B"/>
    <w:rsid w:val="00891305"/>
    <w:rsid w:val="00892DC2"/>
    <w:rsid w:val="008A0458"/>
    <w:rsid w:val="008A5B2C"/>
    <w:rsid w:val="008A640D"/>
    <w:rsid w:val="008B2003"/>
    <w:rsid w:val="008C1861"/>
    <w:rsid w:val="008D0A63"/>
    <w:rsid w:val="008D1070"/>
    <w:rsid w:val="008D3965"/>
    <w:rsid w:val="008D4749"/>
    <w:rsid w:val="008E0BE2"/>
    <w:rsid w:val="008E15B4"/>
    <w:rsid w:val="008E206C"/>
    <w:rsid w:val="008F6843"/>
    <w:rsid w:val="00917865"/>
    <w:rsid w:val="00926686"/>
    <w:rsid w:val="00926BF0"/>
    <w:rsid w:val="00930F16"/>
    <w:rsid w:val="00931758"/>
    <w:rsid w:val="0093505C"/>
    <w:rsid w:val="00936172"/>
    <w:rsid w:val="00937597"/>
    <w:rsid w:val="0094298E"/>
    <w:rsid w:val="00945F45"/>
    <w:rsid w:val="009475E4"/>
    <w:rsid w:val="009522CD"/>
    <w:rsid w:val="00954A95"/>
    <w:rsid w:val="00956FB7"/>
    <w:rsid w:val="009621C9"/>
    <w:rsid w:val="00962FC5"/>
    <w:rsid w:val="00965F71"/>
    <w:rsid w:val="00973305"/>
    <w:rsid w:val="00974C65"/>
    <w:rsid w:val="00975B61"/>
    <w:rsid w:val="00976836"/>
    <w:rsid w:val="00983C3F"/>
    <w:rsid w:val="00993B86"/>
    <w:rsid w:val="00993D00"/>
    <w:rsid w:val="009A1550"/>
    <w:rsid w:val="009A53AF"/>
    <w:rsid w:val="009A742C"/>
    <w:rsid w:val="009B04D9"/>
    <w:rsid w:val="009B05FF"/>
    <w:rsid w:val="009B2A6A"/>
    <w:rsid w:val="009B3533"/>
    <w:rsid w:val="009B46BD"/>
    <w:rsid w:val="009B7534"/>
    <w:rsid w:val="009B7E56"/>
    <w:rsid w:val="009C5657"/>
    <w:rsid w:val="009C5D45"/>
    <w:rsid w:val="009D08EB"/>
    <w:rsid w:val="009D29E1"/>
    <w:rsid w:val="009E0608"/>
    <w:rsid w:val="009E0F68"/>
    <w:rsid w:val="009E2167"/>
    <w:rsid w:val="009F3794"/>
    <w:rsid w:val="009F5ABB"/>
    <w:rsid w:val="00A045CB"/>
    <w:rsid w:val="00A071FE"/>
    <w:rsid w:val="00A12324"/>
    <w:rsid w:val="00A152BB"/>
    <w:rsid w:val="00A252FA"/>
    <w:rsid w:val="00A261A2"/>
    <w:rsid w:val="00A42DCC"/>
    <w:rsid w:val="00A46097"/>
    <w:rsid w:val="00A46163"/>
    <w:rsid w:val="00A46852"/>
    <w:rsid w:val="00A470EA"/>
    <w:rsid w:val="00A52323"/>
    <w:rsid w:val="00A53301"/>
    <w:rsid w:val="00A53E73"/>
    <w:rsid w:val="00A55A7A"/>
    <w:rsid w:val="00A62E56"/>
    <w:rsid w:val="00A71898"/>
    <w:rsid w:val="00A7255C"/>
    <w:rsid w:val="00A7319E"/>
    <w:rsid w:val="00A73E50"/>
    <w:rsid w:val="00A74B00"/>
    <w:rsid w:val="00A77916"/>
    <w:rsid w:val="00A93018"/>
    <w:rsid w:val="00AA29EB"/>
    <w:rsid w:val="00AA7975"/>
    <w:rsid w:val="00AA7CE6"/>
    <w:rsid w:val="00AB365B"/>
    <w:rsid w:val="00AB3C9F"/>
    <w:rsid w:val="00AC4812"/>
    <w:rsid w:val="00AC6D02"/>
    <w:rsid w:val="00AD0C2D"/>
    <w:rsid w:val="00AD12D5"/>
    <w:rsid w:val="00AD2CBE"/>
    <w:rsid w:val="00AD75F4"/>
    <w:rsid w:val="00AE29A5"/>
    <w:rsid w:val="00AE3EE2"/>
    <w:rsid w:val="00AE75F4"/>
    <w:rsid w:val="00AF4A5E"/>
    <w:rsid w:val="00B02388"/>
    <w:rsid w:val="00B04614"/>
    <w:rsid w:val="00B04AEC"/>
    <w:rsid w:val="00B102D4"/>
    <w:rsid w:val="00B1163B"/>
    <w:rsid w:val="00B12CAA"/>
    <w:rsid w:val="00B17149"/>
    <w:rsid w:val="00B207C7"/>
    <w:rsid w:val="00B20A8E"/>
    <w:rsid w:val="00B24E11"/>
    <w:rsid w:val="00B253FB"/>
    <w:rsid w:val="00B26DAD"/>
    <w:rsid w:val="00B3001C"/>
    <w:rsid w:val="00B32E81"/>
    <w:rsid w:val="00B34000"/>
    <w:rsid w:val="00B36B5D"/>
    <w:rsid w:val="00B468A3"/>
    <w:rsid w:val="00B46B13"/>
    <w:rsid w:val="00B565C8"/>
    <w:rsid w:val="00B614CF"/>
    <w:rsid w:val="00B62410"/>
    <w:rsid w:val="00B63D5A"/>
    <w:rsid w:val="00B63FD3"/>
    <w:rsid w:val="00B743E4"/>
    <w:rsid w:val="00B752AE"/>
    <w:rsid w:val="00B772DF"/>
    <w:rsid w:val="00B80D83"/>
    <w:rsid w:val="00B85E4B"/>
    <w:rsid w:val="00B86F47"/>
    <w:rsid w:val="00B87C76"/>
    <w:rsid w:val="00B90015"/>
    <w:rsid w:val="00B93404"/>
    <w:rsid w:val="00B934DC"/>
    <w:rsid w:val="00B955BA"/>
    <w:rsid w:val="00B96BA4"/>
    <w:rsid w:val="00BA3853"/>
    <w:rsid w:val="00BB5713"/>
    <w:rsid w:val="00BB5AEF"/>
    <w:rsid w:val="00BD06B4"/>
    <w:rsid w:val="00BD5DDD"/>
    <w:rsid w:val="00BD7114"/>
    <w:rsid w:val="00BF3109"/>
    <w:rsid w:val="00C010BD"/>
    <w:rsid w:val="00C034FC"/>
    <w:rsid w:val="00C1225A"/>
    <w:rsid w:val="00C13564"/>
    <w:rsid w:val="00C13F4A"/>
    <w:rsid w:val="00C22CB5"/>
    <w:rsid w:val="00C25AA5"/>
    <w:rsid w:val="00C30642"/>
    <w:rsid w:val="00C40DDB"/>
    <w:rsid w:val="00C4777E"/>
    <w:rsid w:val="00C52232"/>
    <w:rsid w:val="00C60D49"/>
    <w:rsid w:val="00C709B4"/>
    <w:rsid w:val="00C769A6"/>
    <w:rsid w:val="00C830DB"/>
    <w:rsid w:val="00C861D0"/>
    <w:rsid w:val="00C92954"/>
    <w:rsid w:val="00C95CDB"/>
    <w:rsid w:val="00CA06C0"/>
    <w:rsid w:val="00CA50E4"/>
    <w:rsid w:val="00CA7628"/>
    <w:rsid w:val="00CB188A"/>
    <w:rsid w:val="00CB4532"/>
    <w:rsid w:val="00CB7757"/>
    <w:rsid w:val="00CC0EB7"/>
    <w:rsid w:val="00CC239E"/>
    <w:rsid w:val="00CC4334"/>
    <w:rsid w:val="00CC7526"/>
    <w:rsid w:val="00CC7CA2"/>
    <w:rsid w:val="00CD6181"/>
    <w:rsid w:val="00CE213D"/>
    <w:rsid w:val="00CF15E9"/>
    <w:rsid w:val="00CF376D"/>
    <w:rsid w:val="00CF765D"/>
    <w:rsid w:val="00CF7A59"/>
    <w:rsid w:val="00D059FE"/>
    <w:rsid w:val="00D05EA1"/>
    <w:rsid w:val="00D06FF1"/>
    <w:rsid w:val="00D10038"/>
    <w:rsid w:val="00D16245"/>
    <w:rsid w:val="00D20626"/>
    <w:rsid w:val="00D3320C"/>
    <w:rsid w:val="00D353C6"/>
    <w:rsid w:val="00D3768D"/>
    <w:rsid w:val="00D46396"/>
    <w:rsid w:val="00D472D3"/>
    <w:rsid w:val="00D53066"/>
    <w:rsid w:val="00D54887"/>
    <w:rsid w:val="00D60E83"/>
    <w:rsid w:val="00D6381F"/>
    <w:rsid w:val="00D675E1"/>
    <w:rsid w:val="00D72490"/>
    <w:rsid w:val="00D84E2E"/>
    <w:rsid w:val="00D85BDC"/>
    <w:rsid w:val="00D90103"/>
    <w:rsid w:val="00D9128B"/>
    <w:rsid w:val="00D918E1"/>
    <w:rsid w:val="00D94987"/>
    <w:rsid w:val="00D97D0C"/>
    <w:rsid w:val="00DA16FE"/>
    <w:rsid w:val="00DA1801"/>
    <w:rsid w:val="00DA4FA4"/>
    <w:rsid w:val="00DB27A1"/>
    <w:rsid w:val="00DB5E7F"/>
    <w:rsid w:val="00DB607D"/>
    <w:rsid w:val="00DB75CD"/>
    <w:rsid w:val="00DC09A1"/>
    <w:rsid w:val="00DC276D"/>
    <w:rsid w:val="00DC600A"/>
    <w:rsid w:val="00DD6CB8"/>
    <w:rsid w:val="00DE273B"/>
    <w:rsid w:val="00DF05AE"/>
    <w:rsid w:val="00DF1E53"/>
    <w:rsid w:val="00DF2A52"/>
    <w:rsid w:val="00E00ECA"/>
    <w:rsid w:val="00E02FEE"/>
    <w:rsid w:val="00E145F4"/>
    <w:rsid w:val="00E20EA1"/>
    <w:rsid w:val="00E214A6"/>
    <w:rsid w:val="00E2461A"/>
    <w:rsid w:val="00E312F6"/>
    <w:rsid w:val="00E3785B"/>
    <w:rsid w:val="00E409BE"/>
    <w:rsid w:val="00E41941"/>
    <w:rsid w:val="00E430B5"/>
    <w:rsid w:val="00E4675C"/>
    <w:rsid w:val="00E467A5"/>
    <w:rsid w:val="00E5002A"/>
    <w:rsid w:val="00E51101"/>
    <w:rsid w:val="00E52899"/>
    <w:rsid w:val="00E532C5"/>
    <w:rsid w:val="00E5410F"/>
    <w:rsid w:val="00E6015C"/>
    <w:rsid w:val="00E61897"/>
    <w:rsid w:val="00E65307"/>
    <w:rsid w:val="00E65791"/>
    <w:rsid w:val="00E71549"/>
    <w:rsid w:val="00E74AD4"/>
    <w:rsid w:val="00E8230A"/>
    <w:rsid w:val="00E87EFD"/>
    <w:rsid w:val="00E979CB"/>
    <w:rsid w:val="00EA26C1"/>
    <w:rsid w:val="00EB5E79"/>
    <w:rsid w:val="00EC1D8F"/>
    <w:rsid w:val="00EC3508"/>
    <w:rsid w:val="00EC3769"/>
    <w:rsid w:val="00ED328F"/>
    <w:rsid w:val="00ED6259"/>
    <w:rsid w:val="00EE0FF2"/>
    <w:rsid w:val="00EE185F"/>
    <w:rsid w:val="00EE1AC8"/>
    <w:rsid w:val="00EE2260"/>
    <w:rsid w:val="00EE23B7"/>
    <w:rsid w:val="00EE466F"/>
    <w:rsid w:val="00EE6D30"/>
    <w:rsid w:val="00EF0439"/>
    <w:rsid w:val="00EF4E98"/>
    <w:rsid w:val="00F107EF"/>
    <w:rsid w:val="00F12F5D"/>
    <w:rsid w:val="00F132F6"/>
    <w:rsid w:val="00F22252"/>
    <w:rsid w:val="00F30145"/>
    <w:rsid w:val="00F30598"/>
    <w:rsid w:val="00F421D3"/>
    <w:rsid w:val="00F45B7C"/>
    <w:rsid w:val="00F45B97"/>
    <w:rsid w:val="00F464C0"/>
    <w:rsid w:val="00F51624"/>
    <w:rsid w:val="00F51AD4"/>
    <w:rsid w:val="00F53274"/>
    <w:rsid w:val="00F53CE2"/>
    <w:rsid w:val="00F561BD"/>
    <w:rsid w:val="00F60888"/>
    <w:rsid w:val="00F60E8B"/>
    <w:rsid w:val="00F61652"/>
    <w:rsid w:val="00F61D93"/>
    <w:rsid w:val="00F6463F"/>
    <w:rsid w:val="00F67C49"/>
    <w:rsid w:val="00F7241A"/>
    <w:rsid w:val="00F828FC"/>
    <w:rsid w:val="00F83F91"/>
    <w:rsid w:val="00F865A4"/>
    <w:rsid w:val="00FA24DA"/>
    <w:rsid w:val="00FB44B1"/>
    <w:rsid w:val="00FD4C04"/>
    <w:rsid w:val="00FD6D69"/>
    <w:rsid w:val="00FE0B15"/>
    <w:rsid w:val="00FE29F1"/>
    <w:rsid w:val="00FF615A"/>
    <w:rsid w:val="00FF67A5"/>
    <w:rsid w:val="00FF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6CA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3E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48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92DC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4243C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243C2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4243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43C2"/>
    <w:rPr>
      <w:rFonts w:eastAsia="Calibr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43C2"/>
    <w:rPr>
      <w:rFonts w:ascii="Calibri" w:eastAsia="Calibri" w:hAnsi="Calibri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4243C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3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3C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7B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7B34"/>
    <w:rPr>
      <w:rFonts w:ascii="Calibri" w:eastAsia="Times New Roman" w:hAnsi="Calibri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4E7B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B34"/>
    <w:rPr>
      <w:rFonts w:ascii="Calibri" w:eastAsia="Times New Roman" w:hAnsi="Calibri" w:cs="Times New Roman"/>
      <w:szCs w:val="20"/>
    </w:rPr>
  </w:style>
  <w:style w:type="table" w:styleId="TableGrid">
    <w:name w:val="Table Grid"/>
    <w:basedOn w:val="TableNormal"/>
    <w:uiPriority w:val="59"/>
    <w:rsid w:val="00CC7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320C"/>
    <w:rPr>
      <w:rFonts w:eastAsia="Times New Roman"/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320C"/>
    <w:rPr>
      <w:rFonts w:ascii="Calibri" w:eastAsia="Times New Roman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F615A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B3E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848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92DC2"/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892DC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B1CD5"/>
    <w:pPr>
      <w:tabs>
        <w:tab w:val="left" w:pos="660"/>
        <w:tab w:val="right" w:leader="dot" w:pos="9350"/>
      </w:tabs>
      <w:spacing w:after="100"/>
      <w:ind w:left="220"/>
    </w:pPr>
  </w:style>
  <w:style w:type="paragraph" w:styleId="List2">
    <w:name w:val="List 2"/>
    <w:basedOn w:val="Normal"/>
    <w:rsid w:val="00190708"/>
    <w:pPr>
      <w:ind w:left="720" w:hanging="360"/>
    </w:pPr>
    <w:rPr>
      <w:rFonts w:ascii="Times New Roman" w:hAnsi="Times New Roman"/>
      <w:sz w:val="24"/>
      <w:szCs w:val="24"/>
    </w:rPr>
  </w:style>
  <w:style w:type="character" w:customStyle="1" w:styleId="catchline">
    <w:name w:val="catchline"/>
    <w:basedOn w:val="DefaultParagraphFont"/>
    <w:rsid w:val="00C92954"/>
  </w:style>
  <w:style w:type="character" w:customStyle="1" w:styleId="statutes">
    <w:name w:val="statutes"/>
    <w:basedOn w:val="DefaultParagraphFont"/>
    <w:rsid w:val="006547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6CA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3E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48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92DC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4243C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243C2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4243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43C2"/>
    <w:rPr>
      <w:rFonts w:eastAsia="Calibr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43C2"/>
    <w:rPr>
      <w:rFonts w:ascii="Calibri" w:eastAsia="Calibri" w:hAnsi="Calibri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4243C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3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3C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7B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7B34"/>
    <w:rPr>
      <w:rFonts w:ascii="Calibri" w:eastAsia="Times New Roman" w:hAnsi="Calibri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4E7B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B34"/>
    <w:rPr>
      <w:rFonts w:ascii="Calibri" w:eastAsia="Times New Roman" w:hAnsi="Calibri" w:cs="Times New Roman"/>
      <w:szCs w:val="20"/>
    </w:rPr>
  </w:style>
  <w:style w:type="table" w:styleId="TableGrid">
    <w:name w:val="Table Grid"/>
    <w:basedOn w:val="TableNormal"/>
    <w:uiPriority w:val="59"/>
    <w:rsid w:val="00CC7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320C"/>
    <w:rPr>
      <w:rFonts w:eastAsia="Times New Roman"/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320C"/>
    <w:rPr>
      <w:rFonts w:ascii="Calibri" w:eastAsia="Times New Roman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F615A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B3E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848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92DC2"/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892DC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B1CD5"/>
    <w:pPr>
      <w:tabs>
        <w:tab w:val="left" w:pos="660"/>
        <w:tab w:val="right" w:leader="dot" w:pos="9350"/>
      </w:tabs>
      <w:spacing w:after="100"/>
      <w:ind w:left="220"/>
    </w:pPr>
  </w:style>
  <w:style w:type="paragraph" w:styleId="List2">
    <w:name w:val="List 2"/>
    <w:basedOn w:val="Normal"/>
    <w:rsid w:val="00190708"/>
    <w:pPr>
      <w:ind w:left="720" w:hanging="360"/>
    </w:pPr>
    <w:rPr>
      <w:rFonts w:ascii="Times New Roman" w:hAnsi="Times New Roman"/>
      <w:sz w:val="24"/>
      <w:szCs w:val="24"/>
    </w:rPr>
  </w:style>
  <w:style w:type="character" w:customStyle="1" w:styleId="catchline">
    <w:name w:val="catchline"/>
    <w:basedOn w:val="DefaultParagraphFont"/>
    <w:rsid w:val="00C92954"/>
  </w:style>
  <w:style w:type="character" w:customStyle="1" w:styleId="statutes">
    <w:name w:val="statutes"/>
    <w:basedOn w:val="DefaultParagraphFont"/>
    <w:rsid w:val="006547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mailto:charter.schools@state.nm.u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29F934A-FD0D-4C92-ABA2-FE981F272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NMPED</Company>
  <LinksUpToDate>false</LinksUpToDate>
  <CharactersWithSpaces>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rachel.stofocik</dc:creator>
  <cp:lastModifiedBy>Katie Poulos</cp:lastModifiedBy>
  <cp:revision>7</cp:revision>
  <cp:lastPrinted>2014-12-11T15:09:00Z</cp:lastPrinted>
  <dcterms:created xsi:type="dcterms:W3CDTF">2018-02-15T21:20:00Z</dcterms:created>
  <dcterms:modified xsi:type="dcterms:W3CDTF">2018-02-15T21:32:00Z</dcterms:modified>
</cp:coreProperties>
</file>