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84E28">
        <w:rPr>
          <w:rFonts w:asciiTheme="minorHAnsi" w:hAnsiTheme="minorHAnsi" w:cstheme="minorHAnsi"/>
          <w:b/>
          <w:sz w:val="20"/>
          <w:szCs w:val="20"/>
        </w:rPr>
        <w:t>2016</w:t>
      </w:r>
      <w:r w:rsidR="007211B4" w:rsidRPr="00084E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6C5B" w:rsidRPr="00084E28">
        <w:rPr>
          <w:rFonts w:asciiTheme="minorHAnsi" w:hAnsiTheme="minorHAnsi" w:cstheme="minorHAnsi"/>
          <w:b/>
          <w:sz w:val="20"/>
          <w:szCs w:val="20"/>
        </w:rPr>
        <w:t>Instructional Material Summer Review Institute</w:t>
      </w:r>
    </w:p>
    <w:p w:rsidR="007211B4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4E28">
        <w:rPr>
          <w:rFonts w:asciiTheme="minorHAnsi" w:hAnsiTheme="minorHAnsi" w:cstheme="minorHAnsi"/>
          <w:b/>
          <w:sz w:val="20"/>
          <w:szCs w:val="20"/>
        </w:rPr>
        <w:t>Grade K-8: Social Studies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</w:t>
      </w:r>
      <w:r w:rsidR="008D10B7" w:rsidRPr="001D0657">
        <w:rPr>
          <w:rFonts w:asciiTheme="minorHAnsi" w:hAnsiTheme="minorHAnsi" w:cstheme="minorHAnsi"/>
          <w:b/>
          <w:color w:val="059AB8"/>
          <w:sz w:val="28"/>
        </w:rPr>
        <w:t>K-8</w:t>
      </w:r>
      <w:r w:rsidR="008D10B7">
        <w:rPr>
          <w:rFonts w:asciiTheme="minorHAnsi" w:hAnsiTheme="minorHAnsi" w:cstheme="minorHAnsi"/>
          <w:b/>
          <w:color w:val="059AB8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84E28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84E28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84E28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84E28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17E0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219F9">
              <w:rPr>
                <w:rFonts w:asciiTheme="minorHAnsi" w:hAnsiTheme="minorHAnsi" w:cstheme="minorHAnsi"/>
                <w:sz w:val="20"/>
                <w:szCs w:val="20"/>
              </w:rPr>
              <w:t>World Cultures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2219F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Cengage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A17E0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2219F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A17E0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219F9">
              <w:rPr>
                <w:rFonts w:asciiTheme="minorHAnsi" w:hAnsiTheme="minorHAnsi" w:cstheme="minorHAnsi"/>
                <w:sz w:val="20"/>
                <w:szCs w:val="20"/>
              </w:rPr>
              <w:t>978 1305967182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2219F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9781337227612</w:t>
            </w:r>
          </w:p>
        </w:tc>
      </w:tr>
      <w:tr w:rsidR="00512DD3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512DD3" w:rsidRPr="00BE1D5A" w:rsidRDefault="00512DD3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512DD3" w:rsidRPr="00BE1D5A" w:rsidRDefault="00512DD3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1D0657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11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11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11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505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1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493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2219F9">
              <w:rPr>
                <w:rFonts w:asciiTheme="minorHAnsi" w:hAnsiTheme="minorHAnsi" w:cstheme="minorHAnsi"/>
                <w:sz w:val="20"/>
                <w:szCs w:val="20"/>
              </w:rPr>
              <w:t>Citations aligned with standards. Lessons, activities and assessments met Bloom’s high levels. Textbook was good at providing many CCSS matched assessments. Promotes content and thinking skills and knowledge.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Pr="00084E28" w:rsidRDefault="005972D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Pr="00084E28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84E28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1D0657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19F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1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49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2219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2219F9">
              <w:rPr>
                <w:rFonts w:asciiTheme="minorHAnsi" w:hAnsiTheme="minorHAnsi" w:cstheme="minorHAnsi"/>
                <w:sz w:val="20"/>
                <w:szCs w:val="20"/>
              </w:rPr>
              <w:t>Textbook aligned well with NM reading s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>tandards.  Provides students with</w:t>
            </w:r>
            <w:r w:rsidR="002219F9">
              <w:rPr>
                <w:rFonts w:asciiTheme="minorHAnsi" w:hAnsiTheme="minorHAnsi" w:cstheme="minorHAnsi"/>
                <w:sz w:val="20"/>
                <w:szCs w:val="20"/>
              </w:rPr>
              <w:t xml:space="preserve"> a good grasp of key ideas and details as well as craft and structure.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 Vocabulary instruction is plentiful, robust and varied.</w:t>
            </w: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Writing</w:t>
            </w:r>
          </w:p>
        </w:tc>
      </w:tr>
      <w:tr w:rsidR="000D6EF4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1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107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>Writing opportunities throughout. Much instruction in teachi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ng students in argumentation.  Provides excellent supplements for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writing. Allows students to gain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full grasp of historical writing.  Many examples of primary sources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 xml:space="preserve"> are supplied, as well as guidance on evaluation techniques.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 Publisher’s Criteria</w:t>
            </w:r>
          </w:p>
        </w:tc>
      </w:tr>
      <w:tr w:rsidR="001D0657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Reviewer # and Section 2.C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7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8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1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 xml:space="preserve"> Debate, argument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>, small group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>, cooperative groups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and presentations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 xml:space="preserve"> throughout text.  There are m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>ultiple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meaningful opportunities for presentations and cooperativ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e groups.  Graphics include opportunities for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analysis and oth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er higher level thinking skills activities.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Academic vocabulary instruction was exem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plary. Music clips and art work projects are available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for each unit.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Student/Teacher Edition Criteria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2.D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7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8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413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1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62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241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  <w:r w:rsidR="002413BD">
              <w:rPr>
                <w:rFonts w:asciiTheme="minorHAnsi" w:hAnsiTheme="minorHAnsi" w:cstheme="minorHAnsi"/>
                <w:sz w:val="20"/>
                <w:szCs w:val="20"/>
              </w:rPr>
              <w:t xml:space="preserve"> Glossary, rubrics, student work, cooperative strategies throughout.  Very engaging for students.</w:t>
            </w: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511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51104">
              <w:rPr>
                <w:rFonts w:asciiTheme="minorHAnsi" w:hAnsiTheme="minorHAnsi" w:cstheme="minorHAnsi"/>
                <w:sz w:val="20"/>
                <w:szCs w:val="20"/>
              </w:rPr>
              <w:t>Eighth grade special education inclusion teacher, Level 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351104">
              <w:rPr>
                <w:rFonts w:asciiTheme="minorHAnsi" w:hAnsiTheme="minorHAnsi" w:cstheme="minorHAnsi"/>
                <w:sz w:val="20"/>
                <w:szCs w:val="20"/>
              </w:rPr>
              <w:t>Encapsulates all standards.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511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51104">
              <w:rPr>
                <w:rFonts w:asciiTheme="minorHAnsi" w:hAnsiTheme="minorHAnsi" w:cstheme="minorHAnsi"/>
                <w:sz w:val="20"/>
                <w:szCs w:val="20"/>
              </w:rPr>
              <w:t>Upper elementary teach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er, Level 3, Bilingual and TESOL</w:t>
            </w:r>
            <w:r w:rsidR="00351104">
              <w:rPr>
                <w:rFonts w:asciiTheme="minorHAnsi" w:hAnsiTheme="minorHAnsi" w:cstheme="minorHAnsi"/>
                <w:sz w:val="20"/>
                <w:szCs w:val="20"/>
              </w:rPr>
              <w:t xml:space="preserve"> certification.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351104">
              <w:rPr>
                <w:rFonts w:asciiTheme="minorHAnsi" w:hAnsiTheme="minorHAnsi" w:cstheme="minorHAnsi"/>
                <w:sz w:val="20"/>
                <w:szCs w:val="20"/>
              </w:rPr>
              <w:t xml:space="preserve">Outstanding 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series. I would gladly use this material.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511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06425">
              <w:rPr>
                <w:rFonts w:asciiTheme="minorHAnsi" w:hAnsiTheme="minorHAnsi" w:cstheme="minorHAnsi"/>
                <w:sz w:val="20"/>
                <w:szCs w:val="20"/>
              </w:rPr>
              <w:t>Instructional coach, TESOL, Early C</w:t>
            </w:r>
            <w:r w:rsidR="00351104">
              <w:rPr>
                <w:rFonts w:asciiTheme="minorHAnsi" w:hAnsiTheme="minorHAnsi" w:cstheme="minorHAnsi"/>
                <w:sz w:val="20"/>
                <w:szCs w:val="20"/>
              </w:rPr>
              <w:t>hildhood, Level 3-A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351104">
              <w:rPr>
                <w:rFonts w:asciiTheme="minorHAnsi" w:hAnsiTheme="minorHAnsi" w:cstheme="minorHAnsi"/>
                <w:sz w:val="20"/>
                <w:szCs w:val="20"/>
              </w:rPr>
              <w:t>Loved the resources. Robust instruction.  Plethora of higher level writing activities. Excellent model for teaching argumentation.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4E28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425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19F9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BD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104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DD3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965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20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3474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7D8CEAEB-FFDD-423E-9D99-D824FDB8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BC57-1DE9-4935-830C-0E0E1F3F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3710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2018-04-20T14:46:00Z</dcterms:created>
  <dcterms:modified xsi:type="dcterms:W3CDTF">2018-04-20T14:46:00Z</dcterms:modified>
</cp:coreProperties>
</file>