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2C" w:rsidRPr="00AB7751" w:rsidRDefault="00AB7751" w:rsidP="00AB7751">
      <w:pPr>
        <w:spacing w:after="120"/>
        <w:jc w:val="center"/>
        <w:rPr>
          <w:b/>
          <w:sz w:val="28"/>
        </w:rPr>
      </w:pPr>
      <w:r w:rsidRPr="00AB7751">
        <w:rPr>
          <w:b/>
          <w:sz w:val="28"/>
        </w:rPr>
        <w:t xml:space="preserve">New Mexico Striving Readers Comprehensive Literacy (SRCL) Grant </w:t>
      </w:r>
    </w:p>
    <w:p w:rsidR="00AB7751" w:rsidRDefault="00AB7751" w:rsidP="00AB7751">
      <w:pPr>
        <w:spacing w:after="120"/>
        <w:jc w:val="center"/>
        <w:rPr>
          <w:sz w:val="24"/>
        </w:rPr>
      </w:pPr>
      <w:r w:rsidRPr="00AB7751">
        <w:rPr>
          <w:sz w:val="24"/>
        </w:rPr>
        <w:t>Frequently Asked Questions (FAQs)</w:t>
      </w:r>
    </w:p>
    <w:p w:rsidR="00AB7751" w:rsidRDefault="00AB7751" w:rsidP="00AB7751">
      <w:pPr>
        <w:spacing w:after="120"/>
        <w:jc w:val="center"/>
        <w:rPr>
          <w:sz w:val="24"/>
        </w:rPr>
      </w:pPr>
    </w:p>
    <w:p w:rsidR="00AB7751" w:rsidRDefault="00AB7751" w:rsidP="00AB7751">
      <w:pPr>
        <w:pStyle w:val="ListParagraph"/>
        <w:numPr>
          <w:ilvl w:val="0"/>
          <w:numId w:val="2"/>
        </w:numPr>
        <w:spacing w:after="120"/>
        <w:ind w:left="360"/>
        <w:rPr>
          <w:sz w:val="24"/>
        </w:rPr>
      </w:pPr>
      <w:r w:rsidRPr="00AB7751">
        <w:rPr>
          <w:sz w:val="24"/>
        </w:rPr>
        <w:t>Is there a cap on the amount of dollars that an applicant may ask for? What guidance is provided for the amount of dollars that can be requested?</w:t>
      </w:r>
    </w:p>
    <w:p w:rsidR="00AB7751" w:rsidRDefault="00AB7751" w:rsidP="00AB7751">
      <w:pPr>
        <w:pStyle w:val="NormalWeb"/>
        <w:numPr>
          <w:ilvl w:val="0"/>
          <w:numId w:val="4"/>
        </w:numPr>
        <w:spacing w:before="0" w:beforeAutospacing="0" w:after="0" w:afterAutospacing="0"/>
        <w:ind w:left="360"/>
        <w:rPr>
          <w:rFonts w:ascii="Calibri" w:hAnsi="Calibri" w:cs="Calibri"/>
          <w:color w:val="000000"/>
        </w:rPr>
      </w:pPr>
      <w:r>
        <w:rPr>
          <w:rFonts w:ascii="Calibri" w:hAnsi="Calibri" w:cs="Calibri"/>
          <w:color w:val="000000"/>
        </w:rPr>
        <w:t xml:space="preserve">There is no specific guidance on the </w:t>
      </w:r>
      <w:r w:rsidR="0063443B">
        <w:rPr>
          <w:rFonts w:ascii="Calibri" w:hAnsi="Calibri" w:cs="Calibri"/>
          <w:color w:val="000000"/>
        </w:rPr>
        <w:t xml:space="preserve">dollar </w:t>
      </w:r>
      <w:r>
        <w:rPr>
          <w:rFonts w:ascii="Calibri" w:hAnsi="Calibri" w:cs="Calibri"/>
          <w:color w:val="000000"/>
        </w:rPr>
        <w:t>amount applicants can ask for. All applicants are required to submit a budget that adheres to the following budget breakdown:</w:t>
      </w:r>
    </w:p>
    <w:p w:rsidR="00AB7751" w:rsidRDefault="00AB7751" w:rsidP="00AB7751">
      <w:pPr>
        <w:pStyle w:val="NormalWeb"/>
        <w:spacing w:before="0" w:beforeAutospacing="0" w:after="0" w:afterAutospacing="0"/>
        <w:ind w:left="720"/>
        <w:jc w:val="center"/>
        <w:rPr>
          <w:rFonts w:ascii="Calibri" w:hAnsi="Calibri" w:cs="Calibri"/>
          <w:color w:val="000000"/>
        </w:rPr>
      </w:pPr>
      <w:r>
        <w:rPr>
          <w:noProof/>
        </w:rPr>
        <w:drawing>
          <wp:inline distT="0" distB="0" distL="0" distR="0" wp14:anchorId="41D8A826" wp14:editId="2DD67E8A">
            <wp:extent cx="4600575" cy="448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00575" cy="4486275"/>
                    </a:xfrm>
                    <a:prstGeom prst="rect">
                      <a:avLst/>
                    </a:prstGeom>
                  </pic:spPr>
                </pic:pic>
              </a:graphicData>
            </a:graphic>
          </wp:inline>
        </w:drawing>
      </w:r>
    </w:p>
    <w:p w:rsidR="00AB7751" w:rsidRDefault="00AB7751" w:rsidP="00AB7751">
      <w:pPr>
        <w:spacing w:after="120"/>
        <w:rPr>
          <w:sz w:val="24"/>
        </w:rPr>
      </w:pPr>
    </w:p>
    <w:p w:rsidR="00AB7751" w:rsidRDefault="00AB7751" w:rsidP="00AB7751">
      <w:pPr>
        <w:pStyle w:val="NormalWeb"/>
        <w:spacing w:before="0" w:beforeAutospacing="0" w:after="0" w:afterAutospacing="0"/>
        <w:rPr>
          <w:rFonts w:ascii="Calibri" w:hAnsi="Calibri" w:cs="Calibri"/>
          <w:color w:val="000000"/>
        </w:rPr>
      </w:pPr>
      <w:r w:rsidRPr="00AB7751">
        <w:rPr>
          <w:rFonts w:asciiTheme="minorHAnsi" w:hAnsiTheme="minorHAnsi" w:cstheme="minorHAnsi"/>
        </w:rPr>
        <w:t>Q)</w:t>
      </w:r>
      <w:r>
        <w:t xml:space="preserve"> </w:t>
      </w:r>
      <w:r>
        <w:rPr>
          <w:rFonts w:ascii="Calibri" w:hAnsi="Calibri" w:cs="Calibri"/>
          <w:color w:val="000000"/>
        </w:rPr>
        <w:t xml:space="preserve">Is there any way that charter schools will be able to participate in this grant? </w:t>
      </w:r>
    </w:p>
    <w:p w:rsidR="00AB7751" w:rsidRDefault="00AB7751" w:rsidP="00AB7751">
      <w:pPr>
        <w:pStyle w:val="NormalWeb"/>
        <w:spacing w:before="0" w:beforeAutospacing="0" w:after="0" w:afterAutospacing="0"/>
        <w:rPr>
          <w:rFonts w:ascii="Calibri" w:hAnsi="Calibri" w:cs="Calibri"/>
          <w:color w:val="000000"/>
        </w:rPr>
      </w:pPr>
      <w:r>
        <w:rPr>
          <w:rFonts w:ascii="Calibri" w:hAnsi="Calibri" w:cs="Calibri"/>
          <w:color w:val="000000"/>
        </w:rPr>
        <w:t> </w:t>
      </w:r>
    </w:p>
    <w:p w:rsidR="00AB7751" w:rsidRDefault="00AB7751" w:rsidP="00AB7751">
      <w:pPr>
        <w:pStyle w:val="NormalWeb"/>
        <w:spacing w:before="0" w:beforeAutospacing="0" w:after="0" w:afterAutospacing="0"/>
        <w:rPr>
          <w:rFonts w:ascii="Calibri" w:hAnsi="Calibri" w:cs="Calibri"/>
          <w:color w:val="000000"/>
        </w:rPr>
      </w:pPr>
      <w:r>
        <w:rPr>
          <w:rFonts w:ascii="Calibri" w:hAnsi="Calibri" w:cs="Calibri"/>
          <w:color w:val="000000"/>
        </w:rPr>
        <w:t>A) Charters are eligible to apply for the SRCL grant. If your charter does not serve a birth to Grade 12 continuum, then you will need to partner with other schools and Early Childhood Education partners to establish a birth-Grade 12 continuum.</w:t>
      </w:r>
    </w:p>
    <w:p w:rsidR="00AB7751" w:rsidRDefault="00AB7751" w:rsidP="00AB7751">
      <w:pPr>
        <w:spacing w:after="120"/>
        <w:rPr>
          <w:sz w:val="24"/>
        </w:rPr>
      </w:pPr>
    </w:p>
    <w:p w:rsidR="009347C9" w:rsidRDefault="009347C9" w:rsidP="00AB7751">
      <w:pPr>
        <w:spacing w:after="120"/>
        <w:rPr>
          <w:sz w:val="24"/>
        </w:rPr>
      </w:pPr>
    </w:p>
    <w:p w:rsidR="009347C9" w:rsidRDefault="009347C9" w:rsidP="00AB7751">
      <w:pPr>
        <w:spacing w:after="120"/>
        <w:rPr>
          <w:rFonts w:cstheme="minorHAnsi"/>
          <w:color w:val="212121"/>
          <w:sz w:val="24"/>
          <w:szCs w:val="24"/>
          <w:shd w:val="clear" w:color="auto" w:fill="FFFFFF"/>
        </w:rPr>
      </w:pPr>
      <w:r w:rsidRPr="009347C9">
        <w:rPr>
          <w:sz w:val="24"/>
          <w:szCs w:val="24"/>
        </w:rPr>
        <w:lastRenderedPageBreak/>
        <w:t>Q</w:t>
      </w:r>
      <w:r w:rsidRPr="009347C9">
        <w:rPr>
          <w:rFonts w:cstheme="minorHAnsi"/>
          <w:sz w:val="24"/>
          <w:szCs w:val="24"/>
        </w:rPr>
        <w:t xml:space="preserve">) </w:t>
      </w:r>
      <w:r w:rsidRPr="009347C9">
        <w:rPr>
          <w:rFonts w:cstheme="minorHAnsi"/>
          <w:color w:val="212121"/>
          <w:sz w:val="24"/>
          <w:szCs w:val="24"/>
          <w:shd w:val="clear" w:color="auto" w:fill="FFFFFF"/>
        </w:rPr>
        <w:t>Can the grant support salaries for Reading Coaches or Interventionists?</w:t>
      </w:r>
    </w:p>
    <w:p w:rsidR="009347C9" w:rsidRDefault="009347C9" w:rsidP="009347C9">
      <w:pPr>
        <w:spacing w:after="120"/>
        <w:rPr>
          <w:rFonts w:cstheme="minorHAnsi"/>
          <w:color w:val="212121"/>
          <w:sz w:val="24"/>
          <w:szCs w:val="24"/>
          <w:shd w:val="clear" w:color="auto" w:fill="FFFFFF"/>
        </w:rPr>
      </w:pPr>
      <w:r>
        <w:rPr>
          <w:rFonts w:cstheme="minorHAnsi"/>
          <w:color w:val="212121"/>
          <w:sz w:val="24"/>
          <w:szCs w:val="24"/>
          <w:shd w:val="clear" w:color="auto" w:fill="FFFFFF"/>
        </w:rPr>
        <w:t xml:space="preserve">A) </w:t>
      </w:r>
      <w:r w:rsidRPr="009347C9">
        <w:rPr>
          <w:rFonts w:cstheme="minorHAnsi"/>
          <w:color w:val="212121"/>
          <w:sz w:val="24"/>
          <w:szCs w:val="24"/>
          <w:shd w:val="clear" w:color="auto" w:fill="FFFFFF"/>
        </w:rPr>
        <w:t>Salaries for Reading Coaches or Interventionists may be an acceptable expense under SRCL Grant. Please note SRCL funding must supplement and not supplant current funding for literacy initiatives. </w:t>
      </w:r>
      <w:r w:rsidRPr="009347C9">
        <w:rPr>
          <w:rFonts w:cstheme="minorHAnsi"/>
          <w:color w:val="212121"/>
          <w:sz w:val="24"/>
          <w:szCs w:val="24"/>
        </w:rPr>
        <w:br/>
      </w:r>
      <w:r w:rsidRPr="009347C9">
        <w:rPr>
          <w:rFonts w:cstheme="minorHAnsi"/>
          <w:color w:val="212121"/>
          <w:sz w:val="24"/>
          <w:szCs w:val="24"/>
          <w:shd w:val="clear" w:color="auto" w:fill="FFFFFF"/>
        </w:rPr>
        <w:t>Additionally, note the table in Tab 6.B Budget Calculator:</w:t>
      </w:r>
      <w:r w:rsidRPr="009347C9">
        <w:rPr>
          <w:rFonts w:cstheme="minorHAnsi"/>
          <w:color w:val="212121"/>
          <w:sz w:val="24"/>
          <w:szCs w:val="24"/>
        </w:rPr>
        <w:br/>
      </w:r>
      <w:r w:rsidRPr="009347C9">
        <w:rPr>
          <w:rFonts w:cstheme="minorHAnsi"/>
          <w:color w:val="212121"/>
          <w:sz w:val="24"/>
          <w:szCs w:val="24"/>
          <w:shd w:val="clear" w:color="auto" w:fill="FFFFFF"/>
        </w:rPr>
        <w:t>"Unallowable​ ​Expenses​ ​(Not​ ​an​ ​exhaustive​ ​list)</w:t>
      </w:r>
      <w:r>
        <w:rPr>
          <w:rFonts w:cstheme="minorHAnsi"/>
          <w:color w:val="212121"/>
          <w:sz w:val="24"/>
          <w:szCs w:val="24"/>
        </w:rPr>
        <w:t>:</w:t>
      </w:r>
      <w:r w:rsidRPr="009347C9">
        <w:rPr>
          <w:rFonts w:cstheme="minorHAnsi"/>
          <w:color w:val="212121"/>
          <w:sz w:val="24"/>
          <w:szCs w:val="24"/>
        </w:rPr>
        <w:br/>
      </w:r>
      <w:r>
        <w:rPr>
          <w:rFonts w:cstheme="minorHAnsi"/>
          <w:color w:val="212121"/>
          <w:sz w:val="24"/>
          <w:szCs w:val="24"/>
          <w:shd w:val="clear" w:color="auto" w:fill="FFFFFF"/>
        </w:rPr>
        <w:t>-</w:t>
      </w:r>
      <w:r w:rsidRPr="009347C9">
        <w:rPr>
          <w:rFonts w:cstheme="minorHAnsi"/>
          <w:color w:val="212121"/>
          <w:sz w:val="24"/>
          <w:szCs w:val="24"/>
          <w:shd w:val="clear" w:color="auto" w:fill="FFFFFF"/>
        </w:rPr>
        <w:t>Furniture​ ​for​ ​office​ ​use </w:t>
      </w:r>
      <w:r w:rsidRPr="009347C9">
        <w:rPr>
          <w:rFonts w:cstheme="minorHAnsi"/>
          <w:color w:val="212121"/>
          <w:sz w:val="24"/>
          <w:szCs w:val="24"/>
        </w:rPr>
        <w:br/>
      </w:r>
      <w:r>
        <w:rPr>
          <w:rFonts w:cstheme="minorHAnsi"/>
          <w:color w:val="212121"/>
          <w:sz w:val="24"/>
          <w:szCs w:val="24"/>
          <w:shd w:val="clear" w:color="auto" w:fill="FFFFFF"/>
        </w:rPr>
        <w:t>-</w:t>
      </w:r>
      <w:r w:rsidRPr="009347C9">
        <w:rPr>
          <w:rFonts w:cstheme="minorHAnsi"/>
          <w:color w:val="212121"/>
          <w:sz w:val="24"/>
          <w:szCs w:val="24"/>
          <w:highlight w:val="yellow"/>
          <w:shd w:val="clear" w:color="auto" w:fill="FFFFFF"/>
        </w:rPr>
        <w:t>Salaries​ ​and​ ​benefits​ ​of​ ​current classroom​ ​teachers​ ​and​ ​clerical/secretarial​ ​staff (new staff may be hired on a contractual basis)</w:t>
      </w:r>
      <w:r w:rsidRPr="009347C9">
        <w:rPr>
          <w:rFonts w:cstheme="minorHAnsi"/>
          <w:color w:val="212121"/>
          <w:sz w:val="24"/>
          <w:szCs w:val="24"/>
        </w:rPr>
        <w:br/>
      </w:r>
      <w:r>
        <w:rPr>
          <w:rFonts w:cstheme="minorHAnsi"/>
          <w:color w:val="212121"/>
          <w:sz w:val="24"/>
          <w:szCs w:val="24"/>
          <w:shd w:val="clear" w:color="auto" w:fill="FFFFFF"/>
        </w:rPr>
        <w:t>-</w:t>
      </w:r>
      <w:r w:rsidRPr="009347C9">
        <w:rPr>
          <w:rFonts w:cstheme="minorHAnsi"/>
          <w:color w:val="212121"/>
          <w:sz w:val="24"/>
          <w:szCs w:val="24"/>
          <w:shd w:val="clear" w:color="auto" w:fill="FFFFFF"/>
        </w:rPr>
        <w:t>Pre-award​ ​costs </w:t>
      </w:r>
      <w:r w:rsidRPr="009347C9">
        <w:rPr>
          <w:rFonts w:cstheme="minorHAnsi"/>
          <w:color w:val="212121"/>
          <w:sz w:val="24"/>
          <w:szCs w:val="24"/>
        </w:rPr>
        <w:br/>
      </w:r>
      <w:r w:rsidRPr="009347C9">
        <w:rPr>
          <w:rFonts w:cstheme="minorHAnsi"/>
          <w:color w:val="212121"/>
          <w:sz w:val="24"/>
          <w:szCs w:val="24"/>
          <w:shd w:val="clear" w:color="auto" w:fill="FFFFFF"/>
        </w:rPr>
        <w:t>-Entertainment,​ ​refreshments,​ ​snacks,​ ​alcohol </w:t>
      </w:r>
      <w:r w:rsidRPr="009347C9">
        <w:rPr>
          <w:rFonts w:cstheme="minorHAnsi"/>
          <w:color w:val="212121"/>
          <w:sz w:val="24"/>
          <w:szCs w:val="24"/>
        </w:rPr>
        <w:br/>
      </w:r>
      <w:r w:rsidRPr="009347C9">
        <w:rPr>
          <w:rFonts w:cstheme="minorHAnsi"/>
          <w:color w:val="212121"/>
          <w:sz w:val="24"/>
          <w:szCs w:val="24"/>
          <w:shd w:val="clear" w:color="auto" w:fill="FFFFFF"/>
        </w:rPr>
        <w:t>-Field​ ​trips​ ​or​ ​​​retreats </w:t>
      </w:r>
      <w:r w:rsidRPr="009347C9">
        <w:rPr>
          <w:rFonts w:cstheme="minorHAnsi"/>
          <w:color w:val="212121"/>
          <w:sz w:val="24"/>
          <w:szCs w:val="24"/>
        </w:rPr>
        <w:br/>
      </w:r>
      <w:r w:rsidRPr="009347C9">
        <w:rPr>
          <w:rFonts w:cstheme="minorHAnsi"/>
          <w:color w:val="212121"/>
          <w:sz w:val="24"/>
          <w:szCs w:val="24"/>
          <w:shd w:val="clear" w:color="auto" w:fill="FFFFFF"/>
        </w:rPr>
        <w:t>-Promotional​ ​or​ ​marketing​ ​items </w:t>
      </w:r>
      <w:r w:rsidRPr="009347C9">
        <w:rPr>
          <w:rFonts w:cstheme="minorHAnsi"/>
          <w:color w:val="212121"/>
          <w:sz w:val="24"/>
          <w:szCs w:val="24"/>
        </w:rPr>
        <w:br/>
      </w:r>
      <w:r w:rsidRPr="009347C9">
        <w:rPr>
          <w:rFonts w:cstheme="minorHAnsi"/>
          <w:color w:val="212121"/>
          <w:sz w:val="24"/>
          <w:szCs w:val="24"/>
          <w:shd w:val="clear" w:color="auto" w:fill="FFFFFF"/>
        </w:rPr>
        <w:t>-Decorative​ ​items </w:t>
      </w:r>
      <w:r w:rsidRPr="009347C9">
        <w:rPr>
          <w:rFonts w:cstheme="minorHAnsi"/>
          <w:color w:val="212121"/>
          <w:sz w:val="24"/>
          <w:szCs w:val="24"/>
        </w:rPr>
        <w:br/>
      </w:r>
      <w:r w:rsidRPr="009347C9">
        <w:rPr>
          <w:rFonts w:cstheme="minorHAnsi"/>
          <w:color w:val="212121"/>
          <w:sz w:val="24"/>
          <w:szCs w:val="24"/>
          <w:shd w:val="clear" w:color="auto" w:fill="FFFFFF"/>
        </w:rPr>
        <w:t>-Land​ ​or​ ​building​ ​acquisition </w:t>
      </w:r>
      <w:r w:rsidRPr="009347C9">
        <w:rPr>
          <w:rFonts w:cstheme="minorHAnsi"/>
          <w:color w:val="212121"/>
          <w:sz w:val="24"/>
          <w:szCs w:val="24"/>
        </w:rPr>
        <w:br/>
      </w:r>
      <w:r w:rsidRPr="009347C9">
        <w:rPr>
          <w:rFonts w:cstheme="minorHAnsi"/>
          <w:color w:val="212121"/>
          <w:sz w:val="24"/>
          <w:szCs w:val="24"/>
          <w:shd w:val="clear" w:color="auto" w:fill="FFFFFF"/>
        </w:rPr>
        <w:t>-Construction​ ​costs​ ​or​ ​renovations/remodeling​ ​costs </w:t>
      </w:r>
      <w:r w:rsidRPr="009347C9">
        <w:rPr>
          <w:rFonts w:cstheme="minorHAnsi"/>
          <w:color w:val="212121"/>
          <w:sz w:val="24"/>
          <w:szCs w:val="24"/>
        </w:rPr>
        <w:br/>
      </w:r>
      <w:r w:rsidRPr="009347C9">
        <w:rPr>
          <w:rFonts w:cstheme="minorHAnsi"/>
          <w:color w:val="212121"/>
          <w:sz w:val="24"/>
          <w:szCs w:val="24"/>
          <w:shd w:val="clear" w:color="auto" w:fill="FFFFFF"/>
        </w:rPr>
        <w:t>-Gifts​ ​or​ ​incentives </w:t>
      </w:r>
      <w:r w:rsidRPr="009347C9">
        <w:rPr>
          <w:rFonts w:cstheme="minorHAnsi"/>
          <w:color w:val="212121"/>
          <w:sz w:val="24"/>
          <w:szCs w:val="24"/>
        </w:rPr>
        <w:br/>
      </w:r>
      <w:r w:rsidRPr="009347C9">
        <w:rPr>
          <w:rFonts w:cstheme="minorHAnsi"/>
          <w:color w:val="212121"/>
          <w:sz w:val="24"/>
          <w:szCs w:val="24"/>
          <w:shd w:val="clear" w:color="auto" w:fill="FFFFFF"/>
        </w:rPr>
        <w:t>-Fundraising​ ​costs </w:t>
      </w:r>
      <w:r w:rsidRPr="009347C9">
        <w:rPr>
          <w:rFonts w:cstheme="minorHAnsi"/>
          <w:color w:val="212121"/>
          <w:sz w:val="24"/>
          <w:szCs w:val="24"/>
        </w:rPr>
        <w:br/>
      </w:r>
      <w:r w:rsidRPr="009347C9">
        <w:rPr>
          <w:rFonts w:cstheme="minorHAnsi"/>
          <w:color w:val="212121"/>
          <w:sz w:val="24"/>
          <w:szCs w:val="24"/>
          <w:shd w:val="clear" w:color="auto" w:fill="FFFFFF"/>
        </w:rPr>
        <w:t>-Dues​ ​to​ ​organizations,​ ​feder</w:t>
      </w:r>
      <w:r>
        <w:rPr>
          <w:rFonts w:cstheme="minorHAnsi"/>
          <w:color w:val="212121"/>
          <w:sz w:val="24"/>
          <w:szCs w:val="24"/>
          <w:shd w:val="clear" w:color="auto" w:fill="FFFFFF"/>
        </w:rPr>
        <w:t>ations,​ ​or​ ​societies​ ​for​</w:t>
      </w:r>
      <w:r w:rsidRPr="009347C9">
        <w:rPr>
          <w:rFonts w:cstheme="minorHAnsi"/>
          <w:color w:val="212121"/>
          <w:sz w:val="24"/>
          <w:szCs w:val="24"/>
          <w:shd w:val="clear" w:color="auto" w:fill="FFFFFF"/>
        </w:rPr>
        <w:t xml:space="preserve"> personal​ ​benefit </w:t>
      </w:r>
      <w:r w:rsidRPr="009347C9">
        <w:rPr>
          <w:rFonts w:cstheme="minorHAnsi"/>
          <w:color w:val="212121"/>
          <w:sz w:val="24"/>
          <w:szCs w:val="24"/>
        </w:rPr>
        <w:br/>
      </w:r>
      <w:r w:rsidRPr="009347C9">
        <w:rPr>
          <w:rFonts w:cstheme="minorHAnsi"/>
          <w:color w:val="212121"/>
          <w:sz w:val="24"/>
          <w:szCs w:val="24"/>
          <w:shd w:val="clear" w:color="auto" w:fill="FFFFFF"/>
        </w:rPr>
        <w:t>-Computers, printers or other technology​ </w:t>
      </w:r>
      <w:r w:rsidRPr="009347C9">
        <w:rPr>
          <w:rFonts w:cstheme="minorHAnsi"/>
          <w:color w:val="212121"/>
          <w:sz w:val="24"/>
          <w:szCs w:val="24"/>
        </w:rPr>
        <w:br/>
      </w:r>
      <w:r w:rsidRPr="009347C9">
        <w:rPr>
          <w:rFonts w:cstheme="minorHAnsi"/>
          <w:color w:val="212121"/>
          <w:sz w:val="24"/>
          <w:szCs w:val="24"/>
          <w:shd w:val="clear" w:color="auto" w:fill="FFFFFF"/>
        </w:rPr>
        <w:t>-Student​ ​services​ ​such​ ​as​ ​AP​ ​testing​ ​fees,​ ​concurrent​ ​enrollment​ ​fees​ ​and​ ​books,​ ​or​ ​other​ ​direct​ ​student​ ​services </w:t>
      </w:r>
      <w:r w:rsidRPr="009347C9">
        <w:rPr>
          <w:rFonts w:cstheme="minorHAnsi"/>
          <w:color w:val="212121"/>
          <w:sz w:val="24"/>
          <w:szCs w:val="24"/>
        </w:rPr>
        <w:br/>
      </w:r>
      <w:r w:rsidRPr="009347C9">
        <w:rPr>
          <w:rFonts w:cstheme="minorHAnsi"/>
          <w:color w:val="212121"/>
          <w:sz w:val="24"/>
          <w:szCs w:val="24"/>
          <w:shd w:val="clear" w:color="auto" w:fill="FFFFFF"/>
        </w:rPr>
        <w:t>-Convocation/graduation​ ​costs"</w:t>
      </w:r>
    </w:p>
    <w:p w:rsidR="005316D7" w:rsidRDefault="005316D7" w:rsidP="009347C9">
      <w:pPr>
        <w:spacing w:after="120"/>
        <w:rPr>
          <w:rFonts w:cstheme="minorHAnsi"/>
          <w:color w:val="212121"/>
          <w:sz w:val="24"/>
          <w:szCs w:val="24"/>
          <w:shd w:val="clear" w:color="auto" w:fill="FFFFFF"/>
        </w:rPr>
      </w:pPr>
    </w:p>
    <w:p w:rsidR="005316D7" w:rsidRDefault="005316D7" w:rsidP="009347C9">
      <w:pPr>
        <w:spacing w:after="120"/>
        <w:rPr>
          <w:rFonts w:cstheme="minorHAnsi"/>
          <w:color w:val="212121"/>
          <w:sz w:val="24"/>
          <w:szCs w:val="24"/>
          <w:shd w:val="clear" w:color="auto" w:fill="FFFFFF"/>
        </w:rPr>
      </w:pPr>
      <w:r>
        <w:rPr>
          <w:rFonts w:cstheme="minorHAnsi"/>
          <w:color w:val="212121"/>
          <w:sz w:val="24"/>
          <w:szCs w:val="24"/>
          <w:shd w:val="clear" w:color="auto" w:fill="FFFFFF"/>
        </w:rPr>
        <w:t>Q) In terms of priority funding, how does an applicant calculate “economically disadvantaged”?</w:t>
      </w:r>
    </w:p>
    <w:p w:rsidR="005316D7" w:rsidRDefault="005316D7" w:rsidP="009347C9">
      <w:pPr>
        <w:spacing w:after="120"/>
        <w:rPr>
          <w:rFonts w:ascii="Calibri" w:hAnsi="Calibri" w:cs="Calibri"/>
          <w:color w:val="000000"/>
          <w:shd w:val="clear" w:color="auto" w:fill="FFFFFF"/>
        </w:rPr>
      </w:pPr>
      <w:r>
        <w:rPr>
          <w:rFonts w:cstheme="minorHAnsi"/>
          <w:color w:val="212121"/>
          <w:sz w:val="24"/>
          <w:szCs w:val="24"/>
          <w:shd w:val="clear" w:color="auto" w:fill="FFFFFF"/>
        </w:rPr>
        <w:t xml:space="preserve">A) </w:t>
      </w:r>
      <w:r>
        <w:rPr>
          <w:rFonts w:ascii="Calibri" w:hAnsi="Calibri" w:cs="Calibri"/>
          <w:color w:val="000000"/>
          <w:shd w:val="clear" w:color="auto" w:fill="FFFFFF"/>
        </w:rPr>
        <w:t>The percentages included in the RFA were pulled from the SY17-18 STARS 80-day Count. For Economically Disadvantaged, the PED used the data element: ​</w:t>
      </w:r>
      <w:proofErr w:type="spellStart"/>
      <w:r>
        <w:rPr>
          <w:rFonts w:ascii="Calibri" w:hAnsi="Calibri" w:cs="Calibri"/>
          <w:color w:val="000000"/>
          <w:shd w:val="clear" w:color="auto" w:fill="FFFFFF"/>
        </w:rPr>
        <w:t>PctFRL</w:t>
      </w:r>
      <w:proofErr w:type="spellEnd"/>
      <w:r>
        <w:rPr>
          <w:rFonts w:ascii="Calibri" w:hAnsi="Calibri" w:cs="Calibri"/>
          <w:color w:val="000000"/>
          <w:shd w:val="clear" w:color="auto" w:fill="FFFFFF"/>
        </w:rPr>
        <w:t xml:space="preserve"> (% Free and Reduced Lunch). Applicants should use the </w:t>
      </w:r>
      <w:proofErr w:type="spellStart"/>
      <w:r>
        <w:rPr>
          <w:rFonts w:ascii="Calibri" w:hAnsi="Calibri" w:cs="Calibri"/>
          <w:color w:val="000000"/>
          <w:shd w:val="clear" w:color="auto" w:fill="FFFFFF"/>
        </w:rPr>
        <w:t>PctFRL</w:t>
      </w:r>
      <w:proofErr w:type="spellEnd"/>
      <w:r>
        <w:rPr>
          <w:rFonts w:ascii="Calibri" w:hAnsi="Calibri" w:cs="Calibri"/>
          <w:color w:val="000000"/>
          <w:shd w:val="clear" w:color="auto" w:fill="FFFFFF"/>
        </w:rPr>
        <w:t xml:space="preserve"> (% Free and Reduced Lunch) for reporting "Economically Disadvantaged."</w:t>
      </w:r>
    </w:p>
    <w:p w:rsidR="0081678A" w:rsidRDefault="0081678A" w:rsidP="009347C9">
      <w:pPr>
        <w:spacing w:after="120"/>
        <w:rPr>
          <w:rFonts w:ascii="Calibri" w:hAnsi="Calibri" w:cs="Calibri"/>
          <w:color w:val="000000"/>
          <w:shd w:val="clear" w:color="auto" w:fill="FFFFFF"/>
        </w:rPr>
      </w:pPr>
    </w:p>
    <w:p w:rsidR="0081678A" w:rsidRDefault="0081678A" w:rsidP="009347C9">
      <w:pPr>
        <w:spacing w:after="120"/>
        <w:rPr>
          <w:rFonts w:ascii="Calibri" w:hAnsi="Calibri" w:cs="Calibri"/>
          <w:color w:val="212121"/>
          <w:shd w:val="clear" w:color="auto" w:fill="FFFFFF"/>
        </w:rPr>
      </w:pPr>
      <w:r>
        <w:rPr>
          <w:rFonts w:ascii="Calibri" w:hAnsi="Calibri" w:cs="Calibri"/>
          <w:color w:val="000000"/>
          <w:shd w:val="clear" w:color="auto" w:fill="FFFFFF"/>
        </w:rPr>
        <w:t xml:space="preserve">Q) </w:t>
      </w:r>
      <w:r>
        <w:rPr>
          <w:rFonts w:ascii="Calibri" w:hAnsi="Calibri" w:cs="Calibri"/>
          <w:color w:val="212121"/>
          <w:shd w:val="clear" w:color="auto" w:fill="FFFFFF"/>
        </w:rPr>
        <w:t>M</w:t>
      </w:r>
      <w:r>
        <w:rPr>
          <w:rFonts w:ascii="Calibri" w:hAnsi="Calibri" w:cs="Calibri"/>
          <w:color w:val="212121"/>
          <w:shd w:val="clear" w:color="auto" w:fill="FFFFFF"/>
        </w:rPr>
        <w:t xml:space="preserve">ust the grant include </w:t>
      </w:r>
      <w:r>
        <w:rPr>
          <w:rFonts w:ascii="Calibri" w:hAnsi="Calibri" w:cs="Calibri"/>
          <w:color w:val="212121"/>
          <w:shd w:val="clear" w:color="auto" w:fill="FFFFFF"/>
        </w:rPr>
        <w:t xml:space="preserve">the entire </w:t>
      </w:r>
      <w:r>
        <w:rPr>
          <w:rFonts w:ascii="Calibri" w:hAnsi="Calibri" w:cs="Calibri"/>
          <w:color w:val="212121"/>
          <w:shd w:val="clear" w:color="auto" w:fill="FFFFFF"/>
        </w:rPr>
        <w:t>birth</w:t>
      </w:r>
      <w:r>
        <w:rPr>
          <w:rFonts w:ascii="Calibri" w:hAnsi="Calibri" w:cs="Calibri"/>
          <w:color w:val="212121"/>
          <w:shd w:val="clear" w:color="auto" w:fill="FFFFFF"/>
        </w:rPr>
        <w:t xml:space="preserve"> to</w:t>
      </w:r>
      <w:r>
        <w:rPr>
          <w:rFonts w:ascii="Calibri" w:hAnsi="Calibri" w:cs="Calibri"/>
          <w:color w:val="212121"/>
          <w:shd w:val="clear" w:color="auto" w:fill="FFFFFF"/>
        </w:rPr>
        <w:t xml:space="preserve"> high school</w:t>
      </w:r>
      <w:r>
        <w:rPr>
          <w:rFonts w:ascii="Calibri" w:hAnsi="Calibri" w:cs="Calibri"/>
          <w:color w:val="212121"/>
          <w:shd w:val="clear" w:color="auto" w:fill="FFFFFF"/>
        </w:rPr>
        <w:t xml:space="preserve"> continuum</w:t>
      </w:r>
      <w:r>
        <w:rPr>
          <w:rFonts w:ascii="Calibri" w:hAnsi="Calibri" w:cs="Calibri"/>
          <w:color w:val="212121"/>
          <w:shd w:val="clear" w:color="auto" w:fill="FFFFFF"/>
        </w:rPr>
        <w:t>?</w:t>
      </w:r>
    </w:p>
    <w:p w:rsidR="0081678A" w:rsidRPr="0076665C" w:rsidRDefault="0081678A" w:rsidP="0081678A">
      <w:pPr>
        <w:spacing w:after="0" w:line="240" w:lineRule="auto"/>
        <w:jc w:val="both"/>
        <w:textAlignment w:val="baseline"/>
        <w:rPr>
          <w:rFonts w:ascii="Arial" w:hAnsi="Arial" w:cs="Arial"/>
          <w:b/>
          <w:i/>
          <w:color w:val="4BACC6" w:themeColor="accent5"/>
          <w:sz w:val="20"/>
        </w:rPr>
      </w:pPr>
      <w:proofErr w:type="gramStart"/>
      <w:r>
        <w:rPr>
          <w:rFonts w:ascii="Calibri" w:hAnsi="Calibri" w:cs="Calibri"/>
          <w:color w:val="212121"/>
          <w:shd w:val="clear" w:color="auto" w:fill="FFFFFF"/>
        </w:rPr>
        <w:t xml:space="preserve">A) </w:t>
      </w:r>
      <w:r w:rsidRPr="0076665C">
        <w:rPr>
          <w:rFonts w:ascii="Arial" w:hAnsi="Arial" w:cs="Arial"/>
          <w:b/>
          <w:i/>
          <w:color w:val="4BACC6" w:themeColor="accent5"/>
          <w:sz w:val="20"/>
        </w:rPr>
        <w:t>Birth–Grade 12 (B–12) Continuum</w:t>
      </w:r>
      <w:proofErr w:type="gramEnd"/>
      <w:r>
        <w:rPr>
          <w:rFonts w:ascii="Arial" w:hAnsi="Arial" w:cs="Arial"/>
          <w:b/>
          <w:i/>
          <w:color w:val="4BACC6" w:themeColor="accent5"/>
          <w:sz w:val="20"/>
        </w:rPr>
        <w:t xml:space="preserve"> </w:t>
      </w:r>
      <w:r w:rsidRPr="0076665C">
        <w:rPr>
          <w:rFonts w:ascii="Arial" w:hAnsi="Arial" w:cs="Arial"/>
          <w:b/>
          <w:i/>
          <w:color w:val="4BACC6" w:themeColor="accent5"/>
          <w:sz w:val="20"/>
        </w:rPr>
        <w:t>of Partners and Supports</w:t>
      </w:r>
    </w:p>
    <w:p w:rsidR="0081678A" w:rsidRPr="0076665C" w:rsidRDefault="0081678A" w:rsidP="0081678A">
      <w:pPr>
        <w:spacing w:after="0" w:line="240" w:lineRule="auto"/>
        <w:jc w:val="both"/>
        <w:textAlignment w:val="baseline"/>
        <w:rPr>
          <w:rFonts w:ascii="Arial" w:hAnsi="Arial" w:cs="Arial"/>
          <w:sz w:val="20"/>
        </w:rPr>
      </w:pPr>
      <w:r w:rsidRPr="0076665C">
        <w:rPr>
          <w:rFonts w:ascii="Arial" w:hAnsi="Arial" w:cs="Arial"/>
          <w:sz w:val="20"/>
        </w:rPr>
        <w:t xml:space="preserve">Applicants are required to identify </w:t>
      </w:r>
      <w:r>
        <w:rPr>
          <w:rFonts w:ascii="Arial" w:hAnsi="Arial" w:cs="Arial"/>
          <w:sz w:val="20"/>
        </w:rPr>
        <w:t>a birth through Grade 12 progression that serves underserved populations of children</w:t>
      </w:r>
      <w:r w:rsidRPr="0076665C">
        <w:rPr>
          <w:rFonts w:ascii="Arial" w:hAnsi="Arial" w:cs="Arial"/>
          <w:sz w:val="20"/>
        </w:rPr>
        <w:t xml:space="preserve"> (</w:t>
      </w:r>
      <w:r>
        <w:rPr>
          <w:rFonts w:ascii="Arial" w:hAnsi="Arial" w:cs="Arial"/>
          <w:sz w:val="20"/>
        </w:rPr>
        <w:t>defined below)</w:t>
      </w:r>
      <w:r w:rsidRPr="0076665C">
        <w:rPr>
          <w:rFonts w:ascii="Arial" w:hAnsi="Arial" w:cs="Arial"/>
          <w:sz w:val="20"/>
        </w:rPr>
        <w:t xml:space="preserve">. </w:t>
      </w:r>
      <w:r>
        <w:rPr>
          <w:rFonts w:ascii="Arial" w:hAnsi="Arial" w:cs="Arial"/>
          <w:sz w:val="20"/>
        </w:rPr>
        <w:t xml:space="preserve">All programs or </w:t>
      </w:r>
      <w:r w:rsidRPr="0076665C">
        <w:rPr>
          <w:rFonts w:ascii="Arial" w:hAnsi="Arial" w:cs="Arial"/>
          <w:sz w:val="20"/>
        </w:rPr>
        <w:t xml:space="preserve">schools for the following age spans must be included in the application: </w:t>
      </w:r>
    </w:p>
    <w:p w:rsidR="0081678A" w:rsidRDefault="0081678A" w:rsidP="0081678A">
      <w:pPr>
        <w:pStyle w:val="ListParagraph"/>
        <w:numPr>
          <w:ilvl w:val="0"/>
          <w:numId w:val="5"/>
        </w:numPr>
        <w:autoSpaceDE w:val="0"/>
        <w:autoSpaceDN w:val="0"/>
        <w:adjustRightInd w:val="0"/>
        <w:spacing w:after="0" w:line="240" w:lineRule="auto"/>
        <w:jc w:val="both"/>
        <w:textAlignment w:val="baseline"/>
        <w:rPr>
          <w:rFonts w:ascii="Arial" w:hAnsi="Arial" w:cs="Arial"/>
          <w:sz w:val="20"/>
        </w:rPr>
      </w:pPr>
      <w:r>
        <w:rPr>
          <w:rFonts w:ascii="Arial" w:hAnsi="Arial" w:cs="Arial"/>
          <w:sz w:val="20"/>
        </w:rPr>
        <w:t>Certified e</w:t>
      </w:r>
      <w:r w:rsidRPr="0076665C">
        <w:rPr>
          <w:rFonts w:ascii="Arial" w:hAnsi="Arial" w:cs="Arial"/>
          <w:sz w:val="20"/>
        </w:rPr>
        <w:t xml:space="preserve">arly care and education (ECE) providers and programs serving children </w:t>
      </w:r>
      <w:r w:rsidRPr="0076665C">
        <w:rPr>
          <w:rFonts w:ascii="Arial" w:hAnsi="Arial" w:cs="Arial"/>
          <w:b/>
          <w:sz w:val="20"/>
        </w:rPr>
        <w:t>birth to kindergarte</w:t>
      </w:r>
      <w:bookmarkStart w:id="0" w:name="_GoBack"/>
      <w:bookmarkEnd w:id="0"/>
      <w:r w:rsidRPr="0076665C">
        <w:rPr>
          <w:rFonts w:ascii="Arial" w:hAnsi="Arial" w:cs="Arial"/>
          <w:b/>
          <w:sz w:val="20"/>
        </w:rPr>
        <w:t>n</w:t>
      </w:r>
      <w:r>
        <w:rPr>
          <w:rFonts w:ascii="Arial" w:hAnsi="Arial" w:cs="Arial"/>
          <w:sz w:val="20"/>
        </w:rPr>
        <w:t>;</w:t>
      </w:r>
    </w:p>
    <w:p w:rsidR="0081678A" w:rsidRPr="0076665C" w:rsidRDefault="0081678A" w:rsidP="0081678A">
      <w:pPr>
        <w:pStyle w:val="ListParagraph"/>
        <w:numPr>
          <w:ilvl w:val="1"/>
          <w:numId w:val="5"/>
        </w:numPr>
        <w:autoSpaceDE w:val="0"/>
        <w:autoSpaceDN w:val="0"/>
        <w:adjustRightInd w:val="0"/>
        <w:spacing w:after="0" w:line="240" w:lineRule="auto"/>
        <w:jc w:val="both"/>
        <w:textAlignment w:val="baseline"/>
        <w:rPr>
          <w:rFonts w:ascii="Arial" w:hAnsi="Arial" w:cs="Arial"/>
          <w:sz w:val="20"/>
        </w:rPr>
      </w:pPr>
      <w:r>
        <w:rPr>
          <w:rFonts w:ascii="Arial" w:hAnsi="Arial" w:cs="Arial"/>
          <w:sz w:val="20"/>
        </w:rPr>
        <w:lastRenderedPageBreak/>
        <w:t xml:space="preserve">Note: all ECE providers must be certified by a federal or New Mexico state agency (e.g., Head Start, Early Head Start, New Mexico Children Youth and Families Department, New Mexico Department of Health) and adhere to all federal and state program requirements.  </w:t>
      </w:r>
    </w:p>
    <w:p w:rsidR="0081678A" w:rsidRPr="0076665C" w:rsidRDefault="0081678A" w:rsidP="0081678A">
      <w:pPr>
        <w:pStyle w:val="ListParagraph"/>
        <w:numPr>
          <w:ilvl w:val="0"/>
          <w:numId w:val="5"/>
        </w:numPr>
        <w:autoSpaceDE w:val="0"/>
        <w:autoSpaceDN w:val="0"/>
        <w:adjustRightInd w:val="0"/>
        <w:spacing w:after="0" w:line="240" w:lineRule="auto"/>
        <w:jc w:val="both"/>
        <w:textAlignment w:val="baseline"/>
        <w:rPr>
          <w:rFonts w:ascii="Arial" w:hAnsi="Arial" w:cs="Arial"/>
          <w:sz w:val="20"/>
        </w:rPr>
      </w:pPr>
      <w:r>
        <w:rPr>
          <w:rFonts w:ascii="Arial" w:hAnsi="Arial" w:cs="Arial"/>
          <w:sz w:val="20"/>
        </w:rPr>
        <w:t>E</w:t>
      </w:r>
      <w:r w:rsidRPr="0076665C">
        <w:rPr>
          <w:rFonts w:ascii="Arial" w:hAnsi="Arial" w:cs="Arial"/>
          <w:sz w:val="20"/>
        </w:rPr>
        <w:t>lementary schools (</w:t>
      </w:r>
      <w:r w:rsidRPr="0076665C">
        <w:rPr>
          <w:rFonts w:ascii="Arial" w:hAnsi="Arial" w:cs="Arial"/>
          <w:b/>
          <w:sz w:val="20"/>
        </w:rPr>
        <w:t>grades K–5</w:t>
      </w:r>
      <w:r w:rsidRPr="0076665C">
        <w:rPr>
          <w:rFonts w:ascii="Arial" w:hAnsi="Arial" w:cs="Arial"/>
          <w:sz w:val="20"/>
        </w:rPr>
        <w:t xml:space="preserve">); </w:t>
      </w:r>
    </w:p>
    <w:p w:rsidR="0081678A" w:rsidRPr="0076665C" w:rsidRDefault="0081678A" w:rsidP="0081678A">
      <w:pPr>
        <w:pStyle w:val="ListParagraph"/>
        <w:numPr>
          <w:ilvl w:val="0"/>
          <w:numId w:val="5"/>
        </w:numPr>
        <w:autoSpaceDE w:val="0"/>
        <w:autoSpaceDN w:val="0"/>
        <w:adjustRightInd w:val="0"/>
        <w:spacing w:after="0" w:line="240" w:lineRule="auto"/>
        <w:jc w:val="both"/>
        <w:textAlignment w:val="baseline"/>
        <w:rPr>
          <w:rFonts w:ascii="Arial" w:hAnsi="Arial" w:cs="Arial"/>
          <w:sz w:val="20"/>
        </w:rPr>
      </w:pPr>
      <w:r>
        <w:rPr>
          <w:rFonts w:ascii="Arial" w:hAnsi="Arial" w:cs="Arial"/>
          <w:sz w:val="20"/>
        </w:rPr>
        <w:t>M</w:t>
      </w:r>
      <w:r w:rsidRPr="0076665C">
        <w:rPr>
          <w:rFonts w:ascii="Arial" w:hAnsi="Arial" w:cs="Arial"/>
          <w:sz w:val="20"/>
        </w:rPr>
        <w:t>iddle school (</w:t>
      </w:r>
      <w:r w:rsidRPr="0076665C">
        <w:rPr>
          <w:rFonts w:ascii="Arial" w:hAnsi="Arial" w:cs="Arial"/>
          <w:b/>
          <w:sz w:val="20"/>
        </w:rPr>
        <w:t>grades 6–8</w:t>
      </w:r>
      <w:r w:rsidRPr="0076665C">
        <w:rPr>
          <w:rFonts w:ascii="Arial" w:hAnsi="Arial" w:cs="Arial"/>
          <w:sz w:val="20"/>
        </w:rPr>
        <w:t>); and</w:t>
      </w:r>
    </w:p>
    <w:p w:rsidR="0081678A" w:rsidRPr="0076665C" w:rsidRDefault="0081678A" w:rsidP="0081678A">
      <w:pPr>
        <w:pStyle w:val="ListParagraph"/>
        <w:numPr>
          <w:ilvl w:val="0"/>
          <w:numId w:val="5"/>
        </w:numPr>
        <w:autoSpaceDE w:val="0"/>
        <w:autoSpaceDN w:val="0"/>
        <w:adjustRightInd w:val="0"/>
        <w:spacing w:after="0" w:line="240" w:lineRule="auto"/>
        <w:jc w:val="both"/>
        <w:textAlignment w:val="baseline"/>
        <w:rPr>
          <w:rFonts w:ascii="Arial" w:hAnsi="Arial" w:cs="Arial"/>
          <w:sz w:val="20"/>
        </w:rPr>
      </w:pPr>
      <w:r>
        <w:rPr>
          <w:rFonts w:ascii="Arial" w:hAnsi="Arial" w:cs="Arial"/>
          <w:sz w:val="20"/>
        </w:rPr>
        <w:t>H</w:t>
      </w:r>
      <w:r w:rsidRPr="0076665C">
        <w:rPr>
          <w:rFonts w:ascii="Arial" w:hAnsi="Arial" w:cs="Arial"/>
          <w:sz w:val="20"/>
        </w:rPr>
        <w:t>igh school (</w:t>
      </w:r>
      <w:r w:rsidRPr="0076665C">
        <w:rPr>
          <w:rFonts w:ascii="Arial" w:hAnsi="Arial" w:cs="Arial"/>
          <w:b/>
          <w:sz w:val="20"/>
        </w:rPr>
        <w:t>grades 9–12</w:t>
      </w:r>
      <w:r w:rsidRPr="0076665C">
        <w:rPr>
          <w:rFonts w:ascii="Arial" w:hAnsi="Arial" w:cs="Arial"/>
          <w:sz w:val="20"/>
        </w:rPr>
        <w:t xml:space="preserve">). </w:t>
      </w:r>
    </w:p>
    <w:p w:rsidR="0081678A" w:rsidRPr="009347C9" w:rsidRDefault="0081678A" w:rsidP="009347C9">
      <w:pPr>
        <w:spacing w:after="120"/>
        <w:rPr>
          <w:rFonts w:cstheme="minorHAnsi"/>
          <w:sz w:val="24"/>
          <w:szCs w:val="24"/>
        </w:rPr>
      </w:pPr>
    </w:p>
    <w:sectPr w:rsidR="0081678A" w:rsidRPr="00934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4534"/>
    <w:multiLevelType w:val="hybridMultilevel"/>
    <w:tmpl w:val="A5D42A9A"/>
    <w:lvl w:ilvl="0" w:tplc="648A98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D0A5F"/>
    <w:multiLevelType w:val="hybridMultilevel"/>
    <w:tmpl w:val="F26E2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06BA8"/>
    <w:multiLevelType w:val="hybridMultilevel"/>
    <w:tmpl w:val="23863A28"/>
    <w:lvl w:ilvl="0" w:tplc="5DD89882">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7540DC"/>
    <w:multiLevelType w:val="hybridMultilevel"/>
    <w:tmpl w:val="8DFCA5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35756F"/>
    <w:multiLevelType w:val="hybridMultilevel"/>
    <w:tmpl w:val="C5804300"/>
    <w:lvl w:ilvl="0" w:tplc="3C783D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51"/>
    <w:rsid w:val="005316D7"/>
    <w:rsid w:val="005C112C"/>
    <w:rsid w:val="0063443B"/>
    <w:rsid w:val="0081678A"/>
    <w:rsid w:val="009347C9"/>
    <w:rsid w:val="00AB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 Bullet List Paragraph,Indented Paragraph"/>
    <w:basedOn w:val="Normal"/>
    <w:uiPriority w:val="34"/>
    <w:qFormat/>
    <w:rsid w:val="00AB7751"/>
    <w:pPr>
      <w:ind w:left="720"/>
      <w:contextualSpacing/>
    </w:pPr>
  </w:style>
  <w:style w:type="paragraph" w:styleId="NormalWeb">
    <w:name w:val="Normal (Web)"/>
    <w:basedOn w:val="Normal"/>
    <w:uiPriority w:val="99"/>
    <w:semiHidden/>
    <w:unhideWhenUsed/>
    <w:rsid w:val="00AB77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7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 Bullet List Paragraph,Indented Paragraph"/>
    <w:basedOn w:val="Normal"/>
    <w:uiPriority w:val="34"/>
    <w:qFormat/>
    <w:rsid w:val="00AB7751"/>
    <w:pPr>
      <w:ind w:left="720"/>
      <w:contextualSpacing/>
    </w:pPr>
  </w:style>
  <w:style w:type="paragraph" w:styleId="NormalWeb">
    <w:name w:val="Normal (Web)"/>
    <w:basedOn w:val="Normal"/>
    <w:uiPriority w:val="99"/>
    <w:semiHidden/>
    <w:unhideWhenUsed/>
    <w:rsid w:val="00AB77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7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22147">
      <w:bodyDiv w:val="1"/>
      <w:marLeft w:val="0"/>
      <w:marRight w:val="0"/>
      <w:marTop w:val="0"/>
      <w:marBottom w:val="0"/>
      <w:divBdr>
        <w:top w:val="none" w:sz="0" w:space="0" w:color="auto"/>
        <w:left w:val="none" w:sz="0" w:space="0" w:color="auto"/>
        <w:bottom w:val="none" w:sz="0" w:space="0" w:color="auto"/>
        <w:right w:val="none" w:sz="0" w:space="0" w:color="auto"/>
      </w:divBdr>
    </w:div>
    <w:div w:id="971591136">
      <w:bodyDiv w:val="1"/>
      <w:marLeft w:val="0"/>
      <w:marRight w:val="0"/>
      <w:marTop w:val="0"/>
      <w:marBottom w:val="0"/>
      <w:divBdr>
        <w:top w:val="none" w:sz="0" w:space="0" w:color="auto"/>
        <w:left w:val="none" w:sz="0" w:space="0" w:color="auto"/>
        <w:bottom w:val="none" w:sz="0" w:space="0" w:color="auto"/>
        <w:right w:val="none" w:sz="0" w:space="0" w:color="auto"/>
      </w:divBdr>
    </w:div>
    <w:div w:id="12931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Manley</dc:creator>
  <cp:lastModifiedBy>Joe Manley</cp:lastModifiedBy>
  <cp:revision>6</cp:revision>
  <dcterms:created xsi:type="dcterms:W3CDTF">2018-05-04T16:17:00Z</dcterms:created>
  <dcterms:modified xsi:type="dcterms:W3CDTF">2018-05-21T15:44:00Z</dcterms:modified>
</cp:coreProperties>
</file>