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F3755B" w14:textId="77777777"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14:paraId="2BE9EA31" w14:textId="77777777"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14:paraId="47CA343D" w14:textId="77777777"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14:paraId="3342EB37" w14:textId="77777777"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14:paraId="29467BC4" w14:textId="77777777"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14:paraId="1006DF6E" w14:textId="77777777"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14:paraId="1F3FA0BB" w14:textId="77777777" w:rsidTr="00BE1D5A">
        <w:tc>
          <w:tcPr>
            <w:tcW w:w="696" w:type="pct"/>
          </w:tcPr>
          <w:p w14:paraId="72B62E8A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14:paraId="52244B15" w14:textId="77777777" w:rsidR="00370E5A" w:rsidRPr="00BE1D5A" w:rsidRDefault="00731EA3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Journeys Common Core 2014</w:t>
            </w:r>
          </w:p>
        </w:tc>
        <w:tc>
          <w:tcPr>
            <w:tcW w:w="696" w:type="pct"/>
          </w:tcPr>
          <w:p w14:paraId="556154A5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11F92CFD" w14:textId="77777777" w:rsidR="00370E5A" w:rsidRDefault="00731EA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14:paraId="1B514691" w14:textId="77777777" w:rsidTr="00BE1D5A">
        <w:tc>
          <w:tcPr>
            <w:tcW w:w="696" w:type="pct"/>
          </w:tcPr>
          <w:p w14:paraId="6705EFF6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69D39BE3" w14:textId="77777777" w:rsidR="00370E5A" w:rsidRPr="00BE1D5A" w:rsidRDefault="005F1C0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</w:tc>
        <w:tc>
          <w:tcPr>
            <w:tcW w:w="696" w:type="pct"/>
          </w:tcPr>
          <w:p w14:paraId="76104667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6969CFAE" w14:textId="77777777" w:rsidR="00370E5A" w:rsidRDefault="00731EA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1E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BE1D5A" w14:paraId="2E2882F4" w14:textId="77777777" w:rsidTr="00BE1D5A">
        <w:tc>
          <w:tcPr>
            <w:tcW w:w="696" w:type="pct"/>
          </w:tcPr>
          <w:p w14:paraId="180CE1EC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4143EBE2" w14:textId="77777777" w:rsidR="00BE1D5A" w:rsidRPr="00BE1D5A" w:rsidRDefault="00731EA3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9780547885001</w:t>
            </w:r>
          </w:p>
        </w:tc>
        <w:tc>
          <w:tcPr>
            <w:tcW w:w="696" w:type="pct"/>
          </w:tcPr>
          <w:p w14:paraId="65BD0C13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20851FFA" w14:textId="77777777" w:rsidR="00BE1D5A" w:rsidRDefault="00731EA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9780547972879</w:t>
            </w:r>
          </w:p>
        </w:tc>
      </w:tr>
    </w:tbl>
    <w:p w14:paraId="633488E7" w14:textId="77777777"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14:paraId="717503F2" w14:textId="77777777"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14:paraId="7E623F75" w14:textId="77777777" w:rsidTr="008223F5">
        <w:tc>
          <w:tcPr>
            <w:tcW w:w="10350" w:type="dxa"/>
            <w:shd w:val="clear" w:color="auto" w:fill="FFFF00"/>
          </w:tcPr>
          <w:p w14:paraId="312548AF" w14:textId="77777777"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14:paraId="4C9BE42A" w14:textId="77777777" w:rsidTr="008223F5">
        <w:trPr>
          <w:trHeight w:val="720"/>
        </w:trPr>
        <w:tc>
          <w:tcPr>
            <w:tcW w:w="10350" w:type="dxa"/>
          </w:tcPr>
          <w:p w14:paraId="1A295C33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731E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1E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1E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31E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1E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731E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50E88">
              <w:rPr>
                <w:rFonts w:asciiTheme="minorHAnsi" w:hAnsiTheme="minorHAnsi" w:cstheme="minorHAnsi"/>
                <w:sz w:val="20"/>
                <w:szCs w:val="20"/>
              </w:rPr>
              <w:t xml:space="preserve"> 628</w:t>
            </w:r>
          </w:p>
          <w:p w14:paraId="3FC2CB32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627</w:t>
            </w:r>
          </w:p>
          <w:p w14:paraId="2EFA1F9F" w14:textId="77777777"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14:paraId="20237DF1" w14:textId="77777777" w:rsidTr="008223F5">
        <w:tc>
          <w:tcPr>
            <w:tcW w:w="10350" w:type="dxa"/>
            <w:shd w:val="clear" w:color="auto" w:fill="FFFF00"/>
            <w:vAlign w:val="center"/>
          </w:tcPr>
          <w:p w14:paraId="138CEB17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14:paraId="2E6EE2B5" w14:textId="77777777" w:rsidTr="008223F5">
        <w:tc>
          <w:tcPr>
            <w:tcW w:w="10350" w:type="dxa"/>
            <w:shd w:val="clear" w:color="auto" w:fill="auto"/>
            <w:vAlign w:val="center"/>
          </w:tcPr>
          <w:p w14:paraId="0CA33CF4" w14:textId="77777777"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60B2B" w14:textId="77777777"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0F54F9">
              <w:rPr>
                <w:rFonts w:asciiTheme="minorHAnsi" w:hAnsiTheme="minorHAnsi" w:cstheme="minorHAnsi"/>
                <w:sz w:val="20"/>
                <w:szCs w:val="20"/>
              </w:rPr>
              <w:t xml:space="preserve">Materials were consistent with meeting the majority of CCSS and were user friendly.  Each week was consistent and followed an orderly lesson(s) that built on previous learning.  Tasks/activities were age appropriate, meaningful and relevant. Most citations met Level 3 Bloom’s Taxonomy and resources and strategies were available to differentiate learning for diverse learners. There was a good balance of required text (non-fiction/fiction including genres.  </w:t>
            </w:r>
          </w:p>
          <w:p w14:paraId="7EC7691A" w14:textId="77777777"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80DA5" w14:textId="77777777"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D04EE2" w14:textId="77777777"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14:paraId="576BC12F" w14:textId="77777777" w:rsidTr="002B2028">
        <w:tc>
          <w:tcPr>
            <w:tcW w:w="10350" w:type="dxa"/>
            <w:shd w:val="clear" w:color="auto" w:fill="FAE87E"/>
            <w:vAlign w:val="center"/>
          </w:tcPr>
          <w:p w14:paraId="6EFC12D7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14:paraId="506F1BA9" w14:textId="77777777" w:rsidTr="008223F5">
        <w:trPr>
          <w:trHeight w:val="720"/>
        </w:trPr>
        <w:tc>
          <w:tcPr>
            <w:tcW w:w="10350" w:type="dxa"/>
          </w:tcPr>
          <w:p w14:paraId="5BDF044F" w14:textId="77777777"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F54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230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3. #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230</w:t>
            </w:r>
          </w:p>
          <w:p w14:paraId="15B53B8B" w14:textId="77777777"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0F54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228</w:t>
            </w:r>
          </w:p>
          <w:p w14:paraId="64BA0C1A" w14:textId="77777777"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14:paraId="740CEFA4" w14:textId="77777777" w:rsidTr="002B2028">
        <w:tc>
          <w:tcPr>
            <w:tcW w:w="10350" w:type="dxa"/>
            <w:shd w:val="clear" w:color="auto" w:fill="FAE87E"/>
            <w:vAlign w:val="center"/>
          </w:tcPr>
          <w:p w14:paraId="5184F08B" w14:textId="77777777"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14:paraId="6AE201FD" w14:textId="77777777" w:rsidTr="008223F5">
        <w:trPr>
          <w:trHeight w:val="1440"/>
        </w:trPr>
        <w:tc>
          <w:tcPr>
            <w:tcW w:w="10350" w:type="dxa"/>
          </w:tcPr>
          <w:p w14:paraId="2F525D0B" w14:textId="77777777"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82938" w14:textId="77777777" w:rsidR="00370E5A" w:rsidRDefault="008223F5" w:rsidP="00D03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D03B78">
              <w:rPr>
                <w:rFonts w:asciiTheme="minorHAnsi" w:hAnsiTheme="minorHAnsi" w:cstheme="minorHAnsi"/>
                <w:sz w:val="20"/>
                <w:szCs w:val="20"/>
              </w:rPr>
              <w:t>A wide variety of high quality texts with a variety of genres. Ample opportunity for vocabulary development and fluency practice including daily assessment.  Scaffolding and supports were evident and will give teachers a clear understanding of the progression should be for each group of students. Formative and Summative Assessments are provided as well as Rubrics for Retelling and Writing.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 Literacy Centers were included at the beginning of every lesson.</w:t>
            </w:r>
          </w:p>
        </w:tc>
      </w:tr>
      <w:tr w:rsidR="008223F5" w14:paraId="0C93A24A" w14:textId="77777777" w:rsidTr="002B2028">
        <w:tc>
          <w:tcPr>
            <w:tcW w:w="10350" w:type="dxa"/>
            <w:shd w:val="clear" w:color="auto" w:fill="FAE87E"/>
            <w:vAlign w:val="center"/>
          </w:tcPr>
          <w:p w14:paraId="7B732D09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14:paraId="641BFE0E" w14:textId="77777777" w:rsidTr="004B782F">
        <w:trPr>
          <w:trHeight w:val="1440"/>
        </w:trPr>
        <w:tc>
          <w:tcPr>
            <w:tcW w:w="10350" w:type="dxa"/>
            <w:shd w:val="clear" w:color="auto" w:fill="auto"/>
          </w:tcPr>
          <w:p w14:paraId="16C5B9A4" w14:textId="77777777"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F8A5E" w14:textId="77777777" w:rsidR="00D135E2" w:rsidRPr="00D135E2" w:rsidRDefault="008223F5" w:rsidP="000E3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0E31CC">
              <w:rPr>
                <w:rFonts w:asciiTheme="minorHAnsi" w:hAnsiTheme="minorHAnsi" w:cstheme="minorHAnsi"/>
                <w:sz w:val="20"/>
                <w:szCs w:val="20"/>
              </w:rPr>
              <w:t xml:space="preserve"> Student </w:t>
            </w:r>
            <w:r w:rsidR="00D03B7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E31CC">
              <w:rPr>
                <w:rFonts w:asciiTheme="minorHAnsi" w:hAnsiTheme="minorHAnsi" w:cstheme="minorHAnsi"/>
                <w:sz w:val="20"/>
                <w:szCs w:val="20"/>
              </w:rPr>
              <w:t>ditions</w:t>
            </w:r>
            <w:r w:rsidR="00D03B78">
              <w:rPr>
                <w:rFonts w:asciiTheme="minorHAnsi" w:hAnsiTheme="minorHAnsi" w:cstheme="minorHAnsi"/>
                <w:sz w:val="20"/>
                <w:szCs w:val="20"/>
              </w:rPr>
              <w:t xml:space="preserve"> were visually appealing with a good representation of Cultural diversity. </w:t>
            </w:r>
            <w:r w:rsidR="000E31CC">
              <w:rPr>
                <w:rFonts w:asciiTheme="minorHAnsi" w:hAnsiTheme="minorHAnsi" w:cstheme="minorHAnsi"/>
                <w:sz w:val="20"/>
                <w:szCs w:val="20"/>
              </w:rPr>
              <w:t xml:space="preserve">Student Editions </w:t>
            </w:r>
            <w:r w:rsidR="00D03B7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cluded a balance of </w:t>
            </w:r>
            <w:r w:rsidR="00D03B78">
              <w:rPr>
                <w:rFonts w:asciiTheme="minorHAnsi" w:hAnsiTheme="minorHAnsi" w:cstheme="minorHAnsi"/>
                <w:sz w:val="20"/>
                <w:szCs w:val="20"/>
              </w:rPr>
              <w:t xml:space="preserve">both fiction and informational text. 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1CC">
              <w:rPr>
                <w:rFonts w:asciiTheme="minorHAnsi" w:hAnsiTheme="minorHAnsi" w:cstheme="minorHAnsi"/>
                <w:sz w:val="20"/>
                <w:szCs w:val="20"/>
              </w:rPr>
              <w:t xml:space="preserve">Student Editions 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provided an opportunity for ongoing review and practice. </w:t>
            </w:r>
            <w:r w:rsidR="000E31CC">
              <w:rPr>
                <w:rFonts w:asciiTheme="minorHAnsi" w:hAnsiTheme="minorHAnsi" w:cstheme="minorHAnsi"/>
                <w:sz w:val="20"/>
                <w:szCs w:val="20"/>
              </w:rPr>
              <w:t>Teacher Editions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provided tiered activities for differentiated instruction along with objectives and assessments.  </w:t>
            </w:r>
          </w:p>
        </w:tc>
      </w:tr>
      <w:tr w:rsidR="000D6EF4" w14:paraId="70BF6E99" w14:textId="77777777" w:rsidTr="004B782F">
        <w:tc>
          <w:tcPr>
            <w:tcW w:w="10350" w:type="dxa"/>
            <w:shd w:val="clear" w:color="auto" w:fill="FFC000"/>
            <w:vAlign w:val="center"/>
          </w:tcPr>
          <w:p w14:paraId="20EE4AFC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14:paraId="282B3BEF" w14:textId="77777777" w:rsidTr="00370E5A">
        <w:tc>
          <w:tcPr>
            <w:tcW w:w="10350" w:type="dxa"/>
          </w:tcPr>
          <w:p w14:paraId="7B02E79A" w14:textId="1E376D79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1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A5F13">
              <w:rPr>
                <w:rFonts w:asciiTheme="minorHAnsi" w:hAnsiTheme="minorHAnsi" w:cstheme="minorHAnsi"/>
                <w:sz w:val="20"/>
                <w:szCs w:val="20"/>
              </w:rPr>
              <w:t>Level 3/K-3 Teacher of 15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I appreciated the organization of the scope and sequence of the lessons provided.  It was very user friendly.  </w:t>
            </w:r>
          </w:p>
          <w:p w14:paraId="397C013F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8A2EE" w14:textId="3B941E72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1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 w:rsidR="006674D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>Level 3/</w:t>
            </w:r>
            <w:r w:rsidR="004A5F13">
              <w:rPr>
                <w:rFonts w:asciiTheme="minorHAnsi" w:hAnsiTheme="minorHAnsi" w:cstheme="minorHAnsi"/>
                <w:sz w:val="20"/>
                <w:szCs w:val="20"/>
              </w:rPr>
              <w:t xml:space="preserve">District 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>Literacy Coach</w:t>
            </w:r>
            <w:r w:rsidR="00AE5E3A">
              <w:rPr>
                <w:rFonts w:asciiTheme="minorHAnsi" w:hAnsiTheme="minorHAnsi" w:cstheme="minorHAnsi"/>
                <w:sz w:val="20"/>
                <w:szCs w:val="20"/>
              </w:rPr>
              <w:t>. 24 years experience.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6674D6">
              <w:rPr>
                <w:rFonts w:asciiTheme="minorHAnsi" w:hAnsiTheme="minorHAnsi" w:cstheme="minorHAnsi"/>
                <w:sz w:val="20"/>
                <w:szCs w:val="20"/>
              </w:rPr>
              <w:t xml:space="preserve"> The teacher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editions were approachable and user friendly.  The </w:t>
            </w:r>
            <w:r w:rsidR="006674D6">
              <w:rPr>
                <w:rFonts w:asciiTheme="minorHAnsi" w:hAnsiTheme="minorHAnsi" w:cstheme="minorHAnsi"/>
                <w:sz w:val="20"/>
                <w:szCs w:val="20"/>
              </w:rPr>
              <w:t>Student Editions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were visually appealing and included a variety of texts.</w:t>
            </w:r>
          </w:p>
          <w:p w14:paraId="2E9F6485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E016E9" w14:textId="670AB101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1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E5E3A">
              <w:rPr>
                <w:rFonts w:asciiTheme="minorHAnsi" w:hAnsiTheme="minorHAnsi" w:cstheme="minorHAnsi"/>
                <w:sz w:val="20"/>
                <w:szCs w:val="20"/>
              </w:rPr>
              <w:t>Level 3/Reading Specialist. 20 years experience.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     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omments:  </w:t>
            </w:r>
            <w:r w:rsidR="00D135E2">
              <w:rPr>
                <w:rFonts w:asciiTheme="minorHAnsi" w:hAnsiTheme="minorHAnsi" w:cstheme="minorHAnsi"/>
                <w:sz w:val="20"/>
                <w:szCs w:val="20"/>
              </w:rPr>
              <w:t xml:space="preserve"> The program was well organized and incorporated the CCSS.  The material was </w:t>
            </w:r>
            <w:r w:rsidR="00E35366">
              <w:rPr>
                <w:rFonts w:asciiTheme="minorHAnsi" w:hAnsiTheme="minorHAnsi" w:cstheme="minorHAnsi"/>
                <w:sz w:val="20"/>
                <w:szCs w:val="20"/>
              </w:rPr>
              <w:t>appealing for both students and teachers alike.</w:t>
            </w:r>
          </w:p>
          <w:p w14:paraId="36DBC542" w14:textId="77777777"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5E2" w14:paraId="2EA47F87" w14:textId="77777777" w:rsidTr="00370E5A">
        <w:tc>
          <w:tcPr>
            <w:tcW w:w="10350" w:type="dxa"/>
          </w:tcPr>
          <w:p w14:paraId="1DA71A31" w14:textId="77777777" w:rsidR="00D135E2" w:rsidRDefault="00D135E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BD1A95" w14:textId="77777777"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C903" w14:textId="77777777" w:rsidR="008223F5" w:rsidRDefault="008223F5">
      <w:r>
        <w:separator/>
      </w:r>
    </w:p>
  </w:endnote>
  <w:endnote w:type="continuationSeparator" w:id="0">
    <w:p w14:paraId="5729A6FE" w14:textId="77777777"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BD57" w14:textId="77777777" w:rsidR="008223F5" w:rsidRDefault="008223F5">
      <w:r>
        <w:separator/>
      </w:r>
    </w:p>
  </w:footnote>
  <w:footnote w:type="continuationSeparator" w:id="0">
    <w:p w14:paraId="1E42439B" w14:textId="77777777"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1CC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4F9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77A67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5F13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1C0C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674D6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1EA3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5E3A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3B78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5E2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0E88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5BA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366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B61DAE"/>
  <w15:docId w15:val="{569343CE-A22E-41DC-B39B-2E009E8C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2518-1904-490C-82B9-C5CA341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3080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2015-04-23T19:24:00Z</cp:lastPrinted>
  <dcterms:created xsi:type="dcterms:W3CDTF">2018-04-24T22:13:00Z</dcterms:created>
  <dcterms:modified xsi:type="dcterms:W3CDTF">2018-04-24T22:13:00Z</dcterms:modified>
</cp:coreProperties>
</file>