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1161D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Journeys Common Core 2014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1161D8" w:rsidRDefault="001161D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161D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161D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161D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9780547885032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161D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9780547972954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F0D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683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690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161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F0D8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684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9F0D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0D8D" w:rsidRDefault="009F0D8D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216" w:rsidRDefault="009F0D8D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is well organized </w:t>
            </w:r>
            <w:r w:rsidR="004A7216">
              <w:rPr>
                <w:rFonts w:asciiTheme="minorHAnsi" w:hAnsiTheme="minorHAnsi" w:cstheme="minorHAnsi"/>
                <w:sz w:val="20"/>
                <w:szCs w:val="20"/>
              </w:rPr>
              <w:t>and formatted similar to other grade levels for alignment.  If a teacher follows this program with fidelity then all CCSS will be covered as required by that grade level.  Seve</w:t>
            </w:r>
            <w:r w:rsidR="004A6BC5">
              <w:rPr>
                <w:rFonts w:asciiTheme="minorHAnsi" w:hAnsiTheme="minorHAnsi" w:cstheme="minorHAnsi"/>
                <w:sz w:val="20"/>
                <w:szCs w:val="20"/>
              </w:rPr>
              <w:t>ral components stood</w:t>
            </w:r>
            <w:r w:rsidR="004A7216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:rsidR="004A7216" w:rsidRDefault="004A721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-Text complexity rubrics at the beginning of each lesson</w:t>
            </w:r>
          </w:p>
          <w:p w:rsidR="009F0D8D" w:rsidRDefault="004A721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-Reader’s notebook for text analysis and citing textual evidence as well as vocabulary strategies, and grammar and writing traits.  </w:t>
            </w:r>
          </w:p>
          <w:p w:rsidR="004A7216" w:rsidRDefault="004A721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-Weekly leveled readers</w:t>
            </w:r>
          </w:p>
          <w:p w:rsidR="004A7216" w:rsidRDefault="004A721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-Writing Exemplar included a picture of a student with a comment about their writing process to help students relate.</w:t>
            </w:r>
          </w:p>
          <w:p w:rsidR="004A7216" w:rsidRDefault="004A7216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-“Preview the text” section was included to build background knowledge about the days text selections. 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215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864F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205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986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986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864F5" w:rsidRDefault="009864F5" w:rsidP="00986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Materials provided activities including extensive opportunities to write and respond to sources.  Scaffolds for close reading for each lesson were also included.  Teacher read-alouds were incorporated.  Good mix of independent/group work was embedded throughout “peer-assisted learning.”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986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9864F5" w:rsidRDefault="009864F5" w:rsidP="009864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provides learning progressions for an overview of scope and sequence of skills and concepts as well as small group planner.  Interactive focus wall</w:t>
            </w:r>
            <w:r w:rsidR="005A434B">
              <w:rPr>
                <w:rFonts w:asciiTheme="minorHAnsi" w:hAnsiTheme="minorHAnsi" w:cstheme="minorHAnsi"/>
                <w:sz w:val="20"/>
                <w:szCs w:val="20"/>
              </w:rPr>
              <w:t xml:space="preserve"> was included in the “go digital” section.  Program uses a wide variety of student graphic organizers.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A43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434B">
              <w:rPr>
                <w:rFonts w:asciiTheme="minorHAnsi" w:hAnsiTheme="minorHAnsi" w:cstheme="minorHAnsi"/>
                <w:sz w:val="20"/>
                <w:szCs w:val="20"/>
              </w:rPr>
              <w:t>Level 3 K-3 Teacher of 15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5A434B" w:rsidRDefault="005A434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 was organized and easy to follow.  I appreciated seeing the progression of student learning.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A43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434B">
              <w:rPr>
                <w:rFonts w:asciiTheme="minorHAnsi" w:hAnsiTheme="minorHAnsi" w:cstheme="minorHAnsi"/>
                <w:sz w:val="20"/>
                <w:szCs w:val="20"/>
              </w:rPr>
              <w:t>Level 3 District Literacy Coach</w:t>
            </w:r>
            <w:r w:rsidR="004A6BC5">
              <w:rPr>
                <w:rFonts w:asciiTheme="minorHAnsi" w:hAnsiTheme="minorHAnsi" w:cstheme="minorHAnsi"/>
                <w:sz w:val="20"/>
                <w:szCs w:val="20"/>
              </w:rPr>
              <w:t>, 24 years experience.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5A434B" w:rsidRPr="00370E5A" w:rsidRDefault="005A434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Curriculum was easy to follow and provided multiple teacher resources to meet varying levels of student need.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34B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A43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434B">
              <w:rPr>
                <w:rFonts w:asciiTheme="minorHAnsi" w:hAnsiTheme="minorHAnsi" w:cstheme="minorHAnsi"/>
                <w:sz w:val="20"/>
                <w:szCs w:val="20"/>
              </w:rPr>
              <w:t>Level 3 Reading Specialist</w:t>
            </w:r>
            <w:r w:rsidR="004A6BC5">
              <w:rPr>
                <w:rFonts w:asciiTheme="minorHAnsi" w:hAnsiTheme="minorHAnsi" w:cstheme="minorHAnsi"/>
                <w:sz w:val="20"/>
                <w:szCs w:val="20"/>
              </w:rPr>
              <w:t>, 20 years experience.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</w:p>
          <w:p w:rsidR="005A434B" w:rsidRPr="00370E5A" w:rsidRDefault="005A434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was a wide range of culturally diverse and inviting literature and informational text.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161D8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BC5"/>
    <w:rsid w:val="004A7216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641E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434B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4BF6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221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64F5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0D8D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0D5CC35-C067-4308-ABC4-9EAB4D1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9B5D-45B6-49B8-B37E-41CB932D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2981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2018-04-24T22:13:00Z</dcterms:created>
  <dcterms:modified xsi:type="dcterms:W3CDTF">2018-04-24T22:13:00Z</dcterms:modified>
</cp:coreProperties>
</file>