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BF7896" w:rsidP="00BF7896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Discovering French Today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63233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63233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French I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164FA8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9780547871561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63233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164FA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9780547871851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900" w:type="dxa"/>
        <w:tblInd w:w="-522" w:type="dxa"/>
        <w:tblLook w:val="04A0" w:firstRow="1" w:lastRow="0" w:firstColumn="1" w:lastColumn="0" w:noHBand="0" w:noVBand="1"/>
      </w:tblPr>
      <w:tblGrid>
        <w:gridCol w:w="9900"/>
      </w:tblGrid>
      <w:tr w:rsidR="002B2028" w:rsidTr="00164FA8">
        <w:trPr>
          <w:trHeight w:val="181"/>
        </w:trPr>
        <w:tc>
          <w:tcPr>
            <w:tcW w:w="990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64FA8">
        <w:trPr>
          <w:trHeight w:val="2708"/>
        </w:trPr>
        <w:tc>
          <w:tcPr>
            <w:tcW w:w="9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Pr="0099001E" w:rsidRDefault="00200165" w:rsidP="00990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>Reviewer # and Section 1 Total:    #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001E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180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334" w:rsidRPr="009900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175</w:t>
            </w:r>
          </w:p>
          <w:p w:rsidR="00200165" w:rsidRPr="0099001E" w:rsidRDefault="00200165" w:rsidP="0099001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DB675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178</w:t>
            </w:r>
            <w:r w:rsidR="0086452A" w:rsidRPr="0099001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9001E" w:rsidRDefault="0099001E" w:rsidP="009900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99001E" w:rsidRDefault="00200165" w:rsidP="00990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86452A" w:rsidRPr="0099001E" w:rsidRDefault="0099001E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NMAC R</w:t>
            </w:r>
            <w:r w:rsidR="00DB40A1" w:rsidRPr="0099001E">
              <w:rPr>
                <w:rFonts w:asciiTheme="minorHAnsi" w:hAnsiTheme="minorHAnsi" w:cstheme="minorHAnsi"/>
                <w:b/>
                <w:sz w:val="20"/>
                <w:szCs w:val="20"/>
              </w:rPr>
              <w:t>equirements</w:t>
            </w:r>
            <w:r w:rsidR="0086452A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DB40A1" w:rsidRPr="0099001E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 w:rsidRPr="0099001E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BB308C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Fulfils requirements of standards.   </w:t>
            </w:r>
          </w:p>
          <w:p w:rsidR="0086452A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Objectives were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easy to find.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>Differentiat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ion was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somewhat evident but weak.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Several informational texts available.</w:t>
            </w:r>
          </w:p>
          <w:p w:rsidR="0086452A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99001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>Aw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kward digital format; Videos were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outdated (1982); 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>Audio, video, PowerPoint, online @</w:t>
            </w:r>
            <w:proofErr w:type="spellStart"/>
            <w:r w:rsidR="00463A76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omeTutor</w:t>
            </w:r>
            <w:proofErr w:type="spellEnd"/>
            <w:r w:rsidR="00DB675F">
              <w:rPr>
                <w:rFonts w:asciiTheme="minorHAnsi" w:hAnsiTheme="minorHAnsi" w:cstheme="minorHAnsi"/>
                <w:sz w:val="20"/>
                <w:szCs w:val="20"/>
              </w:rPr>
              <w:t>, digital components were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available.</w:t>
            </w:r>
          </w:p>
          <w:p w:rsidR="00DB40A1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proofErr w:type="spellStart"/>
            <w:r w:rsidR="00463A76">
              <w:rPr>
                <w:rFonts w:asciiTheme="minorHAnsi" w:hAnsiTheme="minorHAnsi" w:cstheme="minorHAnsi"/>
                <w:sz w:val="20"/>
                <w:szCs w:val="20"/>
              </w:rPr>
              <w:t>HomeTutor</w:t>
            </w:r>
            <w:proofErr w:type="spellEnd"/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component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was useful.  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Opportunities for formative and summative assessment thro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ughout.  Performance Space appeared to be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useful.</w:t>
            </w:r>
          </w:p>
          <w:p w:rsidR="00DB40A1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Activity responses in Teacher Edition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were placed 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>near exercises.  Text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book was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well organized and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easy to follow.  Directions were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clear.</w:t>
            </w:r>
          </w:p>
          <w:p w:rsidR="003457AB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Publisher </w:t>
            </w:r>
            <w:r w:rsidR="00463A76" w:rsidRPr="0013049E">
              <w:rPr>
                <w:rFonts w:asciiTheme="minorHAnsi" w:hAnsiTheme="minorHAnsi" w:cstheme="minorHAnsi"/>
                <w:sz w:val="20"/>
                <w:szCs w:val="20"/>
              </w:rPr>
              <w:t>provided digital content and technical specifications for digital platforms.  Assistance is available (Rubric Maker).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 Some digital components correspond to a different textbook series and do not correspond to the pages in Discovering French.</w:t>
            </w:r>
          </w:p>
          <w:p w:rsidR="00200165" w:rsidRPr="0099001E" w:rsidRDefault="003457AB" w:rsidP="00463A7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="00DB40A1" w:rsidRPr="00810E14">
              <w:rPr>
                <w:rFonts w:asciiTheme="minorHAnsi" w:hAnsiTheme="minorHAnsi" w:cstheme="minorHAnsi"/>
                <w:b/>
                <w:sz w:val="20"/>
                <w:szCs w:val="20"/>
              </w:rPr>
              <w:t>mmunication, Cultures, Connection and Comparisons/Communities</w:t>
            </w:r>
            <w:r w:rsidR="00DB40A1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nit opener indicated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what form the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support of each of the 5Cs would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take as well as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where, within the text, each was found.  There were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many opportunities to make world connections.</w:t>
            </w:r>
            <w:r w:rsidR="008E79CC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D6EF4" w:rsidTr="00164FA8">
        <w:trPr>
          <w:trHeight w:val="181"/>
        </w:trPr>
        <w:tc>
          <w:tcPr>
            <w:tcW w:w="9900" w:type="dxa"/>
            <w:shd w:val="clear" w:color="auto" w:fill="FAE87E"/>
            <w:vAlign w:val="center"/>
          </w:tcPr>
          <w:p w:rsidR="000D6EF4" w:rsidRPr="0099001E" w:rsidRDefault="0089368C" w:rsidP="0099001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 w:rsidRPr="009900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 w:rsidRPr="0099001E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64FA8">
        <w:trPr>
          <w:trHeight w:val="2708"/>
        </w:trPr>
        <w:tc>
          <w:tcPr>
            <w:tcW w:w="9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Pr="00810E14" w:rsidRDefault="00370E5A" w:rsidP="00810E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>Reviewer # and Section 2.A Total:      #</w:t>
            </w:r>
            <w:r w:rsidR="00810E14" w:rsidRPr="00810E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7 </w:t>
            </w:r>
            <w:r w:rsidR="00810E14"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EE69E8"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0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96</w:t>
            </w:r>
            <w:r w:rsidR="00810E1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41F05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EE69E8" w:rsidRPr="00810E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810E14" w:rsidRPr="00810E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10E14"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9E8" w:rsidRPr="00810E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164F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109</w:t>
            </w: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1F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509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EE69E8"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9E8" w:rsidRPr="00810E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64FA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64F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90</w:t>
            </w:r>
          </w:p>
          <w:p w:rsidR="00CF53D9" w:rsidRPr="00810E14" w:rsidRDefault="00370E5A" w:rsidP="00810E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164F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98</w:t>
            </w:r>
            <w:r w:rsidR="00490321" w:rsidRPr="00810E1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41F05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000B">
              <w:rPr>
                <w:rFonts w:asciiTheme="minorHAnsi" w:hAnsiTheme="minorHAnsi" w:cstheme="minorHAnsi"/>
                <w:sz w:val="20"/>
                <w:szCs w:val="20"/>
              </w:rPr>
              <w:t>Online News and Networking as well as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 xml:space="preserve"> digital interactive reader</w:t>
            </w:r>
            <w:r w:rsidR="0094000B">
              <w:rPr>
                <w:rFonts w:asciiTheme="minorHAnsi" w:hAnsiTheme="minorHAnsi" w:cstheme="minorHAnsi"/>
                <w:sz w:val="20"/>
                <w:szCs w:val="20"/>
              </w:rPr>
              <w:t xml:space="preserve"> are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 nice feature</w:t>
            </w:r>
            <w:r w:rsidR="0094000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63A7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 xml:space="preserve">Well organized but a bit busy. Visually stimulating,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yet some pages had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 xml:space="preserve"> too much visual information.  Many pages text-heavy.</w:t>
            </w:r>
          </w:p>
          <w:p w:rsidR="00DB40A1" w:rsidRPr="0099001E" w:rsidRDefault="00DB40A1" w:rsidP="0099001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41F05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Well organized. Text had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 xml:space="preserve"> very few s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upports for advanced learners. A n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>ice feature was the Performance Space interactive component.</w:t>
            </w:r>
          </w:p>
          <w:p w:rsidR="00DB40A1" w:rsidRPr="0099001E" w:rsidRDefault="00DB40A1" w:rsidP="009F028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41F05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9900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 xml:space="preserve">Many lessons within a unit provide assessment opportunities.  Some strategies are present.  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 xml:space="preserve"> Paper is somewhat thin.  TE had some visual flaws that could</w:t>
            </w:r>
            <w:r w:rsidR="009F0286">
              <w:rPr>
                <w:rFonts w:asciiTheme="minorHAnsi" w:hAnsiTheme="minorHAnsi" w:cstheme="minorHAnsi"/>
                <w:sz w:val="20"/>
                <w:szCs w:val="20"/>
              </w:rPr>
              <w:t xml:space="preserve"> interfere with visual clarity. (Blurry images.)</w:t>
            </w:r>
          </w:p>
        </w:tc>
      </w:tr>
      <w:tr w:rsidR="000D6EF4" w:rsidTr="00164FA8">
        <w:trPr>
          <w:trHeight w:val="191"/>
        </w:trPr>
        <w:tc>
          <w:tcPr>
            <w:tcW w:w="990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64FA8">
        <w:trPr>
          <w:trHeight w:val="2708"/>
        </w:trPr>
        <w:tc>
          <w:tcPr>
            <w:tcW w:w="99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1F05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371349"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71349">
              <w:rPr>
                <w:rFonts w:asciiTheme="minorHAnsi" w:hAnsiTheme="minorHAnsi" w:cstheme="minorHAnsi"/>
                <w:sz w:val="20"/>
                <w:szCs w:val="20"/>
              </w:rPr>
              <w:t>High School French 9-12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 xml:space="preserve">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>:  Frustrated that many current event images, style of dress, refer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ences to movies and athletes were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 xml:space="preserve"> dated to the 1980’s.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F05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371349"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71349">
              <w:rPr>
                <w:rFonts w:asciiTheme="minorHAnsi" w:hAnsiTheme="minorHAnsi" w:cstheme="minorHAnsi"/>
                <w:sz w:val="20"/>
                <w:szCs w:val="20"/>
              </w:rPr>
              <w:t>High School French &amp; Spanish 9-12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 xml:space="preserve">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>Very good but jumbled and busy</w:t>
            </w:r>
            <w:r w:rsidR="00F374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1F05" w:rsidRDefault="00370E5A" w:rsidP="00F374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350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Reviewer #: </w:t>
            </w:r>
            <w:r w:rsidR="00371349" w:rsidRPr="00ED350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20978">
              <w:rPr>
                <w:rFonts w:asciiTheme="minorHAnsi" w:hAnsiTheme="minorHAnsi" w:cstheme="minorHAnsi"/>
                <w:sz w:val="20"/>
                <w:szCs w:val="20"/>
              </w:rPr>
              <w:t xml:space="preserve"> High School French &amp; Spanish 9-12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 xml:space="preserve"> Instructor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614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>Due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 xml:space="preserve"> to the use of many dated visual pictures and supplementary </w:t>
            </w:r>
            <w:r w:rsidR="00476D4B">
              <w:rPr>
                <w:rFonts w:asciiTheme="minorHAnsi" w:hAnsiTheme="minorHAnsi" w:cstheme="minorHAnsi"/>
                <w:sz w:val="20"/>
                <w:szCs w:val="20"/>
              </w:rPr>
              <w:t xml:space="preserve">materials </w:t>
            </w:r>
            <w:bookmarkStart w:id="0" w:name="_GoBack"/>
            <w:bookmarkEnd w:id="0"/>
            <w:r w:rsidR="00614F77">
              <w:rPr>
                <w:rFonts w:asciiTheme="minorHAnsi" w:hAnsiTheme="minorHAnsi" w:cstheme="minorHAnsi"/>
                <w:sz w:val="20"/>
                <w:szCs w:val="20"/>
              </w:rPr>
              <w:t>it was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 xml:space="preserve"> diffic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ult to say that this textbook was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 xml:space="preserve"> up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-date.  D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 xml:space="preserve">igital items included in the online version 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 xml:space="preserve">did </w:t>
            </w:r>
            <w:r w:rsidR="00DB675F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 xml:space="preserve">t </w:t>
            </w:r>
            <w:r w:rsidR="00614F77">
              <w:rPr>
                <w:rFonts w:asciiTheme="minorHAnsi" w:hAnsiTheme="minorHAnsi" w:cstheme="minorHAnsi"/>
                <w:sz w:val="20"/>
                <w:szCs w:val="20"/>
              </w:rPr>
              <w:t>always correspond to the</w:t>
            </w:r>
            <w:r w:rsidR="00D246AD">
              <w:rPr>
                <w:rFonts w:asciiTheme="minorHAnsi" w:hAnsiTheme="minorHAnsi" w:cstheme="minorHAnsi"/>
                <w:sz w:val="20"/>
                <w:szCs w:val="20"/>
              </w:rPr>
              <w:t xml:space="preserve"> textbook.</w:t>
            </w:r>
          </w:p>
        </w:tc>
      </w:tr>
    </w:tbl>
    <w:p w:rsidR="00BE3ACC" w:rsidRPr="00A542AA" w:rsidRDefault="00BE3ACC" w:rsidP="00ED3509">
      <w:pPr>
        <w:rPr>
          <w:rFonts w:asciiTheme="minorHAnsi" w:hAnsiTheme="minorHAnsi" w:cstheme="minorHAnsi"/>
          <w:sz w:val="20"/>
          <w:szCs w:val="20"/>
        </w:rPr>
      </w:pP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B5" w:rsidRDefault="00F92FB5">
      <w:r>
        <w:separator/>
      </w:r>
    </w:p>
  </w:endnote>
  <w:endnote w:type="continuationSeparator" w:id="0">
    <w:p w:rsidR="00F92FB5" w:rsidRDefault="00F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B8676A" w:rsidRPr="00B8676A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B5" w:rsidRDefault="00F92FB5">
      <w:r>
        <w:separator/>
      </w:r>
    </w:p>
  </w:footnote>
  <w:footnote w:type="continuationSeparator" w:id="0">
    <w:p w:rsidR="00F92FB5" w:rsidRDefault="00F9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09B0"/>
    <w:multiLevelType w:val="hybridMultilevel"/>
    <w:tmpl w:val="A86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576E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4FA8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57AB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349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3A76"/>
    <w:rsid w:val="004659AD"/>
    <w:rsid w:val="00467D02"/>
    <w:rsid w:val="0047021B"/>
    <w:rsid w:val="0047119B"/>
    <w:rsid w:val="0047396B"/>
    <w:rsid w:val="0047586C"/>
    <w:rsid w:val="00476163"/>
    <w:rsid w:val="00476370"/>
    <w:rsid w:val="00476D4B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0978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518A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4F77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2334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1F05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3EE1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0E14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4D2B"/>
    <w:rsid w:val="008E53EB"/>
    <w:rsid w:val="008E66D3"/>
    <w:rsid w:val="008E6EA0"/>
    <w:rsid w:val="008E75FD"/>
    <w:rsid w:val="008E79CC"/>
    <w:rsid w:val="008F07F9"/>
    <w:rsid w:val="008F13D8"/>
    <w:rsid w:val="008F1E43"/>
    <w:rsid w:val="008F2C9A"/>
    <w:rsid w:val="008F2D0C"/>
    <w:rsid w:val="008F3C90"/>
    <w:rsid w:val="008F5E4E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6693"/>
    <w:rsid w:val="009173C2"/>
    <w:rsid w:val="00920ABA"/>
    <w:rsid w:val="00920DA1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000B"/>
    <w:rsid w:val="00941234"/>
    <w:rsid w:val="00942A80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01E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286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1F6E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3F7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676A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08C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BF7896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1B1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41E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46AD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75F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07AD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3509"/>
    <w:rsid w:val="00ED4239"/>
    <w:rsid w:val="00ED65CA"/>
    <w:rsid w:val="00ED6C5C"/>
    <w:rsid w:val="00ED6FCD"/>
    <w:rsid w:val="00ED7EE2"/>
    <w:rsid w:val="00EE08CA"/>
    <w:rsid w:val="00EE1651"/>
    <w:rsid w:val="00EE583C"/>
    <w:rsid w:val="00EE69E8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475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2FB5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18C7-F031-4D59-B3ED-6CC50C68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3353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6</cp:revision>
  <cp:lastPrinted>2013-05-31T15:33:00Z</cp:lastPrinted>
  <dcterms:created xsi:type="dcterms:W3CDTF">2014-06-03T20:11:00Z</dcterms:created>
  <dcterms:modified xsi:type="dcterms:W3CDTF">2014-06-04T15:20:00Z</dcterms:modified>
</cp:coreProperties>
</file>