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C9277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Cumbre</w:t>
            </w:r>
            <w:proofErr w:type="spellEnd"/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C9277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7-12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C9277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AP Spanish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C92771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9781111834319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C9277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Cengage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C9277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9781111838201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#</w:t>
            </w:r>
            <w:r w:rsidR="00C9277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5244">
              <w:rPr>
                <w:rFonts w:asciiTheme="minorHAnsi" w:hAnsiTheme="minorHAnsi" w:cstheme="minorHAnsi"/>
                <w:sz w:val="20"/>
                <w:szCs w:val="20"/>
              </w:rPr>
              <w:t xml:space="preserve">TOTAL </w:t>
            </w:r>
            <w:r w:rsidR="00C05244" w:rsidRPr="00C052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#</w:t>
            </w:r>
            <w:r w:rsidR="00C9277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927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2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C052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#</w:t>
            </w:r>
            <w:r w:rsidR="00C9277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927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277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052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13266" w:rsidRDefault="00113266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Pr="003E23E1" w:rsidRDefault="00DB40A1" w:rsidP="003E23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>NMAC requirements</w:t>
            </w:r>
            <w:r w:rsidR="0086452A"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>1-7</w:t>
            </w:r>
            <w:r w:rsidR="0086452A"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  <w:r w:rsidR="00C05244"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92771" w:rsidRPr="003E23E1">
              <w:rPr>
                <w:rFonts w:asciiTheme="minorHAnsi" w:hAnsiTheme="minorHAnsi" w:cstheme="minorHAnsi"/>
                <w:sz w:val="20"/>
                <w:szCs w:val="20"/>
              </w:rPr>
              <w:t>Provided opportunities for students to speak, read, write, and listen.</w:t>
            </w:r>
          </w:p>
          <w:p w:rsidR="0086452A" w:rsidRPr="003E23E1" w:rsidRDefault="00DB40A1" w:rsidP="003E23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>Content (8-13</w:t>
            </w:r>
            <w:r w:rsidR="0086452A"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  <w:r w:rsidR="0086452A" w:rsidRPr="003E2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2771" w:rsidRPr="003E23E1">
              <w:rPr>
                <w:rFonts w:asciiTheme="minorHAnsi" w:hAnsiTheme="minorHAnsi" w:cstheme="minorHAnsi"/>
                <w:sz w:val="20"/>
                <w:szCs w:val="20"/>
              </w:rPr>
              <w:t>Audio and video provided online. Met standards</w:t>
            </w:r>
            <w:r w:rsidR="007E050E" w:rsidRPr="003E23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6452A" w:rsidRPr="003E23E1" w:rsidRDefault="00DB40A1" w:rsidP="003E23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>Equity and Accessibility (14-16)</w:t>
            </w:r>
            <w:r w:rsidR="0086452A"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13266" w:rsidRPr="003E2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2771" w:rsidRPr="003E23E1">
              <w:rPr>
                <w:rFonts w:asciiTheme="minorHAnsi" w:hAnsiTheme="minorHAnsi" w:cstheme="minorHAnsi"/>
                <w:sz w:val="20"/>
                <w:szCs w:val="20"/>
              </w:rPr>
              <w:t xml:space="preserve">Online text available on MAC and PC. </w:t>
            </w:r>
            <w:r w:rsidR="007E050E" w:rsidRPr="003E23E1">
              <w:rPr>
                <w:rFonts w:asciiTheme="minorHAnsi" w:hAnsiTheme="minorHAnsi" w:cstheme="minorHAnsi"/>
                <w:sz w:val="20"/>
                <w:szCs w:val="20"/>
              </w:rPr>
              <w:t>Easy to carry, store, and transport.</w:t>
            </w:r>
          </w:p>
          <w:p w:rsidR="00DB40A1" w:rsidRPr="003E23E1" w:rsidRDefault="00DB40A1" w:rsidP="003E23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>Assessment (17-20):</w:t>
            </w:r>
            <w:r w:rsidR="00113266" w:rsidRPr="003E2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2771" w:rsidRPr="003E23E1">
              <w:rPr>
                <w:rFonts w:asciiTheme="minorHAnsi" w:hAnsiTheme="minorHAnsi" w:cstheme="minorHAnsi"/>
                <w:sz w:val="20"/>
                <w:szCs w:val="20"/>
              </w:rPr>
              <w:t>Rubrics not provided in text for assessments.</w:t>
            </w:r>
            <w:r w:rsidR="007E050E" w:rsidRPr="003E23E1">
              <w:rPr>
                <w:rFonts w:asciiTheme="minorHAnsi" w:hAnsiTheme="minorHAnsi" w:cstheme="minorHAnsi"/>
                <w:sz w:val="20"/>
                <w:szCs w:val="20"/>
              </w:rPr>
              <w:t xml:space="preserve"> Integrated (speaking/reading/writing/listening) unit assessments provided and an essay (with listening and reading sources) provided per unit. Videos and informative dialogues could be used as assessments.</w:t>
            </w:r>
          </w:p>
          <w:p w:rsidR="00DB40A1" w:rsidRPr="003E23E1" w:rsidRDefault="00DB40A1" w:rsidP="003E23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>Organization and Presentation (21-25):</w:t>
            </w:r>
            <w:r w:rsidR="00113266" w:rsidRPr="003E2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050E" w:rsidRPr="003E23E1">
              <w:rPr>
                <w:rFonts w:asciiTheme="minorHAnsi" w:hAnsiTheme="minorHAnsi" w:cstheme="minorHAnsi"/>
                <w:sz w:val="20"/>
                <w:szCs w:val="20"/>
              </w:rPr>
              <w:t xml:space="preserve">TE </w:t>
            </w:r>
            <w:r w:rsidR="00C05244" w:rsidRPr="003E23E1">
              <w:rPr>
                <w:rFonts w:asciiTheme="minorHAnsi" w:hAnsiTheme="minorHAnsi" w:cstheme="minorHAnsi"/>
                <w:sz w:val="20"/>
                <w:szCs w:val="20"/>
              </w:rPr>
              <w:t>has</w:t>
            </w:r>
            <w:r w:rsidR="007E050E" w:rsidRPr="003E23E1">
              <w:rPr>
                <w:rFonts w:asciiTheme="minorHAnsi" w:hAnsiTheme="minorHAnsi" w:cstheme="minorHAnsi"/>
                <w:sz w:val="20"/>
                <w:szCs w:val="20"/>
              </w:rPr>
              <w:t xml:space="preserve"> almost no suggestions for differentiation. Easy to read and organized.</w:t>
            </w:r>
          </w:p>
          <w:p w:rsidR="00DB40A1" w:rsidRPr="003E23E1" w:rsidRDefault="00DB40A1" w:rsidP="003E23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>Instructional Design and Support (26-28):</w:t>
            </w:r>
            <w:r w:rsidR="00113266" w:rsidRPr="003E2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050E" w:rsidRPr="003E23E1">
              <w:rPr>
                <w:rFonts w:asciiTheme="minorHAnsi" w:hAnsiTheme="minorHAnsi" w:cstheme="minorHAnsi"/>
                <w:sz w:val="20"/>
                <w:szCs w:val="20"/>
              </w:rPr>
              <w:t>Met standards.</w:t>
            </w:r>
          </w:p>
          <w:p w:rsidR="00200165" w:rsidRPr="003E23E1" w:rsidRDefault="00DB40A1" w:rsidP="003E23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>Communication, Cultures, Connection and Comparisons/Communities (29-37):</w:t>
            </w:r>
            <w:r w:rsidR="00113266" w:rsidRPr="003E2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050E" w:rsidRPr="003E23E1">
              <w:rPr>
                <w:rFonts w:asciiTheme="minorHAnsi" w:hAnsiTheme="minorHAnsi" w:cstheme="minorHAnsi"/>
                <w:sz w:val="20"/>
                <w:szCs w:val="20"/>
              </w:rPr>
              <w:t xml:space="preserve"> Opportunities to speak, read, write and listen in integrated AP format</w:t>
            </w:r>
            <w:r w:rsidR="00EC47EB" w:rsidRPr="003E23E1">
              <w:rPr>
                <w:rFonts w:asciiTheme="minorHAnsi" w:hAnsiTheme="minorHAnsi" w:cstheme="minorHAnsi"/>
                <w:sz w:val="20"/>
                <w:szCs w:val="20"/>
              </w:rPr>
              <w:t xml:space="preserve"> and to compare to their own culture. The cultural info was a bit dated. Connections to other disciplines were vague.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C9277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927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52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C9277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927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52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C9277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927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4A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92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D4A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80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13266" w:rsidRDefault="00113266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3266" w:rsidRPr="00CF53D9" w:rsidRDefault="00106F9D" w:rsidP="001132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Pr="003E23E1" w:rsidRDefault="00DB40A1" w:rsidP="003E23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>Student Edition (38-45):</w:t>
            </w:r>
            <w:r w:rsidR="00113266" w:rsidRPr="003E2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7EB" w:rsidRPr="003E23E1">
              <w:rPr>
                <w:rFonts w:asciiTheme="minorHAnsi" w:hAnsiTheme="minorHAnsi" w:cstheme="minorHAnsi"/>
                <w:sz w:val="20"/>
                <w:szCs w:val="20"/>
              </w:rPr>
              <w:t>Graphics and visuals were minimal and a bit dated, but diverse selection of videos and readings. Interdisciplinary connections are vague. Plenty of practice but no ongoing review/recycle text, but online study guide and extra grammar practice.</w:t>
            </w:r>
          </w:p>
          <w:p w:rsidR="00DB40A1" w:rsidRPr="003E23E1" w:rsidRDefault="00DB40A1" w:rsidP="003E23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>Teacher Edition (46-52):</w:t>
            </w:r>
            <w:r w:rsidR="00113266" w:rsidRPr="003E2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7EB" w:rsidRPr="003E23E1">
              <w:rPr>
                <w:rFonts w:asciiTheme="minorHAnsi" w:hAnsiTheme="minorHAnsi" w:cstheme="minorHAnsi"/>
                <w:sz w:val="20"/>
                <w:szCs w:val="20"/>
              </w:rPr>
              <w:t>Almost no support for differentiated instruction</w:t>
            </w:r>
            <w:r w:rsidR="00BF10C4" w:rsidRPr="003E23E1">
              <w:rPr>
                <w:rFonts w:asciiTheme="minorHAnsi" w:hAnsiTheme="minorHAnsi" w:cstheme="minorHAnsi"/>
                <w:sz w:val="20"/>
                <w:szCs w:val="20"/>
              </w:rPr>
              <w:t xml:space="preserve">, except occasional activities for </w:t>
            </w:r>
            <w:proofErr w:type="spellStart"/>
            <w:r w:rsidR="00BF10C4" w:rsidRPr="003E23E1">
              <w:rPr>
                <w:rFonts w:asciiTheme="minorHAnsi" w:hAnsiTheme="minorHAnsi" w:cstheme="minorHAnsi"/>
                <w:sz w:val="20"/>
                <w:szCs w:val="20"/>
              </w:rPr>
              <w:t>hispanohablantes</w:t>
            </w:r>
            <w:proofErr w:type="spellEnd"/>
            <w:r w:rsidR="00EC47EB" w:rsidRPr="003E23E1">
              <w:rPr>
                <w:rFonts w:asciiTheme="minorHAnsi" w:hAnsiTheme="minorHAnsi" w:cstheme="minorHAnsi"/>
                <w:sz w:val="20"/>
                <w:szCs w:val="20"/>
              </w:rPr>
              <w:t>. Instructions for teaching are primarily online and not in physical text. Answers are provided in margins, but no rubrics</w:t>
            </w:r>
            <w:r w:rsidR="00BF10C4" w:rsidRPr="003E23E1">
              <w:rPr>
                <w:rFonts w:asciiTheme="minorHAnsi" w:hAnsiTheme="minorHAnsi" w:cstheme="minorHAnsi"/>
                <w:sz w:val="20"/>
                <w:szCs w:val="20"/>
              </w:rPr>
              <w:t xml:space="preserve"> provided. No scope and sequence information provided. </w:t>
            </w:r>
          </w:p>
          <w:p w:rsidR="00DB40A1" w:rsidRPr="003E23E1" w:rsidRDefault="00DB40A1" w:rsidP="003E23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>Construction and Design of Materials (53-56):</w:t>
            </w:r>
            <w:r w:rsidR="00113266" w:rsidRPr="003E2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10C4" w:rsidRPr="003E23E1">
              <w:rPr>
                <w:rFonts w:asciiTheme="minorHAnsi" w:hAnsiTheme="minorHAnsi" w:cstheme="minorHAnsi"/>
                <w:sz w:val="20"/>
                <w:szCs w:val="20"/>
              </w:rPr>
              <w:t xml:space="preserve">Organized, clear, not particularly inviting in appearance. Teacher supports are extremely weak (see comments in the TE section above).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E23E1">
        <w:trPr>
          <w:trHeight w:val="2548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50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BF10C4" w:rsidRPr="003E23E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BF10C4">
              <w:rPr>
                <w:rFonts w:asciiTheme="minorHAnsi" w:hAnsiTheme="minorHAnsi" w:cstheme="minorHAnsi"/>
                <w:sz w:val="20"/>
                <w:szCs w:val="20"/>
              </w:rPr>
              <w:t>Grades 9-12 Spanish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7E050E">
              <w:rPr>
                <w:rFonts w:asciiTheme="minorHAnsi" w:hAnsiTheme="minorHAnsi" w:cstheme="minorHAnsi"/>
                <w:sz w:val="20"/>
                <w:szCs w:val="20"/>
              </w:rPr>
              <w:t>Presentational speaking opportunities were limited.</w:t>
            </w:r>
            <w:r w:rsidR="00BF10C4">
              <w:rPr>
                <w:rFonts w:asciiTheme="minorHAnsi" w:hAnsiTheme="minorHAnsi" w:cstheme="minorHAnsi"/>
                <w:sz w:val="20"/>
                <w:szCs w:val="20"/>
              </w:rPr>
              <w:t xml:space="preserve"> Teaching edition not supportive of student learning. Looks like it was a college text re-designed as a HS AP book.</w:t>
            </w:r>
            <w:r w:rsidR="000B7CEA">
              <w:rPr>
                <w:rFonts w:asciiTheme="minorHAnsi" w:hAnsiTheme="minorHAnsi" w:cstheme="minorHAnsi"/>
                <w:sz w:val="20"/>
                <w:szCs w:val="20"/>
              </w:rPr>
              <w:t xml:space="preserve">  Good and varied readings presented throughout the text.</w:t>
            </w:r>
            <w:bookmarkStart w:id="0" w:name="_GoBack"/>
            <w:bookmarkEnd w:id="0"/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10C4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BF10C4" w:rsidRPr="003E23E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BF10C4">
              <w:rPr>
                <w:rFonts w:asciiTheme="minorHAnsi" w:hAnsiTheme="minorHAnsi" w:cstheme="minorHAnsi"/>
                <w:sz w:val="20"/>
                <w:szCs w:val="20"/>
              </w:rPr>
              <w:t>Grades 9-12 Spanish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BF10C4">
              <w:rPr>
                <w:rFonts w:asciiTheme="minorHAnsi" w:hAnsiTheme="minorHAnsi" w:cstheme="minorHAnsi"/>
                <w:sz w:val="20"/>
                <w:szCs w:val="20"/>
              </w:rPr>
              <w:t xml:space="preserve">Closely aligns with AP expectations of integrated practice and assessment, but teachers support to differentiate/personalize instruction is missing.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10C4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2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BF10C4" w:rsidRPr="003E23E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BF10C4">
              <w:rPr>
                <w:rFonts w:asciiTheme="minorHAnsi" w:hAnsiTheme="minorHAnsi" w:cstheme="minorHAnsi"/>
                <w:sz w:val="20"/>
                <w:szCs w:val="20"/>
              </w:rPr>
              <w:t>Grades 9-12 Spanish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542AA" w:rsidRDefault="00370E5A" w:rsidP="00BF1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BF10C4">
              <w:rPr>
                <w:rFonts w:asciiTheme="minorHAnsi" w:hAnsiTheme="minorHAnsi" w:cstheme="minorHAnsi"/>
                <w:sz w:val="20"/>
                <w:szCs w:val="20"/>
              </w:rPr>
              <w:t xml:space="preserve">Good supplemental text for the AP course. </w:t>
            </w:r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1E" w:rsidRDefault="0074271E">
      <w:r>
        <w:separator/>
      </w:r>
    </w:p>
  </w:endnote>
  <w:endnote w:type="continuationSeparator" w:id="0">
    <w:p w:rsidR="0074271E" w:rsidRDefault="0074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3E23E1" w:rsidRPr="003E23E1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1E" w:rsidRDefault="0074271E">
      <w:r>
        <w:separator/>
      </w:r>
    </w:p>
  </w:footnote>
  <w:footnote w:type="continuationSeparator" w:id="0">
    <w:p w:rsidR="0074271E" w:rsidRDefault="0074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94CE7"/>
    <w:multiLevelType w:val="hybridMultilevel"/>
    <w:tmpl w:val="DB50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42683"/>
    <w:multiLevelType w:val="hybridMultilevel"/>
    <w:tmpl w:val="701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8"/>
  </w:num>
  <w:num w:numId="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B7CEA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3E1"/>
    <w:rsid w:val="003E2C1A"/>
    <w:rsid w:val="003E3839"/>
    <w:rsid w:val="003E4DCF"/>
    <w:rsid w:val="003E534A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046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D4AE7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71E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050E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21C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1FDE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0C4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244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2771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47EB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4647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9C23-E423-4FE2-90F1-4316474F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3190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4</cp:revision>
  <cp:lastPrinted>2013-05-31T15:33:00Z</cp:lastPrinted>
  <dcterms:created xsi:type="dcterms:W3CDTF">2014-06-05T22:49:00Z</dcterms:created>
  <dcterms:modified xsi:type="dcterms:W3CDTF">2014-06-06T15:21:00Z</dcterms:modified>
</cp:coreProperties>
</file>