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5D5639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Discovering French Today! French 1A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520390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Houghton Mifflin Harcourt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3A45E5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6-8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D5639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9780547872278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5D5639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09780547871851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73D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140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</w:t>
            </w:r>
            <w:r w:rsidR="00956A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141.7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NM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23D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Some ideas for differentiation are included.  Materials are clearly organized and grouped</w:t>
            </w:r>
            <w:r w:rsidR="00C12CC9">
              <w:rPr>
                <w:rFonts w:asciiTheme="minorHAnsi" w:hAnsiTheme="minorHAnsi" w:cstheme="minorHAnsi"/>
                <w:sz w:val="20"/>
                <w:szCs w:val="20"/>
              </w:rPr>
              <w:t>.  All chapters have clearly stated objectives.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There are some good simple projects.</w:t>
            </w:r>
          </w:p>
          <w:p w:rsidR="00A11AFA" w:rsidRPr="007C63A6" w:rsidRDefault="00A11AFA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The text includes multiple assessments for all modes of communication.</w:t>
            </w:r>
          </w:p>
          <w:p w:rsidR="00520390" w:rsidRPr="007C63A6" w:rsidRDefault="00520390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Material is clearly grouped for easy use by teacher and student.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Scope and sequence and lesson plans are consistent.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Communicative activities are practical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and authentic, as well as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focus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on all modes of communication.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2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The text provides some cultural material reflecting diversity.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 xml:space="preserve"> “Note Culturelle” sections do a good job making connections and comparisons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Some photos could be better.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855677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Students are </w:t>
            </w:r>
            <w:r w:rsidR="00102AF3">
              <w:rPr>
                <w:rFonts w:asciiTheme="minorHAnsi" w:hAnsiTheme="minorHAnsi" w:cstheme="minorHAnsi"/>
                <w:sz w:val="20"/>
                <w:szCs w:val="20"/>
              </w:rPr>
              <w:t>consistently tasked with bridging new content to their own world.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 Opportunities for comparisons are authentic.</w:t>
            </w: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5D56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104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24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The text provides multiple opportunities to learn, practice, and review new content.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826A6">
              <w:rPr>
                <w:rFonts w:asciiTheme="minorHAnsi" w:hAnsiTheme="minorHAnsi"/>
                <w:sz w:val="20"/>
                <w:szCs w:val="20"/>
              </w:rPr>
              <w:t>Necessary materials are at point of use, as well as indicating additional available resources outside the Teacher Edition.</w:t>
            </w:r>
            <w:r w:rsidR="0079257F">
              <w:rPr>
                <w:rFonts w:asciiTheme="minorHAnsi" w:hAnsiTheme="minorHAnsi"/>
                <w:sz w:val="20"/>
                <w:szCs w:val="20"/>
              </w:rPr>
              <w:t xml:space="preserve">  There are good suggestions for games and portfolio items.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3223D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The text makes good use of font, color, and white space.  Graphics and visuals need updating.</w:t>
            </w:r>
          </w:p>
          <w:p w:rsidR="005D5639" w:rsidRPr="007C63A6" w:rsidRDefault="005D5639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50203C" w:rsidP="005D5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26A6">
              <w:rPr>
                <w:rFonts w:asciiTheme="minorHAnsi" w:hAnsiTheme="minorHAnsi" w:cstheme="minorHAnsi"/>
                <w:sz w:val="20"/>
                <w:szCs w:val="20"/>
              </w:rPr>
              <w:t>Materials could be used readily, but may require some adaptation and enhancement by teachers.</w:t>
            </w:r>
          </w:p>
          <w:p w:rsidR="00A40110" w:rsidRDefault="00A40110" w:rsidP="005D5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110" w:rsidRPr="007C63A6" w:rsidRDefault="00A40110" w:rsidP="005D5639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The textbook is a solid program with a clear, consistent </w:t>
            </w:r>
            <w:r w:rsidR="005D5639">
              <w:rPr>
                <w:rFonts w:asciiTheme="minorHAnsi" w:hAnsiTheme="minorHAnsi" w:cstheme="minorHAnsi"/>
                <w:sz w:val="20"/>
                <w:szCs w:val="20"/>
              </w:rPr>
              <w:t xml:space="preserve">pedagogical </w:t>
            </w:r>
            <w:r w:rsidR="00A11AFA">
              <w:rPr>
                <w:rFonts w:asciiTheme="minorHAnsi" w:hAnsiTheme="minorHAnsi" w:cstheme="minorHAnsi"/>
                <w:sz w:val="20"/>
                <w:szCs w:val="20"/>
              </w:rPr>
              <w:t xml:space="preserve">approach.  </w:t>
            </w:r>
            <w:r w:rsidR="005D5639">
              <w:rPr>
                <w:rFonts w:asciiTheme="minorHAnsi" w:hAnsiTheme="minorHAnsi" w:cstheme="minorHAnsi"/>
                <w:sz w:val="20"/>
                <w:szCs w:val="20"/>
              </w:rPr>
              <w:t xml:space="preserve">An experienced teacher could effectively update the text to make it current.  Language content is solid and focuses on student mastery of appropriate concepts for the grade level.  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A11AF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77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The text’s strength is its speaking and writing activities, as well as the portfolio.  Some other areas would need to be supplemented to maintain its currency.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3A1E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79257F">
              <w:rPr>
                <w:rFonts w:asciiTheme="minorHAnsi" w:hAnsiTheme="minorHAnsi" w:cstheme="minorHAnsi"/>
                <w:sz w:val="20"/>
                <w:szCs w:val="20"/>
              </w:rPr>
              <w:t>I like the speaking and writing activities.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D2" w:rsidRDefault="002616D2">
      <w:r>
        <w:separator/>
      </w:r>
    </w:p>
  </w:endnote>
  <w:endnote w:type="continuationSeparator" w:id="0">
    <w:p w:rsidR="002616D2" w:rsidRDefault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D2" w:rsidRDefault="002616D2">
      <w:r>
        <w:separator/>
      </w:r>
    </w:p>
  </w:footnote>
  <w:footnote w:type="continuationSeparator" w:id="0">
    <w:p w:rsidR="002616D2" w:rsidRDefault="0026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6907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2AF3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16D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3B3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223D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D6A86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70F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0390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3564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5639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9EE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4A44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4E02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57F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1F1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3A1E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AA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6C4A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1AFA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0110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41F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2C3"/>
    <w:rsid w:val="00C10672"/>
    <w:rsid w:val="00C122B6"/>
    <w:rsid w:val="00C12CC9"/>
    <w:rsid w:val="00C15FDE"/>
    <w:rsid w:val="00C22D30"/>
    <w:rsid w:val="00C230A9"/>
    <w:rsid w:val="00C238EB"/>
    <w:rsid w:val="00C23D87"/>
    <w:rsid w:val="00C2434F"/>
    <w:rsid w:val="00C2497F"/>
    <w:rsid w:val="00C252D4"/>
    <w:rsid w:val="00C260BC"/>
    <w:rsid w:val="00C26642"/>
    <w:rsid w:val="00C27352"/>
    <w:rsid w:val="00C30B31"/>
    <w:rsid w:val="00C30DAF"/>
    <w:rsid w:val="00C32379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3D04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640E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34C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26A6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08D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557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771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7C9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7EBCFE2-3AC0-4BF7-ADD6-9CD11EF7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9BB6-7973-4976-83C4-85D9D5F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3480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2015-05-26T18:24:00Z</cp:lastPrinted>
  <dcterms:created xsi:type="dcterms:W3CDTF">2018-04-24T22:10:00Z</dcterms:created>
  <dcterms:modified xsi:type="dcterms:W3CDTF">2018-04-24T22:10:00Z</dcterms:modified>
</cp:coreProperties>
</file>