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39655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El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espanol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para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nosotros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…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Nivel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</w:t>
            </w:r>
            <w:r w:rsidR="0097500A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2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39655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39655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MCN Languages—Spanish for Heritage Speakers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39655D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9780021362</w:t>
            </w:r>
            <w:r w:rsidR="0097500A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462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39655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McGraw-Hill Education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39655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978002145</w:t>
            </w:r>
            <w:r w:rsidR="0097500A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6437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806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806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806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EA3EE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182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13266" w:rsidRDefault="00113266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>NM standards are clearly and thoroughly met.</w:t>
            </w: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Content (8-13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>The text provides a wide variety of content that is interesting for students and reflects the Spanish-speaking world.</w:t>
            </w: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Equity and Accessibility (14-16)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>The text provides for students who are Spanish-dominant, as well as students for whom Spanish is a second language, but do not belong in Spanish as a second language class.  Multiple opportunities for differentiation and expansion are present.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Assessment (17-20):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>The text provides for ongoing assessment as well as a complete assessment program.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Organization and Presentation (21-25):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>Text is clearly organized with a clear pattern.  Content is represented in a way that is accessible to students.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Instructional Design and Support (26-28):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>Materials are clear and adaptable.</w:t>
            </w:r>
          </w:p>
          <w:p w:rsidR="00200165" w:rsidRDefault="00DB40A1" w:rsidP="00EA3E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Communication, Cultures, Connection and Comparisons/Communities (29-37):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>National standards are clearly met.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806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806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AC15D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806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A3EE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EA3EE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AC15D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13266" w:rsidRDefault="00113266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3266" w:rsidRPr="00CF53D9" w:rsidRDefault="00106F9D" w:rsidP="001132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(38-45):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>The text makes content easily accessible to students by presenting materials clearly.</w:t>
            </w:r>
          </w:p>
          <w:p w:rsidR="00DB40A1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 (46-52):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>Students’ potential needs are identified with ideas on how to address them effectively in class.  The text works to cover any common deficiencies that students of Spanish as a heritage language may have in terms of their command of formal academic Spanish.</w:t>
            </w:r>
          </w:p>
          <w:p w:rsidR="00DB40A1" w:rsidRDefault="00DB40A1" w:rsidP="00EA3E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Materials (53-56):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 xml:space="preserve">Visually the text is appealing with many pictures, graphics, and other visual aids to help </w:t>
            </w:r>
            <w:proofErr w:type="gramStart"/>
            <w:r w:rsidR="00EA3EEE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gramEnd"/>
            <w:r w:rsidR="00EA3EEE">
              <w:rPr>
                <w:rFonts w:asciiTheme="minorHAnsi" w:hAnsiTheme="minorHAnsi" w:cstheme="minorHAnsi"/>
                <w:sz w:val="20"/>
                <w:szCs w:val="20"/>
              </w:rPr>
              <w:t xml:space="preserve"> access content.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39655D">
              <w:rPr>
                <w:rFonts w:asciiTheme="minorHAnsi" w:hAnsiTheme="minorHAnsi" w:cstheme="minorHAnsi"/>
                <w:sz w:val="20"/>
                <w:szCs w:val="20"/>
              </w:rPr>
              <w:t>Modern Language Teacher, 15 years’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F52A49">
              <w:rPr>
                <w:rFonts w:asciiTheme="minorHAnsi" w:hAnsiTheme="minorHAnsi" w:cstheme="minorHAnsi"/>
                <w:sz w:val="20"/>
                <w:szCs w:val="20"/>
              </w:rPr>
              <w:t xml:space="preserve">This text would be easy to use.  </w:t>
            </w:r>
            <w:r w:rsidR="00CA45D1">
              <w:rPr>
                <w:rFonts w:asciiTheme="minorHAnsi" w:hAnsiTheme="minorHAnsi" w:cstheme="minorHAnsi"/>
                <w:sz w:val="20"/>
                <w:szCs w:val="20"/>
              </w:rPr>
              <w:t>The material is interesting for students.  The textbook is well designed, organized, and conceived.</w:t>
            </w:r>
            <w:r w:rsidR="00D903CD">
              <w:rPr>
                <w:rFonts w:asciiTheme="minorHAnsi" w:hAnsiTheme="minorHAnsi" w:cstheme="minorHAnsi"/>
                <w:sz w:val="20"/>
                <w:szCs w:val="20"/>
              </w:rPr>
              <w:t xml:space="preserve">  The text focuses on developing and improving students’ skills in academic Spanish.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39655D">
              <w:rPr>
                <w:rFonts w:asciiTheme="minorHAnsi" w:hAnsiTheme="minorHAnsi" w:cstheme="minorHAnsi"/>
                <w:sz w:val="20"/>
                <w:szCs w:val="20"/>
              </w:rPr>
              <w:t>Modern Language Teacher, 8 years’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CA45D1">
              <w:rPr>
                <w:rFonts w:asciiTheme="minorHAnsi" w:hAnsiTheme="minorHAnsi" w:cstheme="minorHAnsi"/>
                <w:sz w:val="20"/>
                <w:szCs w:val="20"/>
              </w:rPr>
              <w:t>The text is good, but could use better, updated pictures.  It would be useful to use a diagnostic test at the beginning of the year to place students in the groups identified in the textbook for differentiation.</w:t>
            </w:r>
            <w:r w:rsidR="0085784F">
              <w:rPr>
                <w:rFonts w:asciiTheme="minorHAnsi" w:hAnsiTheme="minorHAnsi" w:cstheme="minorHAnsi"/>
                <w:sz w:val="20"/>
                <w:szCs w:val="20"/>
              </w:rPr>
              <w:t xml:space="preserve">  The text respects the variety of the Spanish language through providing numerous examples.  The book has a very open-minded approach from a cultural standpoint.</w:t>
            </w:r>
            <w:r w:rsidR="005910EF">
              <w:rPr>
                <w:rFonts w:asciiTheme="minorHAnsi" w:hAnsiTheme="minorHAnsi" w:cstheme="minorHAnsi"/>
                <w:sz w:val="20"/>
                <w:szCs w:val="20"/>
              </w:rPr>
              <w:t xml:space="preserve">  The book has great tips for teachers.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370E5A" w:rsidP="00CA45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39655D">
              <w:rPr>
                <w:rFonts w:asciiTheme="minorHAnsi" w:hAnsiTheme="minorHAnsi" w:cstheme="minorHAnsi"/>
                <w:sz w:val="20"/>
                <w:szCs w:val="20"/>
              </w:rPr>
              <w:t>Modern Language Teacher, 13 years’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CA45D1">
              <w:rPr>
                <w:rFonts w:asciiTheme="minorHAnsi" w:hAnsiTheme="minorHAnsi" w:cstheme="minorHAnsi"/>
                <w:sz w:val="20"/>
                <w:szCs w:val="20"/>
              </w:rPr>
              <w:t>I highly recommend this textbook for a course for heritage speakers.  It would be easy to use for new and experienced teachers.  The text has a large variety of content and activities.</w:t>
            </w:r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56" w:rsidRDefault="00D56856">
      <w:r>
        <w:separator/>
      </w:r>
    </w:p>
  </w:endnote>
  <w:endnote w:type="continuationSeparator" w:id="0">
    <w:p w:rsidR="00D56856" w:rsidRDefault="00D5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B806A8" w:rsidRPr="00B806A8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56" w:rsidRDefault="00D56856">
      <w:r>
        <w:separator/>
      </w:r>
    </w:p>
  </w:footnote>
  <w:footnote w:type="continuationSeparator" w:id="0">
    <w:p w:rsidR="00D56856" w:rsidRDefault="00D5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30EE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5D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485C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0EF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5784F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500A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15D2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1D00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06A8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5D1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56856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3CD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3EEE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49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3A6F-C332-4358-B103-6F1C3967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3462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3</cp:revision>
  <cp:lastPrinted>2013-05-31T15:33:00Z</cp:lastPrinted>
  <dcterms:created xsi:type="dcterms:W3CDTF">2014-06-05T21:17:00Z</dcterms:created>
  <dcterms:modified xsi:type="dcterms:W3CDTF">2014-06-06T14:37:00Z</dcterms:modified>
</cp:coreProperties>
</file>