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A832DB" w:rsidRDefault="007211B4" w:rsidP="001D7409">
      <w:pPr>
        <w:jc w:val="center"/>
        <w:rPr>
          <w:rFonts w:asciiTheme="minorHAnsi" w:hAnsiTheme="minorHAnsi" w:cstheme="minorHAnsi"/>
          <w:b/>
          <w:color w:val="002060"/>
          <w:sz w:val="28"/>
        </w:rPr>
      </w:pPr>
      <w:r w:rsidRPr="00A832DB">
        <w:rPr>
          <w:rFonts w:asciiTheme="minorHAnsi" w:hAnsiTheme="minorHAnsi" w:cstheme="minorHAnsi"/>
          <w:b/>
          <w:color w:val="002060"/>
          <w:sz w:val="28"/>
        </w:rPr>
        <w:t>Review Team</w:t>
      </w:r>
      <w:r w:rsidR="00F602E5" w:rsidRPr="00A832DB">
        <w:rPr>
          <w:rFonts w:asciiTheme="minorHAnsi" w:hAnsiTheme="minorHAnsi" w:cstheme="minorHAnsi"/>
          <w:b/>
          <w:color w:val="002060"/>
          <w:sz w:val="28"/>
        </w:rPr>
        <w:t xml:space="preserve"> Appraisal of Title</w:t>
      </w:r>
      <w:r w:rsidR="002B2028" w:rsidRPr="00A832DB">
        <w:rPr>
          <w:rFonts w:asciiTheme="minorHAnsi" w:hAnsiTheme="minorHAnsi" w:cstheme="minorHAnsi"/>
          <w:b/>
          <w:color w:val="002060"/>
          <w:sz w:val="28"/>
        </w:rPr>
        <w:t xml:space="preserve"> – English Language Arts</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AB16A9" w:rsidRPr="00A27E99" w:rsidRDefault="008B1B2D"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 System of Courses, English Language Arts</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AB16A9" w:rsidRPr="00A27E99" w:rsidRDefault="008B1B2D" w:rsidP="000548BC">
            <w:pPr>
              <w:rPr>
                <w:rFonts w:asciiTheme="minorHAnsi" w:hAnsiTheme="minorHAnsi" w:cstheme="minorHAnsi"/>
                <w:color w:val="FF0000"/>
                <w:sz w:val="20"/>
                <w:szCs w:val="18"/>
              </w:rPr>
            </w:pPr>
            <w:r>
              <w:rPr>
                <w:rFonts w:asciiTheme="minorHAnsi" w:hAnsiTheme="minorHAnsi" w:cstheme="minorHAnsi"/>
                <w:color w:val="FF0000"/>
                <w:sz w:val="20"/>
                <w:szCs w:val="18"/>
              </w:rPr>
              <w:t>10</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AB16A9" w:rsidRPr="00A27E99" w:rsidRDefault="008B1B2D" w:rsidP="000548BC">
            <w:pPr>
              <w:rPr>
                <w:rFonts w:asciiTheme="minorHAnsi" w:hAnsiTheme="minorHAnsi" w:cstheme="minorHAnsi"/>
                <w:color w:val="FF0000"/>
                <w:sz w:val="20"/>
                <w:szCs w:val="18"/>
              </w:rPr>
            </w:pPr>
            <w:r>
              <w:rPr>
                <w:rFonts w:asciiTheme="minorHAnsi" w:hAnsiTheme="minorHAnsi" w:cstheme="minorHAnsi"/>
                <w:color w:val="FF0000"/>
                <w:sz w:val="20"/>
                <w:szCs w:val="18"/>
              </w:rPr>
              <w:t>English/Language Arts</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AB16A9" w:rsidRPr="00A27E99" w:rsidRDefault="008B1B2D" w:rsidP="000548BC">
            <w:pPr>
              <w:rPr>
                <w:rFonts w:asciiTheme="minorHAnsi" w:hAnsiTheme="minorHAnsi" w:cstheme="minorHAnsi"/>
                <w:color w:val="FF0000"/>
                <w:sz w:val="20"/>
                <w:szCs w:val="18"/>
              </w:rPr>
            </w:pPr>
            <w:r>
              <w:rPr>
                <w:rFonts w:asciiTheme="minorHAnsi" w:hAnsiTheme="minorHAnsi" w:cstheme="minorHAnsi"/>
                <w:color w:val="FF0000"/>
                <w:sz w:val="20"/>
                <w:szCs w:val="18"/>
              </w:rPr>
              <w:t>9780133285031</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AB16A9" w:rsidRPr="00A27E99" w:rsidRDefault="008B1B2D"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 Education, Inc.</w:t>
            </w:r>
          </w:p>
        </w:t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AB16A9" w:rsidRPr="00A27E99" w:rsidRDefault="00AB16A9" w:rsidP="000548BC">
            <w:pPr>
              <w:rPr>
                <w:rFonts w:asciiTheme="minorHAnsi" w:hAnsiTheme="minorHAnsi" w:cstheme="minorHAnsi"/>
                <w:color w:val="FF0000"/>
                <w:sz w:val="20"/>
                <w:szCs w:val="18"/>
              </w:rPr>
            </w:pP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89368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Common Core State Standards</w:t>
            </w:r>
          </w:p>
        </w:tc>
      </w:tr>
      <w:tr w:rsidR="002B2028" w:rsidTr="00191993">
        <w:trPr>
          <w:trHeight w:val="252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61634E">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F53742">
              <w:rPr>
                <w:rFonts w:asciiTheme="minorHAnsi" w:hAnsiTheme="minorHAnsi" w:cstheme="minorHAnsi"/>
                <w:sz w:val="20"/>
                <w:szCs w:val="20"/>
              </w:rPr>
              <w:t xml:space="preserve"> </w:t>
            </w:r>
            <w:r w:rsidR="0061634E">
              <w:rPr>
                <w:rFonts w:asciiTheme="minorHAnsi" w:hAnsiTheme="minorHAnsi" w:cstheme="minorHAnsi"/>
                <w:sz w:val="20"/>
                <w:szCs w:val="20"/>
                <w:u w:val="single"/>
              </w:rPr>
              <w:t>322</w:t>
            </w:r>
            <w:r>
              <w:rPr>
                <w:rFonts w:asciiTheme="minorHAnsi" w:hAnsiTheme="minorHAnsi" w:cstheme="minorHAnsi"/>
                <w:sz w:val="20"/>
                <w:szCs w:val="20"/>
              </w:rPr>
              <w:tab/>
              <w:t xml:space="preserve">  2. #</w:t>
            </w:r>
            <w:r w:rsidR="0061634E">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F53742">
              <w:rPr>
                <w:rFonts w:asciiTheme="minorHAnsi" w:hAnsiTheme="minorHAnsi" w:cstheme="minorHAnsi"/>
                <w:sz w:val="20"/>
                <w:szCs w:val="20"/>
              </w:rPr>
              <w:t xml:space="preserve"> </w:t>
            </w:r>
            <w:r w:rsidR="0061634E">
              <w:rPr>
                <w:rFonts w:asciiTheme="minorHAnsi" w:hAnsiTheme="minorHAnsi" w:cstheme="minorHAnsi"/>
                <w:sz w:val="20"/>
                <w:szCs w:val="20"/>
                <w:u w:val="single"/>
              </w:rPr>
              <w:t>324</w:t>
            </w:r>
            <w:r>
              <w:rPr>
                <w:rFonts w:asciiTheme="minorHAnsi" w:hAnsiTheme="minorHAnsi" w:cstheme="minorHAnsi"/>
                <w:sz w:val="20"/>
                <w:szCs w:val="20"/>
              </w:rPr>
              <w:tab/>
              <w:t xml:space="preserve">    3. #</w:t>
            </w:r>
            <w:r w:rsidR="0061634E">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F53742">
              <w:rPr>
                <w:rFonts w:asciiTheme="minorHAnsi" w:hAnsiTheme="minorHAnsi" w:cstheme="minorHAnsi"/>
                <w:sz w:val="20"/>
                <w:szCs w:val="20"/>
              </w:rPr>
              <w:t xml:space="preserve"> </w:t>
            </w:r>
            <w:r w:rsidR="0061634E">
              <w:rPr>
                <w:rFonts w:asciiTheme="minorHAnsi" w:hAnsiTheme="minorHAnsi" w:cstheme="minorHAnsi"/>
                <w:sz w:val="20"/>
                <w:szCs w:val="20"/>
              </w:rPr>
              <w:t>338</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8B1B2D">
              <w:rPr>
                <w:rFonts w:asciiTheme="minorHAnsi" w:hAnsiTheme="minorHAnsi" w:cstheme="minorHAnsi"/>
                <w:sz w:val="20"/>
                <w:szCs w:val="20"/>
                <w:u w:val="single"/>
              </w:rPr>
              <w:t>328</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86452A" w:rsidRPr="006A3565" w:rsidRDefault="0086452A" w:rsidP="0086452A">
            <w:pPr>
              <w:pStyle w:val="ListParagraph"/>
              <w:rPr>
                <w:rFonts w:asciiTheme="minorHAnsi" w:hAnsiTheme="minorHAnsi" w:cstheme="minorHAnsi"/>
                <w:color w:val="FF0000"/>
                <w:sz w:val="4"/>
                <w:szCs w:val="20"/>
              </w:rPr>
            </w:pP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Reading Standards for Literature and Informational Text (1-17):</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 xml:space="preserve">Writing Standards (18-28):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Speaking and Listening Standards (29-34):</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A3565" w:rsidRDefault="0086452A" w:rsidP="00191993">
            <w:pPr>
              <w:rPr>
                <w:rFonts w:asciiTheme="minorHAnsi" w:hAnsiTheme="minorHAnsi" w:cstheme="minorHAnsi"/>
                <w:sz w:val="20"/>
                <w:szCs w:val="20"/>
              </w:rPr>
            </w:pPr>
            <w:r>
              <w:rPr>
                <w:rFonts w:asciiTheme="minorHAnsi" w:hAnsiTheme="minorHAnsi" w:cstheme="minorHAnsi"/>
                <w:sz w:val="20"/>
                <w:szCs w:val="20"/>
              </w:rPr>
              <w:t>Language Standards (35-40):</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1634E" w:rsidRDefault="0061634E" w:rsidP="0061634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Material well </w:t>
            </w:r>
            <w:proofErr w:type="gramStart"/>
            <w:r>
              <w:rPr>
                <w:rFonts w:asciiTheme="minorHAnsi" w:hAnsiTheme="minorHAnsi" w:cstheme="minorHAnsi"/>
                <w:sz w:val="20"/>
                <w:szCs w:val="20"/>
              </w:rPr>
              <w:t>laid</w:t>
            </w:r>
            <w:proofErr w:type="gramEnd"/>
            <w:r>
              <w:rPr>
                <w:rFonts w:asciiTheme="minorHAnsi" w:hAnsiTheme="minorHAnsi" w:cstheme="minorHAnsi"/>
                <w:sz w:val="20"/>
                <w:szCs w:val="20"/>
              </w:rPr>
              <w:t xml:space="preserve"> out, easily accessible. </w:t>
            </w:r>
          </w:p>
          <w:p w:rsidR="0061634E" w:rsidRDefault="0061634E" w:rsidP="0061634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Appreciate the inclusion of full novels as cornerstone of units as opposed to typical textbook typology of short selections or exasperating excerpts. </w:t>
            </w:r>
          </w:p>
          <w:p w:rsidR="0061634E" w:rsidRDefault="0061634E" w:rsidP="0061634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Consistently imaginative writing assignments.</w:t>
            </w:r>
          </w:p>
          <w:p w:rsidR="0061634E" w:rsidRDefault="0061634E" w:rsidP="0061634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As in the other grade-level texts, the relationship between standards and materials/tasks is identified by unit, rather than specifically, and must be inferred. That said</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the connections are solid and easily made.</w:t>
            </w:r>
          </w:p>
          <w:p w:rsidR="0061634E" w:rsidRPr="00191993" w:rsidRDefault="0061634E" w:rsidP="0019199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 xml:space="preserve">SECTION 2.A </w:t>
            </w:r>
            <w:r w:rsidR="0086452A">
              <w:rPr>
                <w:rFonts w:asciiTheme="minorHAnsi" w:hAnsiTheme="minorHAnsi" w:cstheme="minorHAnsi"/>
                <w:b/>
                <w:sz w:val="20"/>
                <w:szCs w:val="20"/>
              </w:rPr>
              <w:t>– Other Relevant Criteria</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61634E">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1A06AA">
              <w:rPr>
                <w:rFonts w:asciiTheme="minorHAnsi" w:hAnsiTheme="minorHAnsi" w:cstheme="minorHAnsi"/>
                <w:sz w:val="20"/>
                <w:szCs w:val="20"/>
              </w:rPr>
              <w:t xml:space="preserve"> </w:t>
            </w:r>
            <w:r w:rsidR="0061634E">
              <w:rPr>
                <w:rFonts w:asciiTheme="minorHAnsi" w:hAnsiTheme="minorHAnsi" w:cstheme="minorHAnsi"/>
                <w:sz w:val="20"/>
                <w:szCs w:val="20"/>
                <w:u w:val="single"/>
              </w:rPr>
              <w:t>281</w:t>
            </w:r>
            <w:r>
              <w:rPr>
                <w:rFonts w:asciiTheme="minorHAnsi" w:hAnsiTheme="minorHAnsi" w:cstheme="minorHAnsi"/>
                <w:sz w:val="20"/>
                <w:szCs w:val="20"/>
              </w:rPr>
              <w:tab/>
              <w:t xml:space="preserve">  2. #</w:t>
            </w:r>
            <w:r w:rsidR="0061634E">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1A06AA">
              <w:rPr>
                <w:rFonts w:asciiTheme="minorHAnsi" w:hAnsiTheme="minorHAnsi" w:cstheme="minorHAnsi"/>
                <w:sz w:val="20"/>
                <w:szCs w:val="20"/>
              </w:rPr>
              <w:t xml:space="preserve"> </w:t>
            </w:r>
            <w:bookmarkStart w:id="0" w:name="_GoBack"/>
            <w:bookmarkEnd w:id="0"/>
            <w:r w:rsidR="0061634E">
              <w:rPr>
                <w:rFonts w:asciiTheme="minorHAnsi" w:hAnsiTheme="minorHAnsi" w:cstheme="minorHAnsi"/>
                <w:sz w:val="20"/>
                <w:szCs w:val="20"/>
                <w:u w:val="single"/>
              </w:rPr>
              <w:t>191</w:t>
            </w:r>
            <w:r>
              <w:rPr>
                <w:rFonts w:asciiTheme="minorHAnsi" w:hAnsiTheme="minorHAnsi" w:cstheme="minorHAnsi"/>
                <w:sz w:val="20"/>
                <w:szCs w:val="20"/>
              </w:rPr>
              <w:tab/>
              <w:t xml:space="preserve">    3. #</w:t>
            </w:r>
            <w:r w:rsidR="0061634E">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61634E">
              <w:rPr>
                <w:rFonts w:asciiTheme="minorHAnsi" w:hAnsiTheme="minorHAnsi" w:cstheme="minorHAnsi"/>
                <w:sz w:val="20"/>
                <w:szCs w:val="20"/>
              </w:rPr>
              <w:t xml:space="preserve"> 235</w:t>
            </w:r>
          </w:p>
          <w:p w:rsidR="00370E5A" w:rsidRPr="00490321"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8B1B2D">
              <w:rPr>
                <w:rFonts w:asciiTheme="minorHAnsi" w:hAnsiTheme="minorHAnsi" w:cstheme="minorHAnsi"/>
                <w:sz w:val="20"/>
                <w:szCs w:val="20"/>
                <w:u w:val="single"/>
              </w:rPr>
              <w:t>236</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Text Selection (42-64):</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Construction and Design of Material (68-69):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Student Edition (72-79):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9368C" w:rsidRDefault="0086452A" w:rsidP="00BD62D3">
            <w:pPr>
              <w:rPr>
                <w:rFonts w:asciiTheme="minorHAnsi" w:hAnsiTheme="minorHAnsi" w:cstheme="minorHAnsi"/>
                <w:sz w:val="20"/>
                <w:szCs w:val="20"/>
              </w:rPr>
            </w:pPr>
            <w:r>
              <w:rPr>
                <w:rFonts w:asciiTheme="minorHAnsi" w:hAnsiTheme="minorHAnsi" w:cstheme="minorHAnsi"/>
                <w:sz w:val="20"/>
                <w:szCs w:val="20"/>
              </w:rPr>
              <w:t>Teacher Edition</w:t>
            </w:r>
            <w:r w:rsidR="00490321">
              <w:rPr>
                <w:rFonts w:asciiTheme="minorHAnsi" w:hAnsiTheme="minorHAnsi" w:cstheme="minorHAnsi"/>
                <w:sz w:val="20"/>
                <w:szCs w:val="20"/>
              </w:rPr>
              <w:t xml:space="preserve"> and Resources</w:t>
            </w:r>
            <w:r>
              <w:rPr>
                <w:rFonts w:asciiTheme="minorHAnsi" w:hAnsiTheme="minorHAnsi" w:cstheme="minorHAnsi"/>
                <w:sz w:val="20"/>
                <w:szCs w:val="20"/>
              </w:rPr>
              <w:t xml:space="preserve"> (80-89)</w:t>
            </w:r>
            <w:r w:rsidR="00490321">
              <w:rPr>
                <w:rFonts w:asciiTheme="minorHAnsi" w:hAnsiTheme="minorHAnsi" w:cstheme="minorHAnsi"/>
                <w:sz w:val="20"/>
                <w:szCs w:val="20"/>
              </w:rPr>
              <w:t>:</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1634E" w:rsidRDefault="0061634E" w:rsidP="0061634E">
            <w:pPr>
              <w:pStyle w:val="ListParagraph"/>
              <w:numPr>
                <w:ilvl w:val="0"/>
                <w:numId w:val="9"/>
              </w:numPr>
              <w:rPr>
                <w:rFonts w:asciiTheme="minorHAnsi" w:hAnsiTheme="minorHAnsi" w:cstheme="minorHAnsi"/>
                <w:sz w:val="20"/>
                <w:szCs w:val="20"/>
              </w:rPr>
            </w:pPr>
            <w:proofErr w:type="gramStart"/>
            <w:r>
              <w:rPr>
                <w:rFonts w:asciiTheme="minorHAnsi" w:hAnsiTheme="minorHAnsi" w:cstheme="minorHAnsi"/>
                <w:sz w:val="20"/>
                <w:szCs w:val="20"/>
              </w:rPr>
              <w:t>iPad</w:t>
            </w:r>
            <w:proofErr w:type="gramEnd"/>
            <w:r>
              <w:rPr>
                <w:rFonts w:asciiTheme="minorHAnsi" w:hAnsiTheme="minorHAnsi" w:cstheme="minorHAnsi"/>
                <w:sz w:val="20"/>
                <w:szCs w:val="20"/>
              </w:rPr>
              <w:t xml:space="preserve"> includes integrated dictionary, so if vocabulary is a focus it appears that the instructor will need to provide that focus. Vocabulary was not emphasized as it was in the same publisher’s 9</w:t>
            </w:r>
            <w:r w:rsidRPr="00F12695">
              <w:rPr>
                <w:rFonts w:asciiTheme="minorHAnsi" w:hAnsiTheme="minorHAnsi" w:cstheme="minorHAnsi"/>
                <w:sz w:val="20"/>
                <w:szCs w:val="20"/>
                <w:vertAlign w:val="superscript"/>
              </w:rPr>
              <w:t>th</w:t>
            </w:r>
            <w:r>
              <w:rPr>
                <w:rFonts w:asciiTheme="minorHAnsi" w:hAnsiTheme="minorHAnsi" w:cstheme="minorHAnsi"/>
                <w:sz w:val="20"/>
                <w:szCs w:val="20"/>
              </w:rPr>
              <w:t xml:space="preserve"> grade effort.</w:t>
            </w:r>
          </w:p>
          <w:p w:rsidR="0061634E" w:rsidRDefault="0061634E" w:rsidP="0061634E">
            <w:pPr>
              <w:pStyle w:val="ListParagraph"/>
              <w:numPr>
                <w:ilvl w:val="0"/>
                <w:numId w:val="9"/>
              </w:numPr>
              <w:rPr>
                <w:rFonts w:asciiTheme="minorHAnsi" w:hAnsiTheme="minorHAnsi" w:cstheme="minorHAnsi"/>
                <w:sz w:val="20"/>
                <w:szCs w:val="20"/>
              </w:rPr>
            </w:pPr>
            <w:proofErr w:type="spellStart"/>
            <w:proofErr w:type="gramStart"/>
            <w:r>
              <w:rPr>
                <w:rFonts w:asciiTheme="minorHAnsi" w:hAnsiTheme="minorHAnsi" w:cstheme="minorHAnsi"/>
                <w:sz w:val="20"/>
                <w:szCs w:val="20"/>
              </w:rPr>
              <w:t>ePortfolio</w:t>
            </w:r>
            <w:proofErr w:type="spellEnd"/>
            <w:proofErr w:type="gramEnd"/>
            <w:r>
              <w:rPr>
                <w:rFonts w:asciiTheme="minorHAnsi" w:hAnsiTheme="minorHAnsi" w:cstheme="minorHAnsi"/>
                <w:sz w:val="20"/>
                <w:szCs w:val="20"/>
              </w:rPr>
              <w:t xml:space="preserve"> assessment is lacking; exemplars for writing assignments are non-existent. Didn’t see a test-bank. </w:t>
            </w:r>
          </w:p>
          <w:p w:rsidR="0061634E" w:rsidRDefault="0061634E" w:rsidP="0061634E">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Very pleasant paucity of sidebar distractions and depressing end-of-selection questions attached to reading assignments.</w:t>
            </w:r>
          </w:p>
          <w:p w:rsidR="0061634E" w:rsidRDefault="0061634E"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42144A" w:rsidP="001D7409">
            <w:pPr>
              <w:jc w:val="center"/>
              <w:rPr>
                <w:rFonts w:asciiTheme="minorHAnsi" w:hAnsiTheme="minorHAnsi" w:cstheme="minorHAnsi"/>
                <w:b/>
                <w:sz w:val="20"/>
                <w:szCs w:val="20"/>
              </w:rPr>
            </w:pPr>
            <w:r>
              <w:br w:type="page"/>
            </w:r>
            <w:r w:rsidR="00370E5A">
              <w:rPr>
                <w:rFonts w:asciiTheme="minorHAnsi" w:hAnsiTheme="minorHAnsi" w:cstheme="minorHAnsi"/>
                <w:b/>
                <w:sz w:val="20"/>
                <w:szCs w:val="20"/>
              </w:rPr>
              <w:t>SECTION 2.B</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Summary Standards</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61634E">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61634E">
              <w:rPr>
                <w:rFonts w:asciiTheme="minorHAnsi" w:hAnsiTheme="minorHAnsi" w:cstheme="minorHAnsi"/>
                <w:sz w:val="20"/>
                <w:szCs w:val="20"/>
                <w:u w:val="single"/>
              </w:rPr>
              <w:t>182</w:t>
            </w:r>
            <w:r>
              <w:rPr>
                <w:rFonts w:asciiTheme="minorHAnsi" w:hAnsiTheme="minorHAnsi" w:cstheme="minorHAnsi"/>
                <w:sz w:val="20"/>
                <w:szCs w:val="20"/>
              </w:rPr>
              <w:tab/>
              <w:t xml:space="preserve">  2. #</w:t>
            </w:r>
            <w:r w:rsidR="0061634E">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61634E">
              <w:rPr>
                <w:rFonts w:asciiTheme="minorHAnsi" w:hAnsiTheme="minorHAnsi" w:cstheme="minorHAnsi"/>
                <w:sz w:val="20"/>
                <w:szCs w:val="20"/>
                <w:u w:val="single"/>
              </w:rPr>
              <w:t>190</w:t>
            </w:r>
            <w:r>
              <w:rPr>
                <w:rFonts w:asciiTheme="minorHAnsi" w:hAnsiTheme="minorHAnsi" w:cstheme="minorHAnsi"/>
                <w:sz w:val="20"/>
                <w:szCs w:val="20"/>
              </w:rPr>
              <w:tab/>
              <w:t xml:space="preserve">    3. #</w:t>
            </w:r>
            <w:r w:rsidR="0061634E">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61634E">
              <w:rPr>
                <w:rFonts w:asciiTheme="minorHAnsi" w:hAnsiTheme="minorHAnsi" w:cstheme="minorHAnsi"/>
                <w:sz w:val="20"/>
                <w:szCs w:val="20"/>
                <w:u w:val="single"/>
              </w:rPr>
              <w:t>195</w:t>
            </w:r>
          </w:p>
          <w:p w:rsidR="00370E5A" w:rsidRDefault="00370E5A" w:rsidP="00370E5A">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8B1B2D">
              <w:rPr>
                <w:rFonts w:asciiTheme="minorHAnsi" w:hAnsiTheme="minorHAnsi" w:cstheme="minorHAnsi"/>
                <w:sz w:val="20"/>
                <w:szCs w:val="20"/>
                <w:u w:val="single"/>
              </w:rPr>
              <w:t>189</w:t>
            </w:r>
            <w:r w:rsidR="00C06557">
              <w:rPr>
                <w:rFonts w:asciiTheme="minorHAnsi" w:hAnsiTheme="minorHAnsi" w:cstheme="minorHAnsi"/>
                <w:sz w:val="20"/>
                <w:szCs w:val="20"/>
              </w:rPr>
              <w:t xml:space="preserve">  </w:t>
            </w:r>
          </w:p>
          <w:p w:rsidR="00CF53D9" w:rsidRDefault="00CF53D9" w:rsidP="00370E5A">
            <w:pPr>
              <w:rPr>
                <w:rFonts w:asciiTheme="minorHAnsi" w:hAnsiTheme="minorHAnsi" w:cstheme="minorHAnsi"/>
                <w:color w:val="FF0000"/>
                <w:sz w:val="20"/>
                <w:szCs w:val="20"/>
              </w:rPr>
            </w:pPr>
          </w:p>
          <w:p w:rsidR="00370E5A" w:rsidRDefault="00490321" w:rsidP="00BD62D3">
            <w:pPr>
              <w:rPr>
                <w:rFonts w:asciiTheme="minorHAnsi" w:hAnsiTheme="minorHAnsi" w:cstheme="minorHAnsi"/>
                <w:sz w:val="20"/>
                <w:szCs w:val="20"/>
              </w:rPr>
            </w:pPr>
            <w:r>
              <w:rPr>
                <w:rFonts w:asciiTheme="minorHAnsi" w:hAnsiTheme="minorHAnsi" w:cstheme="minorHAnsi"/>
                <w:sz w:val="20"/>
                <w:szCs w:val="20"/>
              </w:rPr>
              <w:t>LITERATURE - Range of Reading/Level of Text Complexity (90)</w:t>
            </w:r>
            <w:r w:rsidR="00370E5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370E5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490321" w:rsidRPr="00C06557" w:rsidRDefault="00490321" w:rsidP="00BD62D3">
            <w:pPr>
              <w:rPr>
                <w:rFonts w:asciiTheme="minorHAnsi" w:hAnsiTheme="minorHAnsi" w:cstheme="minorHAnsi"/>
                <w:sz w:val="10"/>
                <w:szCs w:val="20"/>
              </w:rPr>
            </w:pPr>
          </w:p>
          <w:p w:rsidR="00490321" w:rsidRDefault="00490321" w:rsidP="00BD62D3">
            <w:pPr>
              <w:rPr>
                <w:rFonts w:asciiTheme="minorHAnsi" w:hAnsiTheme="minorHAnsi" w:cstheme="minorHAnsi"/>
                <w:sz w:val="20"/>
                <w:szCs w:val="20"/>
              </w:rPr>
            </w:pPr>
            <w:r>
              <w:rPr>
                <w:rFonts w:asciiTheme="minorHAnsi" w:hAnsiTheme="minorHAnsi" w:cstheme="minorHAnsi"/>
                <w:sz w:val="20"/>
                <w:szCs w:val="20"/>
              </w:rPr>
              <w:t xml:space="preserve">INFORMATIONAL TEXT - Range of Reading/Level of Text Complexity (91):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1634E" w:rsidRDefault="0061634E" w:rsidP="0061634E">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Excellent, high-interest, and varied informational texts.</w:t>
            </w:r>
          </w:p>
          <w:p w:rsidR="0061634E" w:rsidRDefault="0061634E" w:rsidP="0061634E">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Multiple, thematically related pieces used to precede and support the main, novel, selection.</w:t>
            </w:r>
          </w:p>
          <w:p w:rsidR="0061634E" w:rsidRDefault="0061634E"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91993">
        <w:trPr>
          <w:trHeight w:val="2520"/>
        </w:trPr>
        <w:tc>
          <w:tcPr>
            <w:tcW w:w="10350" w:type="dxa"/>
            <w:tcMar>
              <w:top w:w="43" w:type="dxa"/>
              <w:left w:w="115" w:type="dxa"/>
              <w:bottom w:w="43" w:type="dxa"/>
              <w:right w:w="115" w:type="dxa"/>
            </w:tcMar>
          </w:tcPr>
          <w:p w:rsidR="00C06557" w:rsidRDefault="00C06557" w:rsidP="00370E5A">
            <w:pPr>
              <w:rPr>
                <w:rFonts w:asciiTheme="minorHAnsi" w:hAnsiTheme="minorHAnsi" w:cstheme="minorHAnsi"/>
                <w:sz w:val="20"/>
                <w:szCs w:val="20"/>
              </w:rPr>
            </w:pPr>
          </w:p>
          <w:p w:rsidR="002139CC" w:rsidRPr="002139CC" w:rsidRDefault="0061634E" w:rsidP="002139CC">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All the reviewers were impressed with what we considered a thoughtful adaptation of instructional material to the new, digital, platform. Our impression is that the editors didn’t fashion this text solely at the feet of the Common Core, but rather integrated the acquisition of standards-level skills to </w:t>
            </w:r>
            <w:r w:rsidR="002D470C">
              <w:rPr>
                <w:rFonts w:asciiTheme="minorHAnsi" w:hAnsiTheme="minorHAnsi" w:cstheme="minorHAnsi"/>
                <w:sz w:val="20"/>
                <w:szCs w:val="20"/>
              </w:rPr>
              <w:t xml:space="preserve">texts, assignments, and project-based tasks which would engage, and treat with respect, not only the standards, but students and teachers as well. </w:t>
            </w:r>
          </w:p>
          <w:p w:rsidR="00A542AA" w:rsidRDefault="00A542AA" w:rsidP="00490321">
            <w:pPr>
              <w:rPr>
                <w:rFonts w:asciiTheme="minorHAnsi" w:hAnsiTheme="minorHAnsi" w:cstheme="minorHAnsi"/>
                <w:sz w:val="20"/>
                <w:szCs w:val="20"/>
              </w:rPr>
            </w:pPr>
          </w:p>
          <w:p w:rsidR="00A542AA" w:rsidRDefault="00A542AA" w:rsidP="00191993">
            <w:pPr>
              <w:rPr>
                <w:rFonts w:asciiTheme="minorHAnsi" w:hAnsiTheme="minorHAnsi" w:cstheme="minorHAnsi"/>
                <w:sz w:val="20"/>
                <w:szCs w:val="20"/>
              </w:rPr>
            </w:pPr>
          </w:p>
        </w:tc>
      </w:tr>
    </w:tbl>
    <w:p w:rsidR="00A542AA"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BE3ACC" w:rsidRPr="00A542AA" w:rsidRDefault="00A542AA" w:rsidP="00A542AA">
      <w:pPr>
        <w:tabs>
          <w:tab w:val="left" w:pos="1972"/>
        </w:tabs>
        <w:rPr>
          <w:rFonts w:asciiTheme="minorHAnsi" w:hAnsiTheme="minorHAnsi" w:cstheme="minorHAnsi"/>
          <w:sz w:val="20"/>
          <w:szCs w:val="20"/>
        </w:rPr>
      </w:pPr>
      <w:r>
        <w:rPr>
          <w:rFonts w:asciiTheme="minorHAnsi" w:hAnsiTheme="minorHAnsi" w:cstheme="minorHAnsi"/>
          <w:sz w:val="20"/>
          <w:szCs w:val="20"/>
        </w:rPr>
        <w:tab/>
      </w:r>
    </w:p>
    <w:sectPr w:rsidR="00BE3ACC" w:rsidRPr="00A542AA" w:rsidSect="00191993">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B3" w:rsidRDefault="00FE54B3">
      <w:r>
        <w:separator/>
      </w:r>
    </w:p>
  </w:endnote>
  <w:endnote w:type="continuationSeparator" w:id="0">
    <w:p w:rsidR="00FE54B3" w:rsidRDefault="00FE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CF53D9" w:rsidP="00CF53D9">
    <w:pPr>
      <w:pStyle w:val="Footer"/>
      <w:tabs>
        <w:tab w:val="clear" w:pos="8640"/>
        <w:tab w:val="right" w:pos="9360"/>
      </w:tabs>
      <w:ind w:left="-450"/>
    </w:pPr>
    <w:r>
      <w:rPr>
        <w:rFonts w:asciiTheme="minorHAnsi" w:hAnsiTheme="minorHAnsi" w:cstheme="majorHAnsi"/>
        <w:sz w:val="18"/>
        <w:szCs w:val="18"/>
      </w:rPr>
      <w:t>ELA</w:t>
    </w:r>
    <w:r w:rsidR="00AB16A9">
      <w:rPr>
        <w:rFonts w:asciiTheme="minorHAnsi" w:hAnsiTheme="minorHAnsi" w:cstheme="majorHAnsi"/>
        <w:sz w:val="18"/>
        <w:szCs w:val="18"/>
      </w:rPr>
      <w:t>:</w:t>
    </w:r>
    <w:r>
      <w:rPr>
        <w:rFonts w:asciiTheme="minorHAnsi" w:hAnsiTheme="minorHAnsi" w:cstheme="majorHAnsi"/>
        <w:sz w:val="18"/>
        <w:szCs w:val="18"/>
      </w:rPr>
      <w:t xml:space="preserve"> Review Team Appraisal of Title</w:t>
    </w:r>
    <w:r w:rsidRPr="00CF53D9">
      <w:rPr>
        <w:rFonts w:asciiTheme="minorHAnsi" w:hAnsiTheme="minorHAnsi" w:cstheme="majorHAnsi"/>
        <w:sz w:val="18"/>
        <w:szCs w:val="18"/>
      </w:rPr>
      <w:ptab w:relativeTo="margin" w:alignment="right" w:leader="none"/>
    </w:r>
    <w:r w:rsidRPr="00CF53D9">
      <w:rPr>
        <w:rFonts w:asciiTheme="minorHAnsi" w:hAnsiTheme="minorHAnsi" w:cstheme="majorHAnsi"/>
        <w:sz w:val="18"/>
        <w:szCs w:val="18"/>
      </w:rPr>
      <w:t xml:space="preserve">Page </w:t>
    </w:r>
    <w:r w:rsidR="001877AC" w:rsidRPr="00CF53D9">
      <w:rPr>
        <w:rFonts w:asciiTheme="minorHAnsi" w:hAnsiTheme="minorHAnsi"/>
        <w:sz w:val="18"/>
        <w:szCs w:val="18"/>
      </w:rPr>
      <w:fldChar w:fldCharType="begin"/>
    </w:r>
    <w:r w:rsidRPr="00CF53D9">
      <w:rPr>
        <w:rFonts w:asciiTheme="minorHAnsi" w:hAnsiTheme="minorHAnsi"/>
        <w:sz w:val="18"/>
        <w:szCs w:val="18"/>
      </w:rPr>
      <w:instrText xml:space="preserve"> PAGE   \* MERGEFORMAT </w:instrText>
    </w:r>
    <w:r w:rsidR="001877AC" w:rsidRPr="00CF53D9">
      <w:rPr>
        <w:rFonts w:asciiTheme="minorHAnsi" w:hAnsiTheme="minorHAnsi"/>
        <w:sz w:val="18"/>
        <w:szCs w:val="18"/>
      </w:rPr>
      <w:fldChar w:fldCharType="separate"/>
    </w:r>
    <w:r w:rsidR="00F53742" w:rsidRPr="00F53742">
      <w:rPr>
        <w:rFonts w:asciiTheme="minorHAnsi" w:hAnsiTheme="minorHAnsi" w:cstheme="majorHAnsi"/>
        <w:noProof/>
        <w:sz w:val="18"/>
        <w:szCs w:val="18"/>
      </w:rPr>
      <w:t>2</w:t>
    </w:r>
    <w:r w:rsidR="001877AC" w:rsidRPr="00CF53D9">
      <w:rPr>
        <w:rFonts w:asciiTheme="minorHAnsi" w:hAnsiTheme="minorHAnsi"/>
        <w:sz w:val="18"/>
        <w:szCs w:val="18"/>
      </w:rPr>
      <w:fldChar w:fldCharType="end"/>
    </w:r>
    <w:r w:rsidR="00674850">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41148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0.4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74850">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4Ow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Famr+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674850">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B3" w:rsidRDefault="00FE54B3">
      <w:r>
        <w:separator/>
      </w:r>
    </w:p>
  </w:footnote>
  <w:footnote w:type="continuationSeparator" w:id="0">
    <w:p w:rsidR="00FE54B3" w:rsidRDefault="00FE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E1C73"/>
    <w:multiLevelType w:val="hybridMultilevel"/>
    <w:tmpl w:val="50D0A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443727"/>
    <w:multiLevelType w:val="hybridMultilevel"/>
    <w:tmpl w:val="07D4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2F6FFE"/>
    <w:multiLevelType w:val="hybridMultilevel"/>
    <w:tmpl w:val="4374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8"/>
  </w:num>
  <w:num w:numId="4">
    <w:abstractNumId w:val="22"/>
  </w:num>
  <w:num w:numId="5">
    <w:abstractNumId w:val="15"/>
  </w:num>
  <w:num w:numId="6">
    <w:abstractNumId w:val="13"/>
  </w:num>
  <w:num w:numId="7">
    <w:abstractNumId w:val="0"/>
  </w:num>
  <w:num w:numId="8">
    <w:abstractNumId w:val="14"/>
  </w:num>
  <w:num w:numId="9">
    <w:abstractNumId w:val="39"/>
  </w:num>
  <w:num w:numId="1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CA6"/>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7AC"/>
    <w:rsid w:val="00187DAB"/>
    <w:rsid w:val="001900D4"/>
    <w:rsid w:val="00191337"/>
    <w:rsid w:val="00191993"/>
    <w:rsid w:val="00191E2C"/>
    <w:rsid w:val="00193FDE"/>
    <w:rsid w:val="0019612C"/>
    <w:rsid w:val="001A06AA"/>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6E42"/>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39C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859F0"/>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470C"/>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44A"/>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879"/>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54D"/>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4E5"/>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34E"/>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4850"/>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565"/>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1B2D"/>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62F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6C22"/>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32DB"/>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16A9"/>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560"/>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388E"/>
    <w:rsid w:val="00EA4FF5"/>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695"/>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3742"/>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54B3"/>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EA5F-387E-459A-B4E1-E5BE2E96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3061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textbook</dc:creator>
  <cp:lastModifiedBy>textbook</cp:lastModifiedBy>
  <cp:revision>5</cp:revision>
  <cp:lastPrinted>2013-05-31T15:33:00Z</cp:lastPrinted>
  <dcterms:created xsi:type="dcterms:W3CDTF">2014-06-03T14:46:00Z</dcterms:created>
  <dcterms:modified xsi:type="dcterms:W3CDTF">2014-06-03T20:39:00Z</dcterms:modified>
</cp:coreProperties>
</file>