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7E" w:rsidRPr="00736749" w:rsidRDefault="00913E7E" w:rsidP="00110412">
      <w:bookmarkStart w:id="0" w:name="_GoBack"/>
      <w:bookmarkEnd w:id="0"/>
    </w:p>
    <w:tbl>
      <w:tblPr>
        <w:tblStyle w:val="TableGrid"/>
        <w:tblW w:w="0" w:type="auto"/>
        <w:tblInd w:w="-184" w:type="dxa"/>
        <w:tblLook w:val="04A0" w:firstRow="1" w:lastRow="0" w:firstColumn="1" w:lastColumn="0" w:noHBand="0" w:noVBand="1"/>
      </w:tblPr>
      <w:tblGrid>
        <w:gridCol w:w="1209"/>
        <w:gridCol w:w="2740"/>
        <w:gridCol w:w="7075"/>
        <w:gridCol w:w="1473"/>
        <w:gridCol w:w="819"/>
      </w:tblGrid>
      <w:tr w:rsidR="00851FEE" w:rsidRPr="00736749" w:rsidTr="00847156">
        <w:trPr>
          <w:cantSplit/>
          <w:tblHeader/>
        </w:trPr>
        <w:tc>
          <w:tcPr>
            <w:tcW w:w="1228" w:type="dxa"/>
            <w:vMerge w:val="restart"/>
            <w:shd w:val="clear" w:color="auto" w:fill="C6D9F1" w:themeFill="text2" w:themeFillTint="33"/>
            <w:tcMar>
              <w:left w:w="86" w:type="dxa"/>
              <w:right w:w="86" w:type="dxa"/>
            </w:tcMar>
            <w:vAlign w:val="center"/>
          </w:tcPr>
          <w:p w:rsidR="009E4B85" w:rsidRPr="00736749" w:rsidRDefault="009E4B85" w:rsidP="009E4B85">
            <w:pPr>
              <w:jc w:val="center"/>
              <w:rPr>
                <w:b/>
                <w:caps/>
              </w:rPr>
            </w:pPr>
            <w:r w:rsidRPr="00736749">
              <w:rPr>
                <w:b/>
                <w:caps/>
              </w:rPr>
              <w:t>Question Number</w:t>
            </w:r>
          </w:p>
        </w:tc>
        <w:tc>
          <w:tcPr>
            <w:tcW w:w="2735" w:type="dxa"/>
            <w:vMerge w:val="restart"/>
            <w:shd w:val="clear" w:color="auto" w:fill="C6D9F1" w:themeFill="text2" w:themeFillTint="33"/>
            <w:tcMar>
              <w:left w:w="86" w:type="dxa"/>
              <w:right w:w="86" w:type="dxa"/>
            </w:tcMar>
            <w:vAlign w:val="center"/>
          </w:tcPr>
          <w:p w:rsidR="009E4B85" w:rsidRPr="00736749" w:rsidRDefault="009E4B85" w:rsidP="009E4B85">
            <w:pPr>
              <w:jc w:val="center"/>
              <w:rPr>
                <w:b/>
                <w:caps/>
              </w:rPr>
            </w:pPr>
            <w:r w:rsidRPr="00736749">
              <w:rPr>
                <w:b/>
                <w:caps/>
              </w:rPr>
              <w:t>Original Question</w:t>
            </w:r>
          </w:p>
        </w:tc>
        <w:tc>
          <w:tcPr>
            <w:tcW w:w="7065" w:type="dxa"/>
            <w:vMerge w:val="restart"/>
            <w:shd w:val="clear" w:color="auto" w:fill="C6D9F1" w:themeFill="text2" w:themeFillTint="33"/>
            <w:tcMar>
              <w:left w:w="86" w:type="dxa"/>
              <w:right w:w="86" w:type="dxa"/>
            </w:tcMar>
            <w:vAlign w:val="center"/>
          </w:tcPr>
          <w:p w:rsidR="009E4B85" w:rsidRPr="00736749" w:rsidRDefault="009E4B85" w:rsidP="009E4B85">
            <w:pPr>
              <w:jc w:val="center"/>
              <w:rPr>
                <w:b/>
                <w:caps/>
              </w:rPr>
            </w:pPr>
            <w:r w:rsidRPr="00736749">
              <w:rPr>
                <w:b/>
                <w:caps/>
              </w:rPr>
              <w:t>Response to Original Question</w:t>
            </w:r>
          </w:p>
        </w:tc>
        <w:tc>
          <w:tcPr>
            <w:tcW w:w="2288" w:type="dxa"/>
            <w:gridSpan w:val="2"/>
            <w:tcBorders>
              <w:bottom w:val="single" w:sz="4" w:space="0" w:color="auto"/>
            </w:tcBorders>
            <w:shd w:val="clear" w:color="auto" w:fill="C6D9F1" w:themeFill="text2" w:themeFillTint="33"/>
            <w:tcMar>
              <w:left w:w="86" w:type="dxa"/>
              <w:right w:w="86" w:type="dxa"/>
            </w:tcMar>
          </w:tcPr>
          <w:p w:rsidR="009E4B85" w:rsidRPr="00736749" w:rsidRDefault="009E4B85" w:rsidP="009E4B85">
            <w:pPr>
              <w:jc w:val="center"/>
              <w:rPr>
                <w:b/>
                <w:caps/>
              </w:rPr>
            </w:pPr>
            <w:r w:rsidRPr="00736749">
              <w:rPr>
                <w:b/>
                <w:caps/>
              </w:rPr>
              <w:t>RFP Referencing Information</w:t>
            </w:r>
          </w:p>
        </w:tc>
      </w:tr>
      <w:tr w:rsidR="00387910" w:rsidRPr="00736749" w:rsidTr="00847156">
        <w:trPr>
          <w:tblHeader/>
        </w:trPr>
        <w:tc>
          <w:tcPr>
            <w:tcW w:w="1228" w:type="dxa"/>
            <w:vMerge/>
            <w:shd w:val="clear" w:color="auto" w:fill="C6D9F1" w:themeFill="text2" w:themeFillTint="33"/>
            <w:tcMar>
              <w:left w:w="86" w:type="dxa"/>
              <w:right w:w="86" w:type="dxa"/>
            </w:tcMar>
          </w:tcPr>
          <w:p w:rsidR="009E4B85" w:rsidRPr="00736749" w:rsidRDefault="009E4B85" w:rsidP="009E4B85">
            <w:pPr>
              <w:jc w:val="center"/>
            </w:pPr>
          </w:p>
        </w:tc>
        <w:tc>
          <w:tcPr>
            <w:tcW w:w="2735" w:type="dxa"/>
            <w:vMerge/>
            <w:shd w:val="clear" w:color="auto" w:fill="C6D9F1" w:themeFill="text2" w:themeFillTint="33"/>
            <w:tcMar>
              <w:left w:w="86" w:type="dxa"/>
              <w:right w:w="86" w:type="dxa"/>
            </w:tcMar>
          </w:tcPr>
          <w:p w:rsidR="009E4B85" w:rsidRPr="00736749" w:rsidRDefault="009E4B85" w:rsidP="009E4B85">
            <w:pPr>
              <w:jc w:val="center"/>
            </w:pPr>
          </w:p>
        </w:tc>
        <w:tc>
          <w:tcPr>
            <w:tcW w:w="7065" w:type="dxa"/>
            <w:vMerge/>
            <w:shd w:val="clear" w:color="auto" w:fill="C6D9F1" w:themeFill="text2" w:themeFillTint="33"/>
            <w:tcMar>
              <w:left w:w="86" w:type="dxa"/>
              <w:right w:w="86" w:type="dxa"/>
            </w:tcMar>
          </w:tcPr>
          <w:p w:rsidR="009E4B85" w:rsidRPr="00736749" w:rsidRDefault="009E4B85" w:rsidP="009E4B85">
            <w:pPr>
              <w:jc w:val="center"/>
            </w:pPr>
          </w:p>
        </w:tc>
        <w:tc>
          <w:tcPr>
            <w:tcW w:w="1470" w:type="dxa"/>
            <w:tcBorders>
              <w:top w:val="single" w:sz="4" w:space="0" w:color="auto"/>
            </w:tcBorders>
            <w:shd w:val="clear" w:color="auto" w:fill="C6D9F1" w:themeFill="text2" w:themeFillTint="33"/>
            <w:tcMar>
              <w:left w:w="86" w:type="dxa"/>
              <w:right w:w="86" w:type="dxa"/>
            </w:tcMar>
            <w:vAlign w:val="bottom"/>
          </w:tcPr>
          <w:p w:rsidR="009E4B85" w:rsidRPr="00736749" w:rsidRDefault="009E4B85" w:rsidP="009E4B85">
            <w:pPr>
              <w:jc w:val="center"/>
              <w:rPr>
                <w:b/>
                <w:sz w:val="19"/>
                <w:szCs w:val="19"/>
              </w:rPr>
            </w:pPr>
            <w:r w:rsidRPr="00736749">
              <w:rPr>
                <w:b/>
                <w:sz w:val="19"/>
                <w:szCs w:val="19"/>
              </w:rPr>
              <w:t>RFP Section</w:t>
            </w:r>
          </w:p>
        </w:tc>
        <w:tc>
          <w:tcPr>
            <w:tcW w:w="818" w:type="dxa"/>
            <w:tcBorders>
              <w:top w:val="single" w:sz="4" w:space="0" w:color="auto"/>
            </w:tcBorders>
            <w:shd w:val="clear" w:color="auto" w:fill="C6D9F1" w:themeFill="text2" w:themeFillTint="33"/>
            <w:tcMar>
              <w:left w:w="86" w:type="dxa"/>
              <w:right w:w="86" w:type="dxa"/>
            </w:tcMar>
            <w:vAlign w:val="bottom"/>
          </w:tcPr>
          <w:p w:rsidR="009E4B85" w:rsidRPr="00736749" w:rsidRDefault="009E4B85" w:rsidP="009E4B85">
            <w:pPr>
              <w:jc w:val="center"/>
              <w:rPr>
                <w:b/>
                <w:sz w:val="19"/>
                <w:szCs w:val="19"/>
              </w:rPr>
            </w:pPr>
            <w:r w:rsidRPr="00736749">
              <w:rPr>
                <w:b/>
                <w:sz w:val="19"/>
                <w:szCs w:val="19"/>
              </w:rPr>
              <w:t>RFP Page Number</w:t>
            </w:r>
          </w:p>
        </w:tc>
      </w:tr>
      <w:tr w:rsidR="00851FEE" w:rsidRPr="00736749" w:rsidTr="00847156">
        <w:trPr>
          <w:cantSplit/>
        </w:trPr>
        <w:tc>
          <w:tcPr>
            <w:tcW w:w="1228" w:type="dxa"/>
            <w:vAlign w:val="center"/>
          </w:tcPr>
          <w:p w:rsidR="009E4B85" w:rsidRPr="00736749" w:rsidRDefault="001C42C6" w:rsidP="00ED70C4">
            <w:pPr>
              <w:jc w:val="center"/>
              <w:rPr>
                <w:rFonts w:cstheme="minorHAnsi"/>
              </w:rPr>
            </w:pPr>
            <w:r w:rsidRPr="00736749">
              <w:rPr>
                <w:rFonts w:cstheme="minorHAnsi"/>
              </w:rPr>
              <w:t>1</w:t>
            </w:r>
          </w:p>
        </w:tc>
        <w:tc>
          <w:tcPr>
            <w:tcW w:w="2735" w:type="dxa"/>
            <w:vAlign w:val="center"/>
          </w:tcPr>
          <w:p w:rsidR="009E4B85" w:rsidRPr="00736749" w:rsidRDefault="001558CB" w:rsidP="007F121C">
            <w:pPr>
              <w:rPr>
                <w:rFonts w:cstheme="minorHAnsi"/>
              </w:rPr>
            </w:pPr>
            <w:r w:rsidRPr="00736749">
              <w:rPr>
                <w:rFonts w:cstheme="minorHAnsi"/>
              </w:rPr>
              <w:t>Does the State request vendors to mail Appendix A, or may we submit an electronic version via email</w:t>
            </w:r>
            <w:r w:rsidR="007F121C" w:rsidRPr="00736749">
              <w:rPr>
                <w:rFonts w:cstheme="minorHAnsi"/>
              </w:rPr>
              <w:t>?</w:t>
            </w:r>
            <w:r w:rsidRPr="00736749">
              <w:rPr>
                <w:rFonts w:cstheme="minorHAnsi"/>
              </w:rPr>
              <w:t xml:space="preserve"> </w:t>
            </w:r>
          </w:p>
        </w:tc>
        <w:tc>
          <w:tcPr>
            <w:tcW w:w="7065" w:type="dxa"/>
            <w:vAlign w:val="center"/>
          </w:tcPr>
          <w:p w:rsidR="009E4B85" w:rsidRPr="00736749" w:rsidRDefault="001558CB" w:rsidP="00ED70C4">
            <w:pPr>
              <w:rPr>
                <w:rFonts w:cstheme="minorHAnsi"/>
              </w:rPr>
            </w:pPr>
            <w:r w:rsidRPr="00736749">
              <w:rPr>
                <w:rFonts w:cstheme="minorHAnsi"/>
              </w:rPr>
              <w:t xml:space="preserve">Please email the Acknowledgment of Receipt form to Kimber Sanchez. </w:t>
            </w:r>
          </w:p>
          <w:p w:rsidR="001558CB" w:rsidRPr="00736749" w:rsidRDefault="001558CB" w:rsidP="00ED70C4">
            <w:pPr>
              <w:rPr>
                <w:rFonts w:cstheme="minorHAnsi"/>
              </w:rPr>
            </w:pPr>
            <w:r w:rsidRPr="00736749">
              <w:rPr>
                <w:rFonts w:cstheme="minorHAnsi"/>
              </w:rPr>
              <w:t xml:space="preserve">*Amendment No. 1 provided </w:t>
            </w:r>
            <w:r w:rsidR="007F121C" w:rsidRPr="00736749">
              <w:rPr>
                <w:rFonts w:cstheme="minorHAnsi"/>
              </w:rPr>
              <w:t xml:space="preserve">an </w:t>
            </w:r>
            <w:r w:rsidRPr="00736749">
              <w:rPr>
                <w:rFonts w:cstheme="minorHAnsi"/>
              </w:rPr>
              <w:t>email address for Kimber Sanchez</w:t>
            </w:r>
          </w:p>
        </w:tc>
        <w:tc>
          <w:tcPr>
            <w:tcW w:w="1470" w:type="dxa"/>
            <w:vAlign w:val="center"/>
          </w:tcPr>
          <w:p w:rsidR="009E4B85" w:rsidRPr="00736749" w:rsidRDefault="001558CB" w:rsidP="00ED70C4">
            <w:pPr>
              <w:jc w:val="center"/>
              <w:rPr>
                <w:rFonts w:cstheme="minorHAnsi"/>
              </w:rPr>
            </w:pPr>
            <w:r w:rsidRPr="00736749">
              <w:rPr>
                <w:rFonts w:cstheme="minorHAnsi"/>
              </w:rPr>
              <w:t>Section II.B.2</w:t>
            </w:r>
          </w:p>
          <w:p w:rsidR="001558CB" w:rsidRPr="00736749" w:rsidRDefault="001558CB" w:rsidP="00ED70C4">
            <w:pPr>
              <w:jc w:val="center"/>
              <w:rPr>
                <w:rFonts w:cstheme="minorHAnsi"/>
                <w:i/>
              </w:rPr>
            </w:pPr>
            <w:r w:rsidRPr="00736749">
              <w:rPr>
                <w:rFonts w:cstheme="minorHAnsi"/>
                <w:i/>
              </w:rPr>
              <w:t>Amended 6/5</w:t>
            </w:r>
          </w:p>
        </w:tc>
        <w:tc>
          <w:tcPr>
            <w:tcW w:w="818" w:type="dxa"/>
            <w:vAlign w:val="center"/>
          </w:tcPr>
          <w:p w:rsidR="009E4B85" w:rsidRPr="00736749" w:rsidRDefault="001558CB" w:rsidP="00ED70C4">
            <w:pPr>
              <w:jc w:val="center"/>
              <w:rPr>
                <w:rFonts w:cstheme="minorHAnsi"/>
              </w:rPr>
            </w:pPr>
            <w:r w:rsidRPr="00736749">
              <w:rPr>
                <w:rFonts w:cstheme="minorHAnsi"/>
              </w:rPr>
              <w:t>12</w:t>
            </w:r>
          </w:p>
        </w:tc>
      </w:tr>
      <w:tr w:rsidR="00851FEE" w:rsidRPr="00736749" w:rsidTr="00847156">
        <w:tc>
          <w:tcPr>
            <w:tcW w:w="1228" w:type="dxa"/>
            <w:vAlign w:val="center"/>
          </w:tcPr>
          <w:p w:rsidR="00DE4A2E" w:rsidRPr="00736749" w:rsidRDefault="00DE4A2E" w:rsidP="00ED70C4">
            <w:pPr>
              <w:jc w:val="center"/>
              <w:rPr>
                <w:rFonts w:cstheme="minorHAnsi"/>
              </w:rPr>
            </w:pPr>
            <w:r w:rsidRPr="00736749">
              <w:rPr>
                <w:rFonts w:cstheme="minorHAnsi"/>
              </w:rPr>
              <w:t>2</w:t>
            </w:r>
          </w:p>
        </w:tc>
        <w:tc>
          <w:tcPr>
            <w:tcW w:w="2735" w:type="dxa"/>
            <w:vAlign w:val="center"/>
          </w:tcPr>
          <w:p w:rsidR="001558CB" w:rsidRPr="00736749" w:rsidRDefault="001558CB" w:rsidP="001558CB">
            <w:pPr>
              <w:rPr>
                <w:rFonts w:cstheme="minorHAnsi"/>
              </w:rPr>
            </w:pPr>
            <w:r w:rsidRPr="00736749">
              <w:rPr>
                <w:rFonts w:cstheme="minorHAnsi"/>
              </w:rPr>
              <w:t>Will the contractor be required to handle the following:</w:t>
            </w:r>
          </w:p>
          <w:p w:rsidR="001558CB" w:rsidRPr="00736749" w:rsidRDefault="001558CB" w:rsidP="001558CB">
            <w:pPr>
              <w:pStyle w:val="ListParagraph"/>
              <w:numPr>
                <w:ilvl w:val="0"/>
                <w:numId w:val="1"/>
              </w:numPr>
              <w:spacing w:after="0" w:line="240" w:lineRule="auto"/>
              <w:rPr>
                <w:rFonts w:cstheme="minorHAnsi"/>
              </w:rPr>
            </w:pPr>
            <w:r w:rsidRPr="00736749">
              <w:rPr>
                <w:rFonts w:cstheme="minorHAnsi"/>
              </w:rPr>
              <w:t>Scoring &amp; reporting</w:t>
            </w:r>
          </w:p>
          <w:p w:rsidR="001558CB" w:rsidRPr="00736749" w:rsidRDefault="001558CB" w:rsidP="001558CB">
            <w:pPr>
              <w:pStyle w:val="ListParagraph"/>
              <w:numPr>
                <w:ilvl w:val="0"/>
                <w:numId w:val="1"/>
              </w:numPr>
              <w:spacing w:after="0" w:line="240" w:lineRule="auto"/>
              <w:rPr>
                <w:rFonts w:cstheme="minorHAnsi"/>
              </w:rPr>
            </w:pPr>
            <w:r w:rsidRPr="00736749">
              <w:rPr>
                <w:rFonts w:cstheme="minorHAnsi"/>
              </w:rPr>
              <w:t>Administration, test security, data integrity, data privacy, and technical quality</w:t>
            </w:r>
          </w:p>
          <w:p w:rsidR="001558CB" w:rsidRPr="00736749" w:rsidRDefault="001558CB" w:rsidP="001558CB">
            <w:pPr>
              <w:pStyle w:val="ListParagraph"/>
              <w:numPr>
                <w:ilvl w:val="0"/>
                <w:numId w:val="1"/>
              </w:numPr>
              <w:spacing w:after="0" w:line="240" w:lineRule="auto"/>
              <w:rPr>
                <w:rFonts w:cstheme="minorHAnsi"/>
              </w:rPr>
            </w:pPr>
            <w:r w:rsidRPr="00736749">
              <w:rPr>
                <w:rFonts w:cstheme="minorHAnsi"/>
              </w:rPr>
              <w:t>Providing an IT platform</w:t>
            </w:r>
          </w:p>
          <w:p w:rsidR="001558CB" w:rsidRPr="00736749" w:rsidRDefault="001558CB" w:rsidP="001558CB">
            <w:pPr>
              <w:pStyle w:val="ListParagraph"/>
              <w:numPr>
                <w:ilvl w:val="0"/>
                <w:numId w:val="1"/>
              </w:numPr>
              <w:spacing w:after="0" w:line="240" w:lineRule="auto"/>
              <w:rPr>
                <w:rFonts w:cstheme="minorHAnsi"/>
              </w:rPr>
            </w:pPr>
            <w:r w:rsidRPr="00736749">
              <w:rPr>
                <w:rFonts w:cstheme="minorHAnsi"/>
              </w:rPr>
              <w:t>Developing and hosting solutions to support local summative and interim assessment operations</w:t>
            </w:r>
          </w:p>
          <w:p w:rsidR="00DE4A2E" w:rsidRPr="00736749" w:rsidRDefault="001558CB" w:rsidP="001558CB">
            <w:pPr>
              <w:rPr>
                <w:rFonts w:cstheme="minorHAnsi"/>
              </w:rPr>
            </w:pPr>
            <w:r w:rsidRPr="00736749">
              <w:rPr>
                <w:rFonts w:cstheme="minorHAnsi"/>
              </w:rPr>
              <w:t xml:space="preserve">If any of the above are required, would it be possible for us to only respond to the content development portion of this </w:t>
            </w:r>
            <w:r w:rsidRPr="00736749">
              <w:rPr>
                <w:rFonts w:cstheme="minorHAnsi"/>
              </w:rPr>
              <w:br/>
              <w:t>RFP?</w:t>
            </w:r>
          </w:p>
        </w:tc>
        <w:tc>
          <w:tcPr>
            <w:tcW w:w="7065" w:type="dxa"/>
            <w:vAlign w:val="center"/>
          </w:tcPr>
          <w:p w:rsidR="00851FEE" w:rsidRPr="00736749" w:rsidRDefault="00851FEE" w:rsidP="00851FEE">
            <w:pPr>
              <w:rPr>
                <w:rFonts w:cstheme="minorHAnsi"/>
              </w:rPr>
            </w:pPr>
            <w:r w:rsidRPr="00736749">
              <w:rPr>
                <w:rFonts w:cstheme="minorHAnsi"/>
              </w:rPr>
              <w:t>In Table 12, there are groups of services to be procured via this RFP that may be awarded separately by assessment system components and type of service. If an Offeror proposes any services beginning with a specific letter (e.g., “A”), it must propose all services beginning with that letter.</w:t>
            </w:r>
            <w:r w:rsidR="002E098C">
              <w:rPr>
                <w:rFonts w:cstheme="minorHAnsi"/>
              </w:rPr>
              <w:t xml:space="preserve"> The roles as groups of service</w:t>
            </w:r>
            <w:r w:rsidRPr="00736749">
              <w:rPr>
                <w:rFonts w:cstheme="minorHAnsi"/>
              </w:rPr>
              <w:t>s shown in Table 12 are as follows:</w:t>
            </w:r>
          </w:p>
          <w:p w:rsidR="00851FEE" w:rsidRPr="00736749" w:rsidRDefault="00851FEE" w:rsidP="00E50D8C">
            <w:pPr>
              <w:pStyle w:val="ListParagraph"/>
              <w:numPr>
                <w:ilvl w:val="0"/>
                <w:numId w:val="3"/>
              </w:numPr>
              <w:spacing w:after="0" w:line="240" w:lineRule="auto"/>
              <w:ind w:left="391"/>
              <w:rPr>
                <w:rFonts w:cstheme="minorHAnsi"/>
              </w:rPr>
            </w:pPr>
            <w:r w:rsidRPr="00736749">
              <w:rPr>
                <w:rFonts w:cstheme="minorHAnsi"/>
              </w:rPr>
              <w:t>Primary contractor responsible for the bulk of the work including the following:</w:t>
            </w:r>
          </w:p>
          <w:p w:rsidR="00851FEE" w:rsidRPr="00736749" w:rsidRDefault="00851FEE" w:rsidP="00851FEE">
            <w:pPr>
              <w:pStyle w:val="ListParagraph"/>
              <w:numPr>
                <w:ilvl w:val="1"/>
                <w:numId w:val="3"/>
              </w:numPr>
              <w:spacing w:after="0" w:line="240" w:lineRule="auto"/>
              <w:ind w:left="751"/>
              <w:rPr>
                <w:rFonts w:cstheme="minorHAnsi"/>
              </w:rPr>
            </w:pPr>
            <w:r w:rsidRPr="00736749">
              <w:rPr>
                <w:rFonts w:cstheme="minorHAnsi"/>
              </w:rPr>
              <w:t>management services;</w:t>
            </w:r>
          </w:p>
          <w:p w:rsidR="00851FEE" w:rsidRPr="00736749" w:rsidRDefault="00851FEE" w:rsidP="00851FEE">
            <w:pPr>
              <w:pStyle w:val="ListParagraph"/>
              <w:numPr>
                <w:ilvl w:val="1"/>
                <w:numId w:val="3"/>
              </w:numPr>
              <w:spacing w:after="0" w:line="240" w:lineRule="auto"/>
              <w:ind w:left="751"/>
              <w:rPr>
                <w:rFonts w:cstheme="minorHAnsi"/>
              </w:rPr>
            </w:pPr>
            <w:r w:rsidRPr="00736749">
              <w:rPr>
                <w:rFonts w:cstheme="minorHAnsi"/>
              </w:rPr>
              <w:t>development of state-provided summative assessment in grades 3-10 in ELA/Math;</w:t>
            </w:r>
          </w:p>
          <w:p w:rsidR="00851FEE" w:rsidRPr="00736749" w:rsidRDefault="00851FEE" w:rsidP="00851FEE">
            <w:pPr>
              <w:pStyle w:val="ListParagraph"/>
              <w:numPr>
                <w:ilvl w:val="1"/>
                <w:numId w:val="3"/>
              </w:numPr>
              <w:spacing w:after="0" w:line="240" w:lineRule="auto"/>
              <w:ind w:left="751"/>
              <w:rPr>
                <w:rFonts w:cstheme="minorHAnsi"/>
              </w:rPr>
            </w:pPr>
            <w:r w:rsidRPr="00736749">
              <w:rPr>
                <w:rFonts w:cstheme="minorHAnsi"/>
              </w:rPr>
              <w:t>peer review assistance for summative assessment in grades 3-8 in ELA/Math;</w:t>
            </w:r>
          </w:p>
          <w:p w:rsidR="00851FEE" w:rsidRPr="00736749" w:rsidRDefault="00851FEE" w:rsidP="00851FEE">
            <w:pPr>
              <w:pStyle w:val="ListParagraph"/>
              <w:numPr>
                <w:ilvl w:val="1"/>
                <w:numId w:val="3"/>
              </w:numPr>
              <w:spacing w:after="0" w:line="240" w:lineRule="auto"/>
              <w:ind w:left="751"/>
              <w:rPr>
                <w:rFonts w:cstheme="minorHAnsi"/>
              </w:rPr>
            </w:pPr>
            <w:r w:rsidRPr="00736749">
              <w:rPr>
                <w:rFonts w:cstheme="minorHAnsi"/>
              </w:rPr>
              <w:t>administration, test security, data integrity, data privacy, and technical quality for all state-provided summative and interim assessments;</w:t>
            </w:r>
          </w:p>
          <w:p w:rsidR="00851FEE" w:rsidRPr="00736749" w:rsidRDefault="00851FEE" w:rsidP="00851FEE">
            <w:pPr>
              <w:pStyle w:val="ListParagraph"/>
              <w:numPr>
                <w:ilvl w:val="1"/>
                <w:numId w:val="3"/>
              </w:numPr>
              <w:spacing w:after="0" w:line="240" w:lineRule="auto"/>
              <w:ind w:left="751"/>
              <w:rPr>
                <w:rFonts w:cstheme="minorHAnsi"/>
              </w:rPr>
            </w:pPr>
            <w:r w:rsidRPr="00736749">
              <w:rPr>
                <w:rFonts w:cstheme="minorHAnsi"/>
              </w:rPr>
              <w:t xml:space="preserve">providing/extending IT platforms to support local summative and interim assessment; </w:t>
            </w:r>
          </w:p>
          <w:p w:rsidR="00E50D8C" w:rsidRPr="00736749" w:rsidRDefault="00851FEE" w:rsidP="00E50D8C">
            <w:pPr>
              <w:pStyle w:val="ListParagraph"/>
              <w:numPr>
                <w:ilvl w:val="1"/>
                <w:numId w:val="3"/>
              </w:numPr>
              <w:spacing w:after="0" w:line="240" w:lineRule="auto"/>
              <w:ind w:left="751"/>
              <w:rPr>
                <w:rFonts w:cstheme="minorHAnsi"/>
              </w:rPr>
            </w:pPr>
            <w:r w:rsidRPr="00736749">
              <w:rPr>
                <w:rFonts w:cstheme="minorHAnsi"/>
              </w:rPr>
              <w:t>supporting local summative and interim asse</w:t>
            </w:r>
            <w:r w:rsidR="00E50D8C" w:rsidRPr="00736749">
              <w:rPr>
                <w:rFonts w:cstheme="minorHAnsi"/>
              </w:rPr>
              <w:t>ssment operations;</w:t>
            </w:r>
          </w:p>
          <w:p w:rsidR="00E50D8C" w:rsidRPr="00736749" w:rsidRDefault="00E50D8C" w:rsidP="00E50D8C">
            <w:pPr>
              <w:pStyle w:val="ListParagraph"/>
              <w:numPr>
                <w:ilvl w:val="1"/>
                <w:numId w:val="3"/>
              </w:numPr>
              <w:spacing w:after="0" w:line="240" w:lineRule="auto"/>
              <w:ind w:left="751"/>
              <w:rPr>
                <w:rFonts w:cstheme="minorHAnsi"/>
              </w:rPr>
            </w:pPr>
            <w:r w:rsidRPr="00736749">
              <w:rPr>
                <w:rFonts w:cstheme="minorHAnsi"/>
              </w:rPr>
              <w:t>developing and hosting solutions to local summative and interim assessment operations covering content development, administration, test security, data integrity, data privacy, technical quality, scoring, and reporting as appropriate for local assessments;</w:t>
            </w:r>
          </w:p>
          <w:p w:rsidR="00E50D8C" w:rsidRPr="00736749" w:rsidRDefault="00E50D8C" w:rsidP="00E50D8C">
            <w:pPr>
              <w:pStyle w:val="ListParagraph"/>
              <w:numPr>
                <w:ilvl w:val="0"/>
                <w:numId w:val="3"/>
              </w:numPr>
              <w:spacing w:after="0" w:line="240" w:lineRule="auto"/>
              <w:ind w:left="301"/>
              <w:rPr>
                <w:rFonts w:cstheme="minorHAnsi"/>
              </w:rPr>
            </w:pPr>
            <w:r w:rsidRPr="00736749">
              <w:rPr>
                <w:rFonts w:cstheme="minorHAnsi"/>
              </w:rPr>
              <w:t>Content development for state-provided summative assessment in grades 3-8 in SLA</w:t>
            </w:r>
          </w:p>
          <w:p w:rsidR="00E50D8C" w:rsidRPr="00736749" w:rsidRDefault="00E50D8C" w:rsidP="00E50D8C">
            <w:pPr>
              <w:pStyle w:val="ListParagraph"/>
              <w:numPr>
                <w:ilvl w:val="0"/>
                <w:numId w:val="3"/>
              </w:numPr>
              <w:spacing w:after="0" w:line="240" w:lineRule="auto"/>
              <w:ind w:left="301"/>
              <w:rPr>
                <w:rFonts w:cstheme="minorHAnsi"/>
              </w:rPr>
            </w:pPr>
            <w:r w:rsidRPr="00736749">
              <w:rPr>
                <w:rFonts w:cstheme="minorHAnsi"/>
              </w:rPr>
              <w:t>Content development for state-provided grade K-12 interim assessments in ELA/Math</w:t>
            </w:r>
          </w:p>
          <w:p w:rsidR="00E50D8C" w:rsidRPr="00736749" w:rsidRDefault="00E50D8C" w:rsidP="00E50D8C">
            <w:pPr>
              <w:pStyle w:val="ListParagraph"/>
              <w:numPr>
                <w:ilvl w:val="0"/>
                <w:numId w:val="3"/>
              </w:numPr>
              <w:spacing w:after="0" w:line="240" w:lineRule="auto"/>
              <w:ind w:left="301"/>
              <w:rPr>
                <w:rFonts w:cstheme="minorHAnsi"/>
              </w:rPr>
            </w:pPr>
            <w:r w:rsidRPr="00736749">
              <w:rPr>
                <w:rFonts w:cstheme="minorHAnsi"/>
              </w:rPr>
              <w:lastRenderedPageBreak/>
              <w:t>College admission assessment contract responsible for all aspects of the college-admission assessment except client-facing management services (to be managed by the prime Contractor)</w:t>
            </w:r>
          </w:p>
          <w:p w:rsidR="00E50D8C" w:rsidRPr="00736749" w:rsidRDefault="00E50D8C" w:rsidP="00E50D8C">
            <w:pPr>
              <w:pStyle w:val="ListParagraph"/>
              <w:numPr>
                <w:ilvl w:val="0"/>
                <w:numId w:val="3"/>
              </w:numPr>
              <w:spacing w:after="0" w:line="240" w:lineRule="auto"/>
              <w:ind w:left="301"/>
              <w:rPr>
                <w:rFonts w:cstheme="minorHAnsi"/>
              </w:rPr>
            </w:pPr>
            <w:r w:rsidRPr="00736749">
              <w:rPr>
                <w:rFonts w:cstheme="minorHAnsi"/>
              </w:rPr>
              <w:t xml:space="preserve">Content development </w:t>
            </w:r>
            <w:r w:rsidR="0008781D" w:rsidRPr="00736749">
              <w:rPr>
                <w:rFonts w:cstheme="minorHAnsi"/>
              </w:rPr>
              <w:t>for curriculum materials and professional learning resources in assessment &amp; data literacy.</w:t>
            </w:r>
          </w:p>
          <w:p w:rsidR="0008781D" w:rsidRPr="00736749" w:rsidRDefault="0008781D" w:rsidP="00E50D8C">
            <w:pPr>
              <w:pStyle w:val="ListParagraph"/>
              <w:numPr>
                <w:ilvl w:val="0"/>
                <w:numId w:val="3"/>
              </w:numPr>
              <w:spacing w:after="0" w:line="240" w:lineRule="auto"/>
              <w:ind w:left="301"/>
              <w:rPr>
                <w:rFonts w:cstheme="minorHAnsi"/>
              </w:rPr>
            </w:pPr>
            <w:r w:rsidRPr="00736749">
              <w:rPr>
                <w:rFonts w:cstheme="minorHAnsi"/>
              </w:rPr>
              <w:t>Scoring of all state-provided summative and interim assessments</w:t>
            </w:r>
          </w:p>
          <w:p w:rsidR="0008781D" w:rsidRPr="00736749" w:rsidRDefault="0008781D" w:rsidP="00E50D8C">
            <w:pPr>
              <w:pStyle w:val="ListParagraph"/>
              <w:numPr>
                <w:ilvl w:val="0"/>
                <w:numId w:val="3"/>
              </w:numPr>
              <w:spacing w:after="0" w:line="240" w:lineRule="auto"/>
              <w:ind w:left="301"/>
              <w:rPr>
                <w:rFonts w:cstheme="minorHAnsi"/>
              </w:rPr>
            </w:pPr>
            <w:r w:rsidRPr="00736749">
              <w:rPr>
                <w:rFonts w:cstheme="minorHAnsi"/>
              </w:rPr>
              <w:t>Reporting on all state-provided summative and interim assessments.</w:t>
            </w:r>
          </w:p>
          <w:p w:rsidR="0008781D" w:rsidRPr="00736749" w:rsidRDefault="0008781D" w:rsidP="00E50D8C">
            <w:pPr>
              <w:pStyle w:val="ListParagraph"/>
              <w:numPr>
                <w:ilvl w:val="0"/>
                <w:numId w:val="3"/>
              </w:numPr>
              <w:spacing w:after="0" w:line="240" w:lineRule="auto"/>
              <w:ind w:left="301"/>
              <w:rPr>
                <w:rFonts w:cstheme="minorHAnsi"/>
              </w:rPr>
            </w:pPr>
            <w:r w:rsidRPr="00736749">
              <w:rPr>
                <w:rFonts w:cstheme="minorHAnsi"/>
              </w:rPr>
              <w:t>Standard setting on all state-provided summative and interim assessments</w:t>
            </w:r>
          </w:p>
        </w:tc>
        <w:tc>
          <w:tcPr>
            <w:tcW w:w="1470" w:type="dxa"/>
            <w:vAlign w:val="center"/>
          </w:tcPr>
          <w:p w:rsidR="00DE4A2E" w:rsidRPr="00736749" w:rsidRDefault="00387910" w:rsidP="00ED70C4">
            <w:pPr>
              <w:jc w:val="center"/>
              <w:rPr>
                <w:rFonts w:cstheme="minorHAnsi"/>
              </w:rPr>
            </w:pPr>
            <w:r w:rsidRPr="00736749">
              <w:rPr>
                <w:rFonts w:cstheme="minorHAnsi"/>
              </w:rPr>
              <w:lastRenderedPageBreak/>
              <w:t>IV.A,</w:t>
            </w:r>
          </w:p>
          <w:p w:rsidR="00387910" w:rsidRPr="00736749" w:rsidRDefault="00387910" w:rsidP="00ED70C4">
            <w:pPr>
              <w:jc w:val="center"/>
              <w:rPr>
                <w:rFonts w:cstheme="minorHAnsi"/>
              </w:rPr>
            </w:pPr>
            <w:r w:rsidRPr="00736749">
              <w:rPr>
                <w:rFonts w:cstheme="minorHAnsi"/>
              </w:rPr>
              <w:t>Specifically Table 12</w:t>
            </w:r>
          </w:p>
        </w:tc>
        <w:tc>
          <w:tcPr>
            <w:tcW w:w="818" w:type="dxa"/>
            <w:vAlign w:val="center"/>
          </w:tcPr>
          <w:p w:rsidR="00DE4A2E" w:rsidRPr="00736749" w:rsidRDefault="00387910" w:rsidP="00ED70C4">
            <w:pPr>
              <w:jc w:val="center"/>
              <w:rPr>
                <w:rFonts w:cstheme="minorHAnsi"/>
              </w:rPr>
            </w:pPr>
            <w:r w:rsidRPr="00736749">
              <w:rPr>
                <w:rFonts w:cstheme="minorHAnsi"/>
              </w:rPr>
              <w:t>23 - 26</w:t>
            </w:r>
          </w:p>
        </w:tc>
      </w:tr>
      <w:tr w:rsidR="00851FEE" w:rsidRPr="00736749" w:rsidTr="00847156">
        <w:trPr>
          <w:cantSplit/>
        </w:trPr>
        <w:tc>
          <w:tcPr>
            <w:tcW w:w="1228" w:type="dxa"/>
            <w:vAlign w:val="center"/>
          </w:tcPr>
          <w:p w:rsidR="0047589A" w:rsidRPr="00736749" w:rsidRDefault="0047589A" w:rsidP="00ED70C4">
            <w:pPr>
              <w:jc w:val="center"/>
              <w:rPr>
                <w:rFonts w:cstheme="minorHAnsi"/>
              </w:rPr>
            </w:pPr>
            <w:r w:rsidRPr="00736749">
              <w:rPr>
                <w:rFonts w:cstheme="minorHAnsi"/>
              </w:rPr>
              <w:t>3</w:t>
            </w:r>
          </w:p>
        </w:tc>
        <w:tc>
          <w:tcPr>
            <w:tcW w:w="2735" w:type="dxa"/>
            <w:vAlign w:val="center"/>
          </w:tcPr>
          <w:p w:rsidR="0047589A" w:rsidRPr="00736749" w:rsidRDefault="007F121C" w:rsidP="007F121C">
            <w:pPr>
              <w:spacing w:before="120" w:after="120"/>
              <w:ind w:left="1"/>
              <w:rPr>
                <w:rFonts w:cstheme="minorHAnsi"/>
              </w:rPr>
            </w:pPr>
            <w:r w:rsidRPr="00736749">
              <w:rPr>
                <w:rFonts w:cstheme="minorHAnsi"/>
              </w:rPr>
              <w:t>On RFP format of Scope of Work. Are the following sections missing response boxes, i.e. RFP pg. 66: Is a response box needed for IV.R.2 Content Standards; RFP pg. 104, Is a response box needed for IV.V.3.c Quality Control Analysis? Also, per RFP pg. 96, is there a directive for how to respond for IV.W.3 irregularities?</w:t>
            </w:r>
          </w:p>
        </w:tc>
        <w:tc>
          <w:tcPr>
            <w:tcW w:w="7065" w:type="dxa"/>
            <w:vAlign w:val="center"/>
          </w:tcPr>
          <w:p w:rsidR="009A176D" w:rsidRPr="00736749" w:rsidRDefault="009A176D" w:rsidP="009A176D">
            <w:pPr>
              <w:rPr>
                <w:rFonts w:cstheme="minorHAnsi"/>
              </w:rPr>
            </w:pPr>
            <w:r w:rsidRPr="00736749">
              <w:rPr>
                <w:rFonts w:cstheme="minorHAnsi"/>
              </w:rPr>
              <w:t>Yes. There are some missing response boxes.</w:t>
            </w:r>
            <w:r w:rsidR="008C693A" w:rsidRPr="00736749">
              <w:rPr>
                <w:rFonts w:cstheme="minorHAnsi"/>
              </w:rPr>
              <w:t xml:space="preserve"> They will be noted in Amendment No. 2.</w:t>
            </w:r>
            <w:r w:rsidRPr="00736749">
              <w:rPr>
                <w:rFonts w:cstheme="minorHAnsi"/>
              </w:rPr>
              <w:t xml:space="preserve"> Please insert response boxes as follows:</w:t>
            </w:r>
          </w:p>
          <w:p w:rsidR="009A176D" w:rsidRPr="00736749" w:rsidRDefault="009A176D" w:rsidP="009A176D">
            <w:pPr>
              <w:rPr>
                <w:rFonts w:cstheme="minorHAnsi"/>
              </w:rPr>
            </w:pPr>
          </w:p>
          <w:p w:rsidR="009A176D" w:rsidRPr="00736749" w:rsidRDefault="009A176D" w:rsidP="009A176D">
            <w:pPr>
              <w:rPr>
                <w:rFonts w:cstheme="minorHAnsi"/>
                <w:b/>
                <w:bCs/>
              </w:rPr>
            </w:pPr>
            <w:r w:rsidRPr="00736749">
              <w:rPr>
                <w:rFonts w:cstheme="minorHAnsi"/>
                <w:b/>
                <w:bCs/>
              </w:rPr>
              <w:t>For section IV.R</w:t>
            </w:r>
            <w:r w:rsidR="00B66FB1">
              <w:rPr>
                <w:rFonts w:cstheme="minorHAnsi"/>
                <w:b/>
                <w:bCs/>
              </w:rPr>
              <w:t>.</w:t>
            </w:r>
            <w:r w:rsidRPr="00736749">
              <w:rPr>
                <w:rFonts w:cstheme="minorHAnsi"/>
                <w:b/>
                <w:bCs/>
              </w:rPr>
              <w:t>2</w:t>
            </w:r>
          </w:p>
          <w:p w:rsidR="009A176D" w:rsidRPr="00736749" w:rsidRDefault="009A176D" w:rsidP="009A176D">
            <w:pPr>
              <w:rPr>
                <w:rFonts w:cstheme="minorHAnsi"/>
                <w:b/>
                <w:bCs/>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9A176D" w:rsidRPr="00736749" w:rsidTr="00710B2D">
              <w:trPr>
                <w:cantSplit/>
                <w:tblHeader/>
              </w:trPr>
              <w:tc>
                <w:tcPr>
                  <w:tcW w:w="5000" w:type="pct"/>
                  <w:shd w:val="clear" w:color="auto" w:fill="7F7F7F" w:themeFill="text1" w:themeFillTint="80"/>
                </w:tcPr>
                <w:p w:rsidR="009A176D" w:rsidRPr="00736749" w:rsidRDefault="009A176D" w:rsidP="009A176D">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9A176D" w:rsidRPr="00736749" w:rsidTr="00710B2D">
              <w:trPr>
                <w:cantSplit/>
                <w:tblHeader/>
              </w:trPr>
              <w:tc>
                <w:tcPr>
                  <w:tcW w:w="5000" w:type="pct"/>
                  <w:shd w:val="clear" w:color="auto" w:fill="E5DFEC" w:themeFill="accent4" w:themeFillTint="33"/>
                </w:tcPr>
                <w:p w:rsidR="009A176D" w:rsidRPr="00736749" w:rsidRDefault="009A176D" w:rsidP="009A176D">
                  <w:pPr>
                    <w:rPr>
                      <w:rStyle w:val="TableContents"/>
                      <w:i/>
                      <w:iCs/>
                    </w:rPr>
                  </w:pPr>
                  <w:r w:rsidRPr="00736749">
                    <w:rPr>
                      <w:rStyle w:val="TableContents"/>
                      <w:i/>
                      <w:iCs/>
                    </w:rPr>
                    <w:t>Applicable to service group(s) A3</w:t>
                  </w:r>
                </w:p>
              </w:tc>
            </w:tr>
            <w:tr w:rsidR="009A176D" w:rsidRPr="00736749" w:rsidTr="00710B2D">
              <w:tc>
                <w:tcPr>
                  <w:tcW w:w="5000" w:type="pct"/>
                </w:tcPr>
                <w:p w:rsidR="009A176D" w:rsidRPr="00736749" w:rsidRDefault="009A176D" w:rsidP="009A176D"/>
              </w:tc>
            </w:tr>
          </w:tbl>
          <w:p w:rsidR="009A176D" w:rsidRPr="00736749" w:rsidRDefault="009A176D" w:rsidP="009A176D">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9A176D" w:rsidRPr="00736749" w:rsidTr="00710B2D">
              <w:trPr>
                <w:cantSplit/>
                <w:tblHeader/>
              </w:trPr>
              <w:tc>
                <w:tcPr>
                  <w:tcW w:w="5000" w:type="pct"/>
                  <w:shd w:val="clear" w:color="auto" w:fill="7F7F7F" w:themeFill="text1" w:themeFillTint="80"/>
                </w:tcPr>
                <w:p w:rsidR="009A176D" w:rsidRPr="00736749" w:rsidRDefault="009A176D" w:rsidP="009A176D">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9A176D" w:rsidRPr="00736749" w:rsidTr="00710B2D">
              <w:trPr>
                <w:cantSplit/>
                <w:tblHeader/>
              </w:trPr>
              <w:tc>
                <w:tcPr>
                  <w:tcW w:w="5000" w:type="pct"/>
                  <w:shd w:val="clear" w:color="auto" w:fill="E5DFEC" w:themeFill="accent4" w:themeFillTint="33"/>
                </w:tcPr>
                <w:p w:rsidR="009A176D" w:rsidRPr="00736749" w:rsidRDefault="009A176D" w:rsidP="009A176D">
                  <w:pPr>
                    <w:rPr>
                      <w:rStyle w:val="TableContents"/>
                      <w:i/>
                      <w:iCs/>
                    </w:rPr>
                  </w:pPr>
                  <w:r w:rsidRPr="00736749">
                    <w:rPr>
                      <w:rStyle w:val="TableContents"/>
                      <w:i/>
                      <w:iCs/>
                    </w:rPr>
                    <w:t>Applicable to service group(s) B</w:t>
                  </w:r>
                </w:p>
              </w:tc>
            </w:tr>
            <w:tr w:rsidR="009A176D" w:rsidRPr="00736749" w:rsidTr="00710B2D">
              <w:tc>
                <w:tcPr>
                  <w:tcW w:w="5000" w:type="pct"/>
                </w:tcPr>
                <w:p w:rsidR="009A176D" w:rsidRPr="00736749" w:rsidRDefault="009A176D" w:rsidP="009A176D"/>
              </w:tc>
            </w:tr>
          </w:tbl>
          <w:p w:rsidR="009A176D" w:rsidRPr="00736749" w:rsidRDefault="009A176D" w:rsidP="009A176D">
            <w:pPr>
              <w:rPr>
                <w:rFonts w:cstheme="minorHAnsi"/>
              </w:rPr>
            </w:pPr>
          </w:p>
          <w:p w:rsidR="009A176D" w:rsidRPr="00736749" w:rsidRDefault="009A176D" w:rsidP="009A176D">
            <w:pPr>
              <w:rPr>
                <w:rFonts w:cstheme="minorHAnsi"/>
                <w:bCs/>
              </w:rPr>
            </w:pPr>
            <w:r w:rsidRPr="00736749">
              <w:rPr>
                <w:rFonts w:cstheme="minorHAnsi"/>
                <w:b/>
                <w:bCs/>
              </w:rPr>
              <w:t xml:space="preserve">For IV.Y.3.c  </w:t>
            </w:r>
            <w:r w:rsidRPr="00736749">
              <w:rPr>
                <w:rFonts w:cstheme="minorHAnsi"/>
                <w:bCs/>
              </w:rPr>
              <w:t xml:space="preserve">(Assuming the identified IV.V.3.c is a typo since it does not exist and Quality Control Analysis) </w:t>
            </w:r>
          </w:p>
          <w:p w:rsidR="009A176D" w:rsidRPr="00736749" w:rsidRDefault="009A176D" w:rsidP="009A176D">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9A176D" w:rsidRPr="00736749" w:rsidTr="00710B2D">
              <w:trPr>
                <w:cantSplit/>
                <w:tblHeader/>
              </w:trPr>
              <w:tc>
                <w:tcPr>
                  <w:tcW w:w="5000" w:type="pct"/>
                  <w:shd w:val="clear" w:color="auto" w:fill="7F7F7F" w:themeFill="text1" w:themeFillTint="80"/>
                </w:tcPr>
                <w:p w:rsidR="009A176D" w:rsidRPr="00736749" w:rsidRDefault="009A176D" w:rsidP="009A176D">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9A176D" w:rsidRPr="00736749" w:rsidTr="00710B2D">
              <w:trPr>
                <w:cantSplit/>
                <w:tblHeader/>
              </w:trPr>
              <w:tc>
                <w:tcPr>
                  <w:tcW w:w="5000" w:type="pct"/>
                  <w:shd w:val="clear" w:color="auto" w:fill="E5DFEC" w:themeFill="accent4" w:themeFillTint="33"/>
                </w:tcPr>
                <w:p w:rsidR="009A176D" w:rsidRPr="00736749" w:rsidRDefault="009A176D" w:rsidP="009A176D">
                  <w:pPr>
                    <w:rPr>
                      <w:rStyle w:val="TableContents"/>
                      <w:i/>
                      <w:iCs/>
                    </w:rPr>
                  </w:pPr>
                  <w:r w:rsidRPr="00736749">
                    <w:rPr>
                      <w:rStyle w:val="TableContents"/>
                      <w:i/>
                      <w:iCs/>
                    </w:rPr>
                    <w:t>Applicable to service group(s) A10.</w:t>
                  </w:r>
                </w:p>
              </w:tc>
            </w:tr>
            <w:tr w:rsidR="009A176D" w:rsidRPr="00736749" w:rsidTr="00710B2D">
              <w:tc>
                <w:tcPr>
                  <w:tcW w:w="5000" w:type="pct"/>
                </w:tcPr>
                <w:p w:rsidR="009A176D" w:rsidRPr="00736749" w:rsidRDefault="009A176D" w:rsidP="009A176D"/>
              </w:tc>
            </w:tr>
          </w:tbl>
          <w:p w:rsidR="0047589A" w:rsidRPr="00736749" w:rsidRDefault="0047589A" w:rsidP="00ED70C4">
            <w:pPr>
              <w:rPr>
                <w:rFonts w:cstheme="minorHAnsi"/>
              </w:rPr>
            </w:pPr>
          </w:p>
          <w:p w:rsidR="009A176D" w:rsidRPr="00736749" w:rsidRDefault="009A176D" w:rsidP="009A176D">
            <w:pPr>
              <w:rPr>
                <w:rFonts w:cstheme="minorHAnsi"/>
                <w:b/>
                <w:bCs/>
              </w:rPr>
            </w:pPr>
            <w:r w:rsidRPr="00736749">
              <w:rPr>
                <w:rFonts w:cstheme="minorHAnsi"/>
                <w:b/>
                <w:bCs/>
              </w:rPr>
              <w:t>For IV.W.3</w:t>
            </w:r>
          </w:p>
          <w:p w:rsidR="009A176D" w:rsidRPr="00736749" w:rsidRDefault="009A176D" w:rsidP="009A176D">
            <w:pPr>
              <w:rPr>
                <w:rFonts w:cstheme="minorHAnsi"/>
              </w:rPr>
            </w:pPr>
          </w:p>
          <w:p w:rsidR="009A176D" w:rsidRPr="00736749" w:rsidRDefault="009A176D" w:rsidP="009A176D">
            <w:pPr>
              <w:rPr>
                <w:rFonts w:cstheme="minorHAnsi"/>
              </w:rPr>
            </w:pPr>
            <w:r w:rsidRPr="00736749">
              <w:rPr>
                <w:rFonts w:cstheme="minorHAnsi"/>
              </w:rPr>
              <w:t>Section IV.W.3 is a preamble to the subsections which require responses. Responses to its subsections constitute a response to Section IV.W.3.</w:t>
            </w:r>
          </w:p>
          <w:p w:rsidR="009A176D" w:rsidRPr="00736749" w:rsidRDefault="009A176D" w:rsidP="00ED70C4">
            <w:pPr>
              <w:rPr>
                <w:rFonts w:cstheme="minorHAnsi"/>
              </w:rPr>
            </w:pPr>
          </w:p>
        </w:tc>
        <w:tc>
          <w:tcPr>
            <w:tcW w:w="1470" w:type="dxa"/>
            <w:vAlign w:val="center"/>
          </w:tcPr>
          <w:p w:rsidR="0047589A" w:rsidRPr="00736749" w:rsidRDefault="00242BAD" w:rsidP="00ED70C4">
            <w:pPr>
              <w:jc w:val="center"/>
              <w:rPr>
                <w:rFonts w:cstheme="minorHAnsi"/>
              </w:rPr>
            </w:pPr>
            <w:r w:rsidRPr="00736749">
              <w:rPr>
                <w:rFonts w:cstheme="minorHAnsi"/>
              </w:rPr>
              <w:t>listed in response section</w:t>
            </w:r>
          </w:p>
        </w:tc>
        <w:tc>
          <w:tcPr>
            <w:tcW w:w="818" w:type="dxa"/>
            <w:vAlign w:val="center"/>
          </w:tcPr>
          <w:p w:rsidR="0047589A" w:rsidRPr="00736749" w:rsidRDefault="0047589A" w:rsidP="00ED70C4">
            <w:pPr>
              <w:jc w:val="center"/>
              <w:rPr>
                <w:rFonts w:cstheme="minorHAnsi"/>
              </w:rPr>
            </w:pPr>
          </w:p>
        </w:tc>
      </w:tr>
      <w:tr w:rsidR="00851FEE" w:rsidRPr="00736749" w:rsidTr="00847156">
        <w:trPr>
          <w:cantSplit/>
        </w:trPr>
        <w:tc>
          <w:tcPr>
            <w:tcW w:w="1228" w:type="dxa"/>
            <w:vAlign w:val="center"/>
          </w:tcPr>
          <w:p w:rsidR="0047589A" w:rsidRPr="00736749" w:rsidRDefault="0047589A" w:rsidP="00ED70C4">
            <w:pPr>
              <w:jc w:val="center"/>
              <w:rPr>
                <w:rFonts w:cstheme="minorHAnsi"/>
              </w:rPr>
            </w:pPr>
            <w:r w:rsidRPr="00736749">
              <w:rPr>
                <w:rFonts w:cstheme="minorHAnsi"/>
              </w:rPr>
              <w:lastRenderedPageBreak/>
              <w:t>4</w:t>
            </w:r>
          </w:p>
        </w:tc>
        <w:tc>
          <w:tcPr>
            <w:tcW w:w="2735" w:type="dxa"/>
            <w:vAlign w:val="center"/>
          </w:tcPr>
          <w:p w:rsidR="0047589A" w:rsidRPr="00736749" w:rsidRDefault="007F121C" w:rsidP="00ED70C4">
            <w:pPr>
              <w:spacing w:before="100" w:beforeAutospacing="1" w:after="100" w:afterAutospacing="1"/>
              <w:rPr>
                <w:rFonts w:eastAsia="Times New Roman" w:cstheme="minorHAnsi"/>
                <w:color w:val="000000"/>
              </w:rPr>
            </w:pPr>
            <w:r w:rsidRPr="00736749">
              <w:rPr>
                <w:rFonts w:cstheme="minorHAnsi"/>
              </w:rPr>
              <w:t>Would New Mexico PED consider a 1 – 2 week extension to the current due date in order for vendors to properly provide a response?</w:t>
            </w:r>
          </w:p>
        </w:tc>
        <w:tc>
          <w:tcPr>
            <w:tcW w:w="7065" w:type="dxa"/>
            <w:vAlign w:val="center"/>
          </w:tcPr>
          <w:p w:rsidR="0047589A" w:rsidRPr="00736749" w:rsidRDefault="007F121C" w:rsidP="007F121C">
            <w:pPr>
              <w:rPr>
                <w:rFonts w:cstheme="minorHAnsi"/>
              </w:rPr>
            </w:pPr>
            <w:r w:rsidRPr="00736749">
              <w:rPr>
                <w:rFonts w:cstheme="minorHAnsi"/>
              </w:rPr>
              <w:t xml:space="preserve">In Table 10, the identified due date for proposals is July 15, 2019, 12:00 p.m. NMT. </w:t>
            </w:r>
          </w:p>
        </w:tc>
        <w:tc>
          <w:tcPr>
            <w:tcW w:w="1470" w:type="dxa"/>
            <w:vAlign w:val="center"/>
          </w:tcPr>
          <w:p w:rsidR="0047589A" w:rsidRPr="00736749" w:rsidRDefault="007F121C" w:rsidP="00ED70C4">
            <w:pPr>
              <w:jc w:val="center"/>
              <w:rPr>
                <w:rFonts w:cstheme="minorHAnsi"/>
              </w:rPr>
            </w:pPr>
            <w:r w:rsidRPr="00736749">
              <w:rPr>
                <w:rFonts w:cstheme="minorHAnsi"/>
              </w:rPr>
              <w:t>II.A</w:t>
            </w:r>
          </w:p>
        </w:tc>
        <w:tc>
          <w:tcPr>
            <w:tcW w:w="818" w:type="dxa"/>
            <w:vAlign w:val="center"/>
          </w:tcPr>
          <w:p w:rsidR="0047589A" w:rsidRPr="00736749" w:rsidRDefault="007F121C" w:rsidP="00ED70C4">
            <w:pPr>
              <w:jc w:val="center"/>
              <w:rPr>
                <w:rFonts w:cstheme="minorHAnsi"/>
              </w:rPr>
            </w:pPr>
            <w:r w:rsidRPr="00736749">
              <w:rPr>
                <w:rFonts w:cstheme="minorHAnsi"/>
              </w:rPr>
              <w:t>12</w:t>
            </w:r>
          </w:p>
        </w:tc>
      </w:tr>
      <w:tr w:rsidR="00851FEE" w:rsidRPr="00736749" w:rsidTr="00847156">
        <w:trPr>
          <w:cantSplit/>
        </w:trPr>
        <w:tc>
          <w:tcPr>
            <w:tcW w:w="1228" w:type="dxa"/>
            <w:vAlign w:val="center"/>
          </w:tcPr>
          <w:p w:rsidR="00DE4A2E" w:rsidRPr="00736749" w:rsidRDefault="00DE4A2E" w:rsidP="00ED70C4">
            <w:pPr>
              <w:jc w:val="center"/>
              <w:rPr>
                <w:rFonts w:cstheme="minorHAnsi"/>
              </w:rPr>
            </w:pPr>
            <w:r w:rsidRPr="00736749">
              <w:rPr>
                <w:rFonts w:cstheme="minorHAnsi"/>
              </w:rPr>
              <w:t>5</w:t>
            </w:r>
          </w:p>
        </w:tc>
        <w:tc>
          <w:tcPr>
            <w:tcW w:w="2735" w:type="dxa"/>
            <w:vAlign w:val="center"/>
          </w:tcPr>
          <w:p w:rsidR="00DE4A2E" w:rsidRPr="00736749" w:rsidRDefault="007F121C" w:rsidP="00ED70C4">
            <w:pPr>
              <w:spacing w:before="100" w:beforeAutospacing="1" w:after="100" w:afterAutospacing="1"/>
              <w:rPr>
                <w:rFonts w:eastAsia="Times New Roman" w:cstheme="minorHAnsi"/>
                <w:color w:val="000000"/>
              </w:rPr>
            </w:pPr>
            <w:r w:rsidRPr="00736749">
              <w:rPr>
                <w:rFonts w:cstheme="minorHAnsi"/>
              </w:rPr>
              <w:t>Can the electronic Technical Proposal be in pdf format?</w:t>
            </w:r>
          </w:p>
        </w:tc>
        <w:tc>
          <w:tcPr>
            <w:tcW w:w="7065" w:type="dxa"/>
            <w:vAlign w:val="center"/>
          </w:tcPr>
          <w:p w:rsidR="00DE4A2E" w:rsidRPr="00736749" w:rsidRDefault="007F121C" w:rsidP="00ED70C4">
            <w:pPr>
              <w:rPr>
                <w:rFonts w:cstheme="minorHAnsi"/>
              </w:rPr>
            </w:pPr>
            <w:r w:rsidRPr="00736749">
              <w:rPr>
                <w:rFonts w:cstheme="minorHAnsi"/>
              </w:rPr>
              <w:t>Ne</w:t>
            </w:r>
            <w:r w:rsidR="00A32101" w:rsidRPr="00736749">
              <w:rPr>
                <w:rFonts w:cstheme="minorHAnsi"/>
              </w:rPr>
              <w:t>ither section of</w:t>
            </w:r>
            <w:r w:rsidRPr="00736749">
              <w:rPr>
                <w:rFonts w:cstheme="minorHAnsi"/>
              </w:rPr>
              <w:t xml:space="preserve"> the RFP states that proposals must be in a specific file format. PED is able to open and view pdf format. </w:t>
            </w:r>
          </w:p>
        </w:tc>
        <w:tc>
          <w:tcPr>
            <w:tcW w:w="1470" w:type="dxa"/>
            <w:vAlign w:val="center"/>
          </w:tcPr>
          <w:p w:rsidR="00DE4A2E" w:rsidRPr="00736749" w:rsidRDefault="007F121C" w:rsidP="00ED70C4">
            <w:pPr>
              <w:jc w:val="center"/>
              <w:rPr>
                <w:rFonts w:cstheme="minorHAnsi"/>
              </w:rPr>
            </w:pPr>
            <w:r w:rsidRPr="00736749">
              <w:rPr>
                <w:rFonts w:cstheme="minorHAnsi"/>
              </w:rPr>
              <w:t xml:space="preserve">II.B.1 </w:t>
            </w:r>
          </w:p>
          <w:p w:rsidR="007F121C" w:rsidRPr="00736749" w:rsidRDefault="007F121C" w:rsidP="00ED70C4">
            <w:pPr>
              <w:jc w:val="center"/>
              <w:rPr>
                <w:rFonts w:cstheme="minorHAnsi"/>
              </w:rPr>
            </w:pPr>
            <w:r w:rsidRPr="00736749">
              <w:rPr>
                <w:rFonts w:cstheme="minorHAnsi"/>
              </w:rPr>
              <w:t>II.B.2</w:t>
            </w:r>
          </w:p>
        </w:tc>
        <w:tc>
          <w:tcPr>
            <w:tcW w:w="818" w:type="dxa"/>
            <w:vAlign w:val="center"/>
          </w:tcPr>
          <w:p w:rsidR="00DE4A2E" w:rsidRPr="00736749" w:rsidRDefault="007F121C" w:rsidP="00ED70C4">
            <w:pPr>
              <w:jc w:val="center"/>
              <w:rPr>
                <w:rFonts w:cstheme="minorHAnsi"/>
              </w:rPr>
            </w:pPr>
            <w:r w:rsidRPr="00736749">
              <w:rPr>
                <w:rFonts w:cstheme="minorHAnsi"/>
              </w:rPr>
              <w:t>22</w:t>
            </w:r>
          </w:p>
        </w:tc>
      </w:tr>
      <w:tr w:rsidR="00851FEE" w:rsidRPr="00736749" w:rsidTr="00847156">
        <w:trPr>
          <w:cantSplit/>
        </w:trPr>
        <w:tc>
          <w:tcPr>
            <w:tcW w:w="1228" w:type="dxa"/>
            <w:vAlign w:val="center"/>
          </w:tcPr>
          <w:p w:rsidR="00DE4A2E" w:rsidRPr="00736749" w:rsidRDefault="00DE4A2E" w:rsidP="00ED70C4">
            <w:pPr>
              <w:jc w:val="center"/>
              <w:rPr>
                <w:rFonts w:cstheme="minorHAnsi"/>
              </w:rPr>
            </w:pPr>
            <w:r w:rsidRPr="00736749">
              <w:rPr>
                <w:rFonts w:cstheme="minorHAnsi"/>
              </w:rPr>
              <w:t>6</w:t>
            </w:r>
          </w:p>
        </w:tc>
        <w:tc>
          <w:tcPr>
            <w:tcW w:w="2735" w:type="dxa"/>
            <w:vAlign w:val="center"/>
          </w:tcPr>
          <w:p w:rsidR="00DE4A2E" w:rsidRPr="00736749" w:rsidRDefault="007F121C" w:rsidP="00ED70C4">
            <w:pPr>
              <w:spacing w:after="160" w:line="252" w:lineRule="auto"/>
              <w:contextualSpacing/>
              <w:rPr>
                <w:rFonts w:eastAsia="Times New Roman" w:cstheme="minorHAnsi"/>
              </w:rPr>
            </w:pPr>
            <w:r w:rsidRPr="00736749">
              <w:rPr>
                <w:rFonts w:cstheme="minorHAnsi"/>
              </w:rPr>
              <w:t>Does NM PED require vendors to provide 3 additional project references in addition to the 3 projects vendors are required to submit using the Appendix E Organizational reference questionnaire Form?</w:t>
            </w:r>
          </w:p>
        </w:tc>
        <w:tc>
          <w:tcPr>
            <w:tcW w:w="7065" w:type="dxa"/>
            <w:vAlign w:val="center"/>
          </w:tcPr>
          <w:p w:rsidR="00DE4A2E" w:rsidRPr="00736749" w:rsidRDefault="00560668" w:rsidP="007F121C">
            <w:pPr>
              <w:rPr>
                <w:rFonts w:cstheme="minorHAnsi"/>
              </w:rPr>
            </w:pPr>
            <w:r w:rsidRPr="00736749">
              <w:rPr>
                <w:rFonts w:cstheme="minorHAnsi"/>
              </w:rPr>
              <w:t xml:space="preserve">No, </w:t>
            </w:r>
            <w:r w:rsidR="007F121C" w:rsidRPr="00736749">
              <w:rPr>
                <w:rFonts w:cstheme="minorHAnsi"/>
              </w:rPr>
              <w:t>IV.D</w:t>
            </w:r>
            <w:r w:rsidRPr="00736749">
              <w:rPr>
                <w:rFonts w:cstheme="minorHAnsi"/>
              </w:rPr>
              <w:t>.2</w:t>
            </w:r>
            <w:r w:rsidR="007F121C" w:rsidRPr="00736749">
              <w:rPr>
                <w:rFonts w:cstheme="minorHAnsi"/>
              </w:rPr>
              <w:t xml:space="preserve"> requires Offerors to provide brief descriptions, work samples, and references questionnaires (found in Appendix E) of </w:t>
            </w:r>
            <w:r w:rsidRPr="00736749">
              <w:rPr>
                <w:rFonts w:cstheme="minorHAnsi"/>
              </w:rPr>
              <w:t xml:space="preserve">the </w:t>
            </w:r>
            <w:r w:rsidR="007F121C" w:rsidRPr="00736749">
              <w:rPr>
                <w:rFonts w:cstheme="minorHAnsi"/>
              </w:rPr>
              <w:t>three similar recent previous projects. The information should include:</w:t>
            </w:r>
          </w:p>
          <w:p w:rsidR="007F121C" w:rsidRPr="00736749" w:rsidRDefault="007F121C" w:rsidP="007F121C">
            <w:pPr>
              <w:pStyle w:val="ListParagraph"/>
              <w:numPr>
                <w:ilvl w:val="0"/>
                <w:numId w:val="5"/>
              </w:numPr>
              <w:spacing w:after="0" w:line="240" w:lineRule="auto"/>
              <w:ind w:left="376"/>
              <w:rPr>
                <w:rFonts w:eastAsiaTheme="minorEastAsia" w:cstheme="minorHAnsi"/>
              </w:rPr>
            </w:pPr>
            <w:r w:rsidRPr="00736749">
              <w:rPr>
                <w:rFonts w:eastAsiaTheme="minorEastAsia" w:cstheme="minorHAnsi"/>
              </w:rPr>
              <w:t>Name, address, and telephone number of client/contracting agency;</w:t>
            </w:r>
          </w:p>
          <w:p w:rsidR="007F121C" w:rsidRPr="00736749" w:rsidRDefault="007F121C" w:rsidP="007F121C">
            <w:pPr>
              <w:pStyle w:val="ListParagraph"/>
              <w:numPr>
                <w:ilvl w:val="0"/>
                <w:numId w:val="5"/>
              </w:numPr>
              <w:spacing w:after="0" w:line="240" w:lineRule="auto"/>
              <w:ind w:left="376"/>
              <w:rPr>
                <w:rFonts w:eastAsiaTheme="minorEastAsia" w:cstheme="minorHAnsi"/>
              </w:rPr>
            </w:pPr>
            <w:r w:rsidRPr="00736749">
              <w:rPr>
                <w:rFonts w:eastAsiaTheme="minorEastAsia" w:cstheme="minorHAnsi"/>
              </w:rPr>
              <w:t>Name and contact information (phone, email, address) of the client’s staff member primarily responsible for the project;</w:t>
            </w:r>
          </w:p>
          <w:p w:rsidR="007F121C" w:rsidRPr="00736749" w:rsidRDefault="007F121C" w:rsidP="007F121C">
            <w:pPr>
              <w:pStyle w:val="ListParagraph"/>
              <w:numPr>
                <w:ilvl w:val="0"/>
                <w:numId w:val="5"/>
              </w:numPr>
              <w:spacing w:after="0" w:line="240" w:lineRule="auto"/>
              <w:ind w:left="376"/>
              <w:rPr>
                <w:rFonts w:eastAsiaTheme="minorEastAsia" w:cstheme="minorHAnsi"/>
              </w:rPr>
            </w:pPr>
            <w:r w:rsidRPr="00736749">
              <w:rPr>
                <w:rFonts w:eastAsiaTheme="minorEastAsia" w:cstheme="minorHAnsi"/>
              </w:rPr>
              <w:t>Information technology services provided (by the service group);</w:t>
            </w:r>
          </w:p>
          <w:p w:rsidR="007F121C" w:rsidRPr="00736749" w:rsidRDefault="007F121C" w:rsidP="007F121C">
            <w:pPr>
              <w:pStyle w:val="ListParagraph"/>
              <w:numPr>
                <w:ilvl w:val="0"/>
                <w:numId w:val="5"/>
              </w:numPr>
              <w:spacing w:after="0" w:line="240" w:lineRule="auto"/>
              <w:ind w:left="376"/>
              <w:rPr>
                <w:rFonts w:eastAsiaTheme="minorEastAsia" w:cstheme="minorHAnsi"/>
              </w:rPr>
            </w:pPr>
            <w:r w:rsidRPr="00736749">
              <w:rPr>
                <w:rFonts w:eastAsiaTheme="minorEastAsia" w:cstheme="minorHAnsi"/>
              </w:rPr>
              <w:t>Dates of service/contract;</w:t>
            </w:r>
          </w:p>
          <w:p w:rsidR="007F121C" w:rsidRPr="00736749" w:rsidRDefault="007F121C" w:rsidP="007F121C">
            <w:pPr>
              <w:pStyle w:val="ListParagraph"/>
              <w:numPr>
                <w:ilvl w:val="0"/>
                <w:numId w:val="5"/>
              </w:numPr>
              <w:spacing w:after="0" w:line="240" w:lineRule="auto"/>
              <w:ind w:left="376"/>
              <w:rPr>
                <w:rFonts w:eastAsiaTheme="minorEastAsia" w:cstheme="minorHAnsi"/>
              </w:rPr>
            </w:pPr>
            <w:r w:rsidRPr="00736749">
              <w:rPr>
                <w:rFonts w:eastAsiaTheme="minorEastAsia" w:cstheme="minorHAnsi"/>
              </w:rPr>
              <w:t>Executive summary of the work/services performed, including IT services (by service group);</w:t>
            </w:r>
          </w:p>
          <w:p w:rsidR="007F121C" w:rsidRPr="00736749" w:rsidRDefault="007F121C" w:rsidP="007F121C">
            <w:pPr>
              <w:pStyle w:val="ListParagraph"/>
              <w:numPr>
                <w:ilvl w:val="0"/>
                <w:numId w:val="5"/>
              </w:numPr>
              <w:spacing w:after="0" w:line="240" w:lineRule="auto"/>
              <w:ind w:left="376"/>
              <w:rPr>
                <w:rFonts w:eastAsiaTheme="minorEastAsia" w:cstheme="minorHAnsi"/>
              </w:rPr>
            </w:pPr>
            <w:r w:rsidRPr="00736749">
              <w:rPr>
                <w:rFonts w:eastAsiaTheme="minorEastAsia" w:cstheme="minorHAnsi"/>
              </w:rPr>
              <w:t>Staff assigned to the work performed on the project that are proposed in response to this RFP (by service group); and</w:t>
            </w:r>
          </w:p>
          <w:p w:rsidR="007F121C" w:rsidRPr="00736749" w:rsidRDefault="007F121C" w:rsidP="007F121C">
            <w:pPr>
              <w:pStyle w:val="ListParagraph"/>
              <w:numPr>
                <w:ilvl w:val="0"/>
                <w:numId w:val="5"/>
              </w:numPr>
              <w:spacing w:after="0" w:line="240" w:lineRule="auto"/>
              <w:ind w:left="376"/>
              <w:rPr>
                <w:rFonts w:cstheme="minorHAnsi"/>
              </w:rPr>
            </w:pPr>
            <w:r w:rsidRPr="00736749">
              <w:rPr>
                <w:rFonts w:eastAsiaTheme="minorEastAsia" w:cstheme="minorHAnsi"/>
              </w:rPr>
              <w:t xml:space="preserve">A description of how the work is similar to that described in this proposal in terms of scope, type of work performed, and complexity. </w:t>
            </w:r>
          </w:p>
        </w:tc>
        <w:tc>
          <w:tcPr>
            <w:tcW w:w="1470" w:type="dxa"/>
            <w:vAlign w:val="center"/>
          </w:tcPr>
          <w:p w:rsidR="00DE4A2E" w:rsidRPr="00736749" w:rsidRDefault="007F121C" w:rsidP="00ED70C4">
            <w:pPr>
              <w:jc w:val="center"/>
              <w:rPr>
                <w:rFonts w:cstheme="minorHAnsi"/>
              </w:rPr>
            </w:pPr>
            <w:r w:rsidRPr="00736749">
              <w:rPr>
                <w:rFonts w:cstheme="minorHAnsi"/>
              </w:rPr>
              <w:t>IV.D</w:t>
            </w:r>
            <w:r w:rsidR="00560668" w:rsidRPr="00736749">
              <w:rPr>
                <w:rFonts w:cstheme="minorHAnsi"/>
              </w:rPr>
              <w:t>.2</w:t>
            </w:r>
          </w:p>
        </w:tc>
        <w:tc>
          <w:tcPr>
            <w:tcW w:w="818" w:type="dxa"/>
            <w:vAlign w:val="center"/>
          </w:tcPr>
          <w:p w:rsidR="00DE4A2E" w:rsidRPr="00736749" w:rsidRDefault="007F121C" w:rsidP="00ED70C4">
            <w:pPr>
              <w:jc w:val="center"/>
              <w:rPr>
                <w:rFonts w:cstheme="minorHAnsi"/>
              </w:rPr>
            </w:pPr>
            <w:r w:rsidRPr="00736749">
              <w:rPr>
                <w:rFonts w:cstheme="minorHAnsi"/>
              </w:rPr>
              <w:t>30 - 31</w:t>
            </w:r>
          </w:p>
        </w:tc>
      </w:tr>
      <w:tr w:rsidR="00851FEE" w:rsidRPr="00736749" w:rsidTr="00847156">
        <w:trPr>
          <w:cantSplit/>
        </w:trPr>
        <w:tc>
          <w:tcPr>
            <w:tcW w:w="1228" w:type="dxa"/>
            <w:vAlign w:val="center"/>
          </w:tcPr>
          <w:p w:rsidR="00DE4A2E" w:rsidRPr="00736749" w:rsidRDefault="00DE4A2E" w:rsidP="00ED70C4">
            <w:pPr>
              <w:jc w:val="center"/>
              <w:rPr>
                <w:rFonts w:cstheme="minorHAnsi"/>
              </w:rPr>
            </w:pPr>
            <w:r w:rsidRPr="00736749">
              <w:rPr>
                <w:rFonts w:cstheme="minorHAnsi"/>
              </w:rPr>
              <w:t>7</w:t>
            </w:r>
          </w:p>
        </w:tc>
        <w:tc>
          <w:tcPr>
            <w:tcW w:w="2735" w:type="dxa"/>
            <w:vAlign w:val="center"/>
          </w:tcPr>
          <w:p w:rsidR="00DE4A2E" w:rsidRPr="00736749" w:rsidRDefault="007F121C" w:rsidP="00ED70C4">
            <w:pPr>
              <w:autoSpaceDE w:val="0"/>
              <w:autoSpaceDN w:val="0"/>
              <w:rPr>
                <w:rFonts w:eastAsia="Times New Roman" w:cstheme="minorHAnsi"/>
              </w:rPr>
            </w:pPr>
            <w:r w:rsidRPr="00736749">
              <w:rPr>
                <w:rFonts w:cstheme="minorHAnsi"/>
              </w:rPr>
              <w:t>The description on pg. 22 listing the “Proposed Oral Presentation Outline” is different than the order in the response boxes. Question: Does it matter how a vendor lists the response per this item? Also per RFP pg. 27 and pg. 127 orals/presentation, does NMDOE request an outline or simply a compliance statement?</w:t>
            </w:r>
          </w:p>
        </w:tc>
        <w:tc>
          <w:tcPr>
            <w:tcW w:w="7065" w:type="dxa"/>
            <w:vAlign w:val="center"/>
          </w:tcPr>
          <w:p w:rsidR="009A176D" w:rsidRPr="00736749" w:rsidRDefault="009A176D" w:rsidP="009A176D">
            <w:pPr>
              <w:rPr>
                <w:rFonts w:cstheme="minorHAnsi"/>
              </w:rPr>
            </w:pPr>
            <w:r w:rsidRPr="00736749">
              <w:rPr>
                <w:rFonts w:cstheme="minorHAnsi"/>
              </w:rPr>
              <w:t>Please use the order presented in the response boxes.</w:t>
            </w:r>
          </w:p>
          <w:p w:rsidR="009A176D" w:rsidRPr="00736749" w:rsidRDefault="009A176D" w:rsidP="009A176D">
            <w:pPr>
              <w:rPr>
                <w:rFonts w:cstheme="minorHAnsi"/>
              </w:rPr>
            </w:pPr>
          </w:p>
          <w:p w:rsidR="009A176D" w:rsidRPr="00736749" w:rsidRDefault="009A176D" w:rsidP="009A176D">
            <w:pPr>
              <w:rPr>
                <w:rFonts w:cstheme="minorHAnsi"/>
              </w:rPr>
            </w:pPr>
            <w:r w:rsidRPr="00736749">
              <w:rPr>
                <w:rFonts w:cstheme="minorHAnsi"/>
              </w:rPr>
              <w:t>Section III.C.1</w:t>
            </w:r>
            <w:r w:rsidR="00242BAD" w:rsidRPr="00736749">
              <w:rPr>
                <w:rFonts w:cstheme="minorHAnsi"/>
              </w:rPr>
              <w:t>, page</w:t>
            </w:r>
            <w:r w:rsidRPr="00736749">
              <w:rPr>
                <w:rFonts w:cstheme="minorHAnsi"/>
              </w:rPr>
              <w:t xml:space="preserve"> 27 requires an outline.</w:t>
            </w:r>
          </w:p>
          <w:p w:rsidR="009A176D" w:rsidRPr="00736749" w:rsidRDefault="009A176D" w:rsidP="009A176D">
            <w:pPr>
              <w:rPr>
                <w:rFonts w:cstheme="minorHAnsi"/>
              </w:rPr>
            </w:pPr>
          </w:p>
          <w:p w:rsidR="00DE4A2E" w:rsidRPr="00736749" w:rsidRDefault="009A176D" w:rsidP="009A176D">
            <w:pPr>
              <w:rPr>
                <w:rFonts w:cstheme="minorHAnsi"/>
              </w:rPr>
            </w:pPr>
            <w:r w:rsidRPr="00736749">
              <w:rPr>
                <w:rFonts w:cstheme="minorHAnsi"/>
              </w:rPr>
              <w:t>Section V.D requires a statement of understanding and a commitment to comply.</w:t>
            </w:r>
          </w:p>
        </w:tc>
        <w:tc>
          <w:tcPr>
            <w:tcW w:w="1470" w:type="dxa"/>
            <w:vAlign w:val="center"/>
          </w:tcPr>
          <w:p w:rsidR="00DE4A2E" w:rsidRPr="00736749" w:rsidRDefault="00242BAD" w:rsidP="00ED70C4">
            <w:pPr>
              <w:jc w:val="center"/>
              <w:rPr>
                <w:rFonts w:cstheme="minorHAnsi"/>
              </w:rPr>
            </w:pPr>
            <w:r w:rsidRPr="00736749">
              <w:rPr>
                <w:rFonts w:cstheme="minorHAnsi"/>
              </w:rPr>
              <w:t>listed in response section</w:t>
            </w:r>
          </w:p>
        </w:tc>
        <w:tc>
          <w:tcPr>
            <w:tcW w:w="818" w:type="dxa"/>
            <w:vAlign w:val="center"/>
          </w:tcPr>
          <w:p w:rsidR="00DE4A2E" w:rsidRPr="00736749" w:rsidRDefault="00DE4A2E" w:rsidP="00ED70C4">
            <w:pPr>
              <w:jc w:val="center"/>
              <w:rPr>
                <w:rFonts w:cstheme="minorHAnsi"/>
              </w:rPr>
            </w:pPr>
          </w:p>
        </w:tc>
      </w:tr>
      <w:tr w:rsidR="00851FEE" w:rsidRPr="00736749" w:rsidTr="00847156">
        <w:trPr>
          <w:cantSplit/>
        </w:trPr>
        <w:tc>
          <w:tcPr>
            <w:tcW w:w="1228" w:type="dxa"/>
            <w:vAlign w:val="center"/>
          </w:tcPr>
          <w:p w:rsidR="00DE4A2E" w:rsidRPr="00736749" w:rsidRDefault="00DE4A2E" w:rsidP="00ED70C4">
            <w:pPr>
              <w:jc w:val="center"/>
              <w:rPr>
                <w:rFonts w:cstheme="minorHAnsi"/>
              </w:rPr>
            </w:pPr>
            <w:r w:rsidRPr="00736749">
              <w:rPr>
                <w:rFonts w:cstheme="minorHAnsi"/>
              </w:rPr>
              <w:lastRenderedPageBreak/>
              <w:t>8</w:t>
            </w:r>
          </w:p>
        </w:tc>
        <w:tc>
          <w:tcPr>
            <w:tcW w:w="2735" w:type="dxa"/>
            <w:vAlign w:val="center"/>
          </w:tcPr>
          <w:p w:rsidR="00DE4A2E" w:rsidRPr="00736749" w:rsidRDefault="007F121C" w:rsidP="00ED70C4">
            <w:pPr>
              <w:spacing w:before="100" w:beforeAutospacing="1" w:after="100" w:afterAutospacing="1"/>
              <w:rPr>
                <w:rFonts w:eastAsia="Times New Roman" w:cstheme="minorHAnsi"/>
                <w:color w:val="000000"/>
              </w:rPr>
            </w:pPr>
            <w:r w:rsidRPr="00736749">
              <w:rPr>
                <w:rFonts w:cstheme="minorHAnsi"/>
                <w:color w:val="000000"/>
              </w:rPr>
              <w:t>There are 2 Required sections to the RFP; 3-8 and 11th college entrance assessments.  Does a prime bid require that companies address both of those parts, if they prime, or is only one required to be compliant? </w:t>
            </w:r>
          </w:p>
        </w:tc>
        <w:tc>
          <w:tcPr>
            <w:tcW w:w="7065" w:type="dxa"/>
            <w:vAlign w:val="center"/>
          </w:tcPr>
          <w:p w:rsidR="00DE4A2E" w:rsidRPr="00736749" w:rsidRDefault="009A176D" w:rsidP="00ED70C4">
            <w:pPr>
              <w:rPr>
                <w:rFonts w:cstheme="minorHAnsi"/>
              </w:rPr>
            </w:pPr>
            <w:r w:rsidRPr="00736749">
              <w:rPr>
                <w:rFonts w:cstheme="minorHAnsi"/>
              </w:rPr>
              <w:t xml:space="preserve">The prime contractor must coordinate all activities that fall under service group A1, per Table 12 of the RFP.  The prime contractor will be obligated to address all components of management as specified in the footnote for Management in Table 12 of the RFP.  </w:t>
            </w:r>
          </w:p>
        </w:tc>
        <w:tc>
          <w:tcPr>
            <w:tcW w:w="1470" w:type="dxa"/>
            <w:vAlign w:val="center"/>
          </w:tcPr>
          <w:p w:rsidR="009A176D" w:rsidRPr="00736749" w:rsidRDefault="009A176D" w:rsidP="009A176D">
            <w:pPr>
              <w:jc w:val="center"/>
              <w:rPr>
                <w:rFonts w:cstheme="minorHAnsi"/>
              </w:rPr>
            </w:pPr>
            <w:r w:rsidRPr="00736749">
              <w:rPr>
                <w:rFonts w:cstheme="minorHAnsi"/>
              </w:rPr>
              <w:t>IV.A,</w:t>
            </w:r>
          </w:p>
          <w:p w:rsidR="00DE4A2E" w:rsidRPr="00736749" w:rsidRDefault="009A176D" w:rsidP="009A176D">
            <w:pPr>
              <w:jc w:val="center"/>
              <w:rPr>
                <w:rFonts w:cstheme="minorHAnsi"/>
              </w:rPr>
            </w:pPr>
            <w:r w:rsidRPr="00736749">
              <w:rPr>
                <w:rFonts w:cstheme="minorHAnsi"/>
              </w:rPr>
              <w:t>Specifically Table 12</w:t>
            </w:r>
          </w:p>
        </w:tc>
        <w:tc>
          <w:tcPr>
            <w:tcW w:w="818" w:type="dxa"/>
            <w:vAlign w:val="center"/>
          </w:tcPr>
          <w:p w:rsidR="00DE4A2E" w:rsidRPr="00736749" w:rsidRDefault="009A176D" w:rsidP="00ED70C4">
            <w:pPr>
              <w:jc w:val="center"/>
              <w:rPr>
                <w:rFonts w:cstheme="minorHAnsi"/>
              </w:rPr>
            </w:pPr>
            <w:r w:rsidRPr="00736749">
              <w:rPr>
                <w:rFonts w:cstheme="minorHAnsi"/>
              </w:rPr>
              <w:t>12</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9</w:t>
            </w:r>
          </w:p>
        </w:tc>
        <w:tc>
          <w:tcPr>
            <w:tcW w:w="2735" w:type="dxa"/>
            <w:vAlign w:val="center"/>
          </w:tcPr>
          <w:p w:rsidR="009A176D" w:rsidRPr="00736749" w:rsidRDefault="009A176D" w:rsidP="009A176D">
            <w:pPr>
              <w:spacing w:before="100" w:beforeAutospacing="1" w:after="100" w:afterAutospacing="1"/>
              <w:rPr>
                <w:rFonts w:cstheme="minorHAnsi"/>
                <w:color w:val="000000"/>
              </w:rPr>
            </w:pPr>
            <w:r w:rsidRPr="00736749">
              <w:rPr>
                <w:rFonts w:cstheme="minorHAnsi"/>
                <w:color w:val="000000"/>
              </w:rPr>
              <w:t>As referenced on page 11, Section I.F.1. Services to be procured and Table 9. Assessment system components to be procured via this RFP, if we are applying for grades 3-8 only, not 9-10, is it still required that we have a college admission assessment for grade 11?</w:t>
            </w:r>
          </w:p>
        </w:tc>
        <w:tc>
          <w:tcPr>
            <w:tcW w:w="7065" w:type="dxa"/>
            <w:vAlign w:val="center"/>
          </w:tcPr>
          <w:p w:rsidR="009A176D" w:rsidRPr="00736749" w:rsidRDefault="009A176D" w:rsidP="009A176D">
            <w:pPr>
              <w:rPr>
                <w:rFonts w:cstheme="minorHAnsi"/>
              </w:rPr>
            </w:pPr>
            <w:r w:rsidRPr="00736749">
              <w:rPr>
                <w:rFonts w:cstheme="minorHAnsi"/>
              </w:rPr>
              <w:t>No. Please note on page 28, language that indicates that, “</w:t>
            </w:r>
            <w:proofErr w:type="spellStart"/>
            <w:r w:rsidRPr="00736749">
              <w:fldChar w:fldCharType="begin"/>
            </w:r>
            <w:r w:rsidRPr="00736749">
              <w:instrText xml:space="preserve"> REF Bidder_label \h  \* MERGEFORMAT </w:instrText>
            </w:r>
            <w:r w:rsidRPr="00736749">
              <w:fldChar w:fldCharType="separate"/>
            </w:r>
            <w:r w:rsidRPr="00736749">
              <w:t>Offeror</w:t>
            </w:r>
            <w:r w:rsidRPr="00736749">
              <w:fldChar w:fldCharType="end"/>
            </w:r>
            <w:r w:rsidRPr="00736749">
              <w:t>s</w:t>
            </w:r>
            <w:proofErr w:type="spellEnd"/>
            <w:r w:rsidRPr="00736749">
              <w:t xml:space="preserve"> may submit proposals covering only some groups of services…”</w:t>
            </w:r>
          </w:p>
        </w:tc>
        <w:tc>
          <w:tcPr>
            <w:tcW w:w="1470" w:type="dxa"/>
            <w:vAlign w:val="center"/>
          </w:tcPr>
          <w:p w:rsidR="009A176D" w:rsidRPr="00736749" w:rsidRDefault="008048B1" w:rsidP="009A176D">
            <w:pPr>
              <w:jc w:val="center"/>
              <w:rPr>
                <w:rFonts w:cstheme="minorHAnsi"/>
              </w:rPr>
            </w:pPr>
            <w:r w:rsidRPr="00736749">
              <w:rPr>
                <w:rFonts w:cstheme="minorHAnsi"/>
              </w:rPr>
              <w:t>IV.B</w:t>
            </w:r>
          </w:p>
        </w:tc>
        <w:tc>
          <w:tcPr>
            <w:tcW w:w="818" w:type="dxa"/>
            <w:vAlign w:val="center"/>
          </w:tcPr>
          <w:p w:rsidR="009A176D" w:rsidRPr="00736749" w:rsidRDefault="009A176D" w:rsidP="009A176D">
            <w:pPr>
              <w:jc w:val="center"/>
              <w:rPr>
                <w:rFonts w:cstheme="minorHAnsi"/>
              </w:rPr>
            </w:pPr>
            <w:r w:rsidRPr="00736749">
              <w:rPr>
                <w:rFonts w:cstheme="minorHAnsi"/>
              </w:rPr>
              <w:t>28</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10</w:t>
            </w:r>
          </w:p>
        </w:tc>
        <w:tc>
          <w:tcPr>
            <w:tcW w:w="2735" w:type="dxa"/>
            <w:vAlign w:val="center"/>
          </w:tcPr>
          <w:p w:rsidR="009A176D" w:rsidRPr="00736749" w:rsidRDefault="009A176D" w:rsidP="009A176D">
            <w:pPr>
              <w:rPr>
                <w:rFonts w:cstheme="minorHAnsi"/>
              </w:rPr>
            </w:pPr>
            <w:r w:rsidRPr="00736749">
              <w:rPr>
                <w:rFonts w:eastAsia="Times New Roman" w:cstheme="minorHAnsi"/>
                <w:color w:val="000000"/>
              </w:rPr>
              <w:t>S</w:t>
            </w:r>
            <w:r w:rsidRPr="00736749">
              <w:rPr>
                <w:rFonts w:cstheme="minorHAnsi"/>
              </w:rPr>
              <w:t xml:space="preserve">ec. </w:t>
            </w:r>
            <w:r w:rsidRPr="00736749">
              <w:rPr>
                <w:rFonts w:cstheme="minorHAnsi"/>
                <w:color w:val="000000"/>
              </w:rPr>
              <w:t>IV.K.2. Existing state information technology systems</w:t>
            </w:r>
            <w:r w:rsidRPr="00736749">
              <w:rPr>
                <w:rFonts w:cstheme="minorHAnsi"/>
                <w:b/>
                <w:bCs/>
                <w:color w:val="000000"/>
              </w:rPr>
              <w:t xml:space="preserve"> </w:t>
            </w:r>
            <w:r w:rsidRPr="00736749">
              <w:rPr>
                <w:rFonts w:cstheme="minorHAnsi"/>
              </w:rPr>
              <w:t xml:space="preserve">makes reference to another RFP# 90-92400-19-24339 for a Commercial Off the Shelf (COTS) data management solution. We were unable to find this RFP in the Link provide.  </w:t>
            </w:r>
            <w:r w:rsidRPr="00736749">
              <w:rPr>
                <w:rFonts w:cstheme="minorHAnsi"/>
                <w:b/>
                <w:bCs/>
              </w:rPr>
              <w:t>Question</w:t>
            </w:r>
            <w:r w:rsidRPr="00736749">
              <w:rPr>
                <w:rFonts w:cstheme="minorHAnsi"/>
              </w:rPr>
              <w:t>: Can you provide for clarification on where this other RFP can be found?</w:t>
            </w:r>
          </w:p>
        </w:tc>
        <w:tc>
          <w:tcPr>
            <w:tcW w:w="7065" w:type="dxa"/>
            <w:vAlign w:val="center"/>
          </w:tcPr>
          <w:p w:rsidR="009A176D" w:rsidRPr="00736749" w:rsidRDefault="009A176D" w:rsidP="00242BAD">
            <w:pPr>
              <w:rPr>
                <w:rFonts w:cstheme="minorHAnsi"/>
              </w:rPr>
            </w:pPr>
            <w:r w:rsidRPr="00736749">
              <w:rPr>
                <w:rFonts w:cstheme="minorHAnsi"/>
              </w:rPr>
              <w:t xml:space="preserve">The RFP has closed and can now be found </w:t>
            </w:r>
            <w:r w:rsidR="00242BAD" w:rsidRPr="00736749">
              <w:rPr>
                <w:rFonts w:cstheme="minorHAnsi"/>
              </w:rPr>
              <w:t xml:space="preserve">as “Historic Information 90-924-19-24339 Referenced in Assessment RFP.pdf” </w:t>
            </w:r>
            <w:r w:rsidRPr="00736749">
              <w:rPr>
                <w:rFonts w:cstheme="minorHAnsi"/>
              </w:rPr>
              <w:t xml:space="preserve">at: </w:t>
            </w:r>
            <w:hyperlink r:id="rId8" w:history="1">
              <w:r w:rsidRPr="00736749">
                <w:rPr>
                  <w:rStyle w:val="Hyperlink"/>
                </w:rPr>
                <w:t>http://bit.ly/NM_SPD_24665</w:t>
              </w:r>
            </w:hyperlink>
          </w:p>
        </w:tc>
        <w:tc>
          <w:tcPr>
            <w:tcW w:w="1470" w:type="dxa"/>
            <w:vAlign w:val="center"/>
          </w:tcPr>
          <w:p w:rsidR="009A176D" w:rsidRPr="00736749" w:rsidRDefault="00242BAD" w:rsidP="009A176D">
            <w:pPr>
              <w:jc w:val="center"/>
              <w:rPr>
                <w:rFonts w:cstheme="minorHAnsi"/>
              </w:rPr>
            </w:pPr>
            <w:r w:rsidRPr="00736749">
              <w:rPr>
                <w:rFonts w:cstheme="minorHAnsi"/>
              </w:rPr>
              <w:t>IV.K.2</w:t>
            </w:r>
          </w:p>
        </w:tc>
        <w:tc>
          <w:tcPr>
            <w:tcW w:w="818" w:type="dxa"/>
            <w:vAlign w:val="center"/>
          </w:tcPr>
          <w:p w:rsidR="009A176D" w:rsidRPr="00736749" w:rsidRDefault="00710B2D" w:rsidP="009A176D">
            <w:pPr>
              <w:jc w:val="center"/>
              <w:rPr>
                <w:rFonts w:cstheme="minorHAnsi"/>
              </w:rPr>
            </w:pPr>
            <w:r w:rsidRPr="00736749">
              <w:rPr>
                <w:rFonts w:cstheme="minorHAnsi"/>
              </w:rPr>
              <w:t>54</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11</w:t>
            </w:r>
          </w:p>
        </w:tc>
        <w:tc>
          <w:tcPr>
            <w:tcW w:w="2735" w:type="dxa"/>
            <w:vAlign w:val="center"/>
          </w:tcPr>
          <w:p w:rsidR="009A176D" w:rsidRPr="00736749" w:rsidRDefault="009A176D" w:rsidP="009A176D">
            <w:pPr>
              <w:shd w:val="clear" w:color="auto" w:fill="FFFFFF"/>
              <w:spacing w:before="100" w:beforeAutospacing="1" w:after="100" w:afterAutospacing="1"/>
              <w:rPr>
                <w:rFonts w:eastAsia="Times New Roman" w:cstheme="minorHAnsi"/>
              </w:rPr>
            </w:pPr>
            <w:r w:rsidRPr="00736749">
              <w:rPr>
                <w:rFonts w:eastAsia="Times New Roman" w:cstheme="minorHAnsi"/>
              </w:rPr>
              <w:t>Table 11 on page 25 of the RFP shows the evolution of the grade 3-8 summative assessments for ELA/Math, transitioning from TAMELA to custom content by 2023-2024. Please confirm that the solutions described on page 54 in section IV.J such as hybrid are allowed in 2023-2024 and beyond--that 100% custom content is not required.</w:t>
            </w:r>
          </w:p>
        </w:tc>
        <w:tc>
          <w:tcPr>
            <w:tcW w:w="7065" w:type="dxa"/>
            <w:vAlign w:val="center"/>
          </w:tcPr>
          <w:p w:rsidR="009A176D" w:rsidRPr="00736749" w:rsidRDefault="009A176D" w:rsidP="009A176D">
            <w:pPr>
              <w:rPr>
                <w:rFonts w:cstheme="minorHAnsi"/>
              </w:rPr>
            </w:pPr>
            <w:r w:rsidRPr="00736749">
              <w:rPr>
                <w:rFonts w:cstheme="minorHAnsi"/>
              </w:rPr>
              <w:t>Yes. Custom content solutions for 2023-24 may include customized hybrid solutions.</w:t>
            </w:r>
          </w:p>
        </w:tc>
        <w:tc>
          <w:tcPr>
            <w:tcW w:w="1470" w:type="dxa"/>
            <w:vAlign w:val="center"/>
          </w:tcPr>
          <w:p w:rsidR="009A176D" w:rsidRPr="00736749" w:rsidRDefault="00710B2D" w:rsidP="009A176D">
            <w:pPr>
              <w:jc w:val="center"/>
              <w:rPr>
                <w:rFonts w:cstheme="minorHAnsi"/>
              </w:rPr>
            </w:pPr>
            <w:r w:rsidRPr="00736749">
              <w:rPr>
                <w:rFonts w:cstheme="minorHAnsi"/>
              </w:rPr>
              <w:t>IV.J</w:t>
            </w:r>
          </w:p>
        </w:tc>
        <w:tc>
          <w:tcPr>
            <w:tcW w:w="818" w:type="dxa"/>
            <w:vAlign w:val="center"/>
          </w:tcPr>
          <w:p w:rsidR="009A176D" w:rsidRPr="00736749" w:rsidRDefault="00710B2D" w:rsidP="009A176D">
            <w:pPr>
              <w:jc w:val="center"/>
              <w:rPr>
                <w:rFonts w:cstheme="minorHAnsi"/>
              </w:rPr>
            </w:pPr>
            <w:r w:rsidRPr="00736749">
              <w:rPr>
                <w:rFonts w:cstheme="minorHAnsi"/>
              </w:rPr>
              <w:t>54</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12</w:t>
            </w:r>
          </w:p>
        </w:tc>
        <w:tc>
          <w:tcPr>
            <w:tcW w:w="2735" w:type="dxa"/>
            <w:vAlign w:val="center"/>
          </w:tcPr>
          <w:p w:rsidR="009A176D" w:rsidRPr="00736749" w:rsidRDefault="009A176D" w:rsidP="009A176D">
            <w:pPr>
              <w:shd w:val="clear" w:color="auto" w:fill="FFFFFF"/>
              <w:spacing w:before="100" w:beforeAutospacing="1" w:after="100" w:afterAutospacing="1"/>
              <w:rPr>
                <w:rFonts w:eastAsia="Times New Roman" w:cstheme="minorHAnsi"/>
              </w:rPr>
            </w:pPr>
            <w:r w:rsidRPr="00736749">
              <w:rPr>
                <w:rFonts w:eastAsia="Times New Roman" w:cstheme="minorHAnsi"/>
              </w:rPr>
              <w:t>In which tab and row(s) of the Cost Proposal Workbook should offerors show licensing costs for New Meridian content?</w:t>
            </w:r>
          </w:p>
        </w:tc>
        <w:tc>
          <w:tcPr>
            <w:tcW w:w="7065" w:type="dxa"/>
            <w:vAlign w:val="center"/>
          </w:tcPr>
          <w:p w:rsidR="009A176D" w:rsidRPr="00736749" w:rsidRDefault="009A176D" w:rsidP="009A176D">
            <w:pPr>
              <w:rPr>
                <w:rFonts w:cstheme="minorHAnsi"/>
              </w:rPr>
            </w:pPr>
            <w:r w:rsidRPr="00736749">
              <w:rPr>
                <w:rFonts w:cstheme="minorHAnsi"/>
              </w:rPr>
              <w:t>A new row should be inserted between rows 64 and 65 on the “Base” tab of the cost proposal workbook for content licensed from New Meridian.</w:t>
            </w:r>
          </w:p>
        </w:tc>
        <w:tc>
          <w:tcPr>
            <w:tcW w:w="1470" w:type="dxa"/>
            <w:vAlign w:val="center"/>
          </w:tcPr>
          <w:p w:rsidR="009A176D" w:rsidRPr="00736749" w:rsidRDefault="009A176D" w:rsidP="009A176D">
            <w:pPr>
              <w:jc w:val="center"/>
              <w:rPr>
                <w:rFonts w:cstheme="minorHAnsi"/>
              </w:rPr>
            </w:pPr>
          </w:p>
        </w:tc>
        <w:tc>
          <w:tcPr>
            <w:tcW w:w="818" w:type="dxa"/>
            <w:vAlign w:val="center"/>
          </w:tcPr>
          <w:p w:rsidR="009A176D" w:rsidRPr="00736749" w:rsidRDefault="009A176D" w:rsidP="009A176D">
            <w:pPr>
              <w:jc w:val="center"/>
              <w:rPr>
                <w:rFonts w:cstheme="minorHAnsi"/>
              </w:rPr>
            </w:pP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13</w:t>
            </w:r>
          </w:p>
        </w:tc>
        <w:tc>
          <w:tcPr>
            <w:tcW w:w="2735" w:type="dxa"/>
            <w:vAlign w:val="center"/>
          </w:tcPr>
          <w:p w:rsidR="009A176D" w:rsidRPr="00736749" w:rsidRDefault="009A176D" w:rsidP="009A176D">
            <w:pPr>
              <w:shd w:val="clear" w:color="auto" w:fill="FFFFFF"/>
              <w:spacing w:before="100" w:beforeAutospacing="1" w:after="100" w:afterAutospacing="1"/>
              <w:rPr>
                <w:rFonts w:eastAsia="Times New Roman" w:cstheme="minorHAnsi"/>
              </w:rPr>
            </w:pPr>
            <w:r w:rsidRPr="00736749">
              <w:rPr>
                <w:rFonts w:eastAsia="Times New Roman" w:cstheme="minorHAnsi"/>
              </w:rPr>
              <w:t>What is the difference between "custom" and "customized" in table 11 on page 25? </w:t>
            </w:r>
          </w:p>
        </w:tc>
        <w:tc>
          <w:tcPr>
            <w:tcW w:w="7065" w:type="dxa"/>
            <w:vAlign w:val="center"/>
          </w:tcPr>
          <w:p w:rsidR="009A176D" w:rsidRPr="00736749" w:rsidRDefault="009A176D" w:rsidP="009A176D">
            <w:pPr>
              <w:rPr>
                <w:rFonts w:cstheme="minorHAnsi"/>
              </w:rPr>
            </w:pPr>
            <w:r w:rsidRPr="00736749">
              <w:rPr>
                <w:rFonts w:cstheme="minorHAnsi"/>
              </w:rPr>
              <w:t xml:space="preserve">Per the Table Notes, </w:t>
            </w:r>
          </w:p>
          <w:p w:rsidR="009A176D" w:rsidRPr="00736749" w:rsidRDefault="009A176D" w:rsidP="009A176D">
            <w:pPr>
              <w:rPr>
                <w:rFonts w:cstheme="minorHAnsi"/>
              </w:rPr>
            </w:pPr>
            <w:r w:rsidRPr="00736749">
              <w:rPr>
                <w:rFonts w:cstheme="minorHAnsi"/>
                <w:color w:val="FF0000"/>
              </w:rPr>
              <w:t>A</w:t>
            </w:r>
            <w:r w:rsidRPr="00736749">
              <w:rPr>
                <w:rFonts w:cstheme="minorHAnsi"/>
              </w:rPr>
              <w:t xml:space="preserve"> </w:t>
            </w:r>
            <w:r w:rsidRPr="00736749">
              <w:rPr>
                <w:rFonts w:cstheme="minorHAnsi"/>
                <w:i/>
              </w:rPr>
              <w:t>custom</w:t>
            </w:r>
            <w:r w:rsidRPr="00736749">
              <w:rPr>
                <w:rFonts w:cstheme="minorHAnsi"/>
              </w:rPr>
              <w:t xml:space="preserve"> indicates new content </w:t>
            </w:r>
            <w:r w:rsidRPr="00736749">
              <w:rPr>
                <w:rFonts w:cstheme="minorHAnsi"/>
                <w:u w:val="single"/>
              </w:rPr>
              <w:t xml:space="preserve">compatible with </w:t>
            </w:r>
            <w:r w:rsidRPr="00736749">
              <w:rPr>
                <w:rFonts w:cstheme="minorHAnsi"/>
              </w:rPr>
              <w:t>TAMELA (i.e., no stark difference in student experience between TAMELA and custom content).</w:t>
            </w:r>
          </w:p>
          <w:p w:rsidR="009A176D" w:rsidRPr="00736749" w:rsidRDefault="009A176D" w:rsidP="009A176D">
            <w:pPr>
              <w:rPr>
                <w:rFonts w:cstheme="minorHAnsi"/>
              </w:rPr>
            </w:pPr>
            <w:r w:rsidRPr="00736749">
              <w:rPr>
                <w:rFonts w:cstheme="minorHAnsi"/>
                <w:color w:val="FF0000"/>
              </w:rPr>
              <w:t xml:space="preserve">C </w:t>
            </w:r>
            <w:r w:rsidRPr="00736749">
              <w:rPr>
                <w:rFonts w:cstheme="minorHAnsi"/>
                <w:i/>
              </w:rPr>
              <w:t>customized</w:t>
            </w:r>
            <w:r w:rsidRPr="00736749">
              <w:rPr>
                <w:rFonts w:cstheme="minorHAnsi"/>
              </w:rPr>
              <w:t xml:space="preserve"> indicated any combination of (1) </w:t>
            </w:r>
            <w:r w:rsidRPr="00736749">
              <w:rPr>
                <w:rFonts w:cstheme="minorHAnsi"/>
                <w:i/>
              </w:rPr>
              <w:t>existing</w:t>
            </w:r>
            <w:r w:rsidRPr="00736749">
              <w:rPr>
                <w:rFonts w:cstheme="minorHAnsi"/>
              </w:rPr>
              <w:t xml:space="preserve"> content, (2) </w:t>
            </w:r>
            <w:r w:rsidRPr="00736749">
              <w:rPr>
                <w:rFonts w:cstheme="minorHAnsi"/>
                <w:i/>
              </w:rPr>
              <w:t>existing</w:t>
            </w:r>
            <w:r w:rsidRPr="00736749">
              <w:rPr>
                <w:rFonts w:cstheme="minorHAnsi"/>
              </w:rPr>
              <w:t xml:space="preserve"> content adapted for compatibility, or (3) </w:t>
            </w:r>
            <w:r w:rsidRPr="00736749">
              <w:rPr>
                <w:rFonts w:cstheme="minorHAnsi"/>
                <w:i/>
              </w:rPr>
              <w:t>custom</w:t>
            </w:r>
            <w:r w:rsidRPr="00736749">
              <w:rPr>
                <w:rFonts w:cstheme="minorHAnsi"/>
              </w:rPr>
              <w:t xml:space="preserve"> content in which all content is </w:t>
            </w:r>
            <w:r w:rsidRPr="00736749">
              <w:rPr>
                <w:rFonts w:cstheme="minorHAnsi"/>
                <w:u w:val="single"/>
              </w:rPr>
              <w:t>compatible with</w:t>
            </w:r>
            <w:r w:rsidRPr="00736749">
              <w:rPr>
                <w:rFonts w:cstheme="minorHAnsi"/>
              </w:rPr>
              <w:t xml:space="preserve"> TAMELA and custom content. </w:t>
            </w:r>
          </w:p>
        </w:tc>
        <w:tc>
          <w:tcPr>
            <w:tcW w:w="1470" w:type="dxa"/>
            <w:vAlign w:val="center"/>
          </w:tcPr>
          <w:p w:rsidR="009A176D" w:rsidRPr="00736749" w:rsidRDefault="009A176D" w:rsidP="009A176D">
            <w:pPr>
              <w:jc w:val="center"/>
              <w:rPr>
                <w:rFonts w:cstheme="minorHAnsi"/>
              </w:rPr>
            </w:pPr>
            <w:r w:rsidRPr="00736749">
              <w:rPr>
                <w:rFonts w:cstheme="minorHAnsi"/>
              </w:rPr>
              <w:t>IV.A</w:t>
            </w:r>
          </w:p>
        </w:tc>
        <w:tc>
          <w:tcPr>
            <w:tcW w:w="818" w:type="dxa"/>
            <w:vAlign w:val="center"/>
          </w:tcPr>
          <w:p w:rsidR="009A176D" w:rsidRPr="00736749" w:rsidRDefault="009A176D" w:rsidP="009A176D">
            <w:pPr>
              <w:jc w:val="center"/>
              <w:rPr>
                <w:rFonts w:cstheme="minorHAnsi"/>
              </w:rPr>
            </w:pPr>
            <w:r w:rsidRPr="00736749">
              <w:rPr>
                <w:rFonts w:cstheme="minorHAnsi"/>
              </w:rPr>
              <w:t>25</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14</w:t>
            </w:r>
          </w:p>
        </w:tc>
        <w:tc>
          <w:tcPr>
            <w:tcW w:w="2735" w:type="dxa"/>
            <w:vAlign w:val="center"/>
          </w:tcPr>
          <w:p w:rsidR="009A176D" w:rsidRPr="00736749" w:rsidRDefault="009A176D" w:rsidP="009A176D">
            <w:pPr>
              <w:shd w:val="clear" w:color="auto" w:fill="FFFFFF"/>
              <w:spacing w:before="100" w:beforeAutospacing="1" w:after="100" w:afterAutospacing="1"/>
              <w:rPr>
                <w:rFonts w:eastAsia="Times New Roman" w:cstheme="minorHAnsi"/>
              </w:rPr>
            </w:pPr>
            <w:r w:rsidRPr="00736749">
              <w:rPr>
                <w:rFonts w:eastAsia="Times New Roman" w:cstheme="minorHAnsi"/>
              </w:rPr>
              <w:t xml:space="preserve">In order to compare proposal costs as described on page 165 of the RFP, do all offerors need to assume the same percentage of licensed items from New Meridian through 2022-2023? </w:t>
            </w:r>
          </w:p>
        </w:tc>
        <w:tc>
          <w:tcPr>
            <w:tcW w:w="7065" w:type="dxa"/>
            <w:vAlign w:val="center"/>
          </w:tcPr>
          <w:p w:rsidR="009A176D" w:rsidRPr="00736749" w:rsidRDefault="009A176D" w:rsidP="009A176D">
            <w:pPr>
              <w:rPr>
                <w:rFonts w:cstheme="minorHAnsi"/>
              </w:rPr>
            </w:pPr>
            <w:r w:rsidRPr="00736749">
              <w:rPr>
                <w:rFonts w:cstheme="minorHAnsi"/>
              </w:rPr>
              <w:t>No</w:t>
            </w:r>
          </w:p>
        </w:tc>
        <w:tc>
          <w:tcPr>
            <w:tcW w:w="1470" w:type="dxa"/>
            <w:vAlign w:val="center"/>
          </w:tcPr>
          <w:p w:rsidR="009A176D" w:rsidRPr="00736749" w:rsidRDefault="00710B2D" w:rsidP="009A176D">
            <w:pPr>
              <w:jc w:val="center"/>
              <w:rPr>
                <w:rFonts w:cstheme="minorHAnsi"/>
              </w:rPr>
            </w:pPr>
            <w:r w:rsidRPr="00736749">
              <w:rPr>
                <w:rFonts w:cstheme="minorHAnsi"/>
              </w:rPr>
              <w:t>Appendix G</w:t>
            </w:r>
          </w:p>
        </w:tc>
        <w:tc>
          <w:tcPr>
            <w:tcW w:w="818" w:type="dxa"/>
            <w:vAlign w:val="center"/>
          </w:tcPr>
          <w:p w:rsidR="009A176D" w:rsidRPr="00736749" w:rsidRDefault="00710B2D" w:rsidP="009A176D">
            <w:pPr>
              <w:jc w:val="center"/>
              <w:rPr>
                <w:rFonts w:cstheme="minorHAnsi"/>
              </w:rPr>
            </w:pPr>
            <w:r w:rsidRPr="00736749">
              <w:rPr>
                <w:rFonts w:cstheme="minorHAnsi"/>
              </w:rPr>
              <w:t>165</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15</w:t>
            </w:r>
          </w:p>
        </w:tc>
        <w:tc>
          <w:tcPr>
            <w:tcW w:w="2735" w:type="dxa"/>
            <w:vAlign w:val="center"/>
          </w:tcPr>
          <w:p w:rsidR="009A176D" w:rsidRPr="00736749" w:rsidRDefault="009A176D" w:rsidP="009A176D">
            <w:pPr>
              <w:spacing w:before="100" w:beforeAutospacing="1" w:after="100" w:afterAutospacing="1"/>
              <w:rPr>
                <w:rFonts w:eastAsia="Times New Roman" w:cstheme="minorHAnsi"/>
                <w:color w:val="000000"/>
              </w:rPr>
            </w:pPr>
            <w:r w:rsidRPr="00736749">
              <w:rPr>
                <w:rFonts w:eastAsia="Times New Roman" w:cstheme="minorHAnsi"/>
                <w:shd w:val="clear" w:color="auto" w:fill="FFFFFF"/>
              </w:rPr>
              <w:t>The RFP, on page 2 and page 11, clearly requires the use of the New Meridian content: "Note that leased items will come from the existing Contractor (New Meridian) at least for the initial years of the contract. This is not a transition activity, but an RFP requirement to procure the content to be used in the first few years." Does the State have established pricing with New Meridian for this to ensure all potential bidders have fair and consistent costs included for the required New Meridian content?</w:t>
            </w:r>
          </w:p>
        </w:tc>
        <w:tc>
          <w:tcPr>
            <w:tcW w:w="7065" w:type="dxa"/>
            <w:vAlign w:val="center"/>
          </w:tcPr>
          <w:p w:rsidR="009A176D" w:rsidRPr="00736749" w:rsidRDefault="009A176D" w:rsidP="009A176D">
            <w:pPr>
              <w:rPr>
                <w:rFonts w:cstheme="minorHAnsi"/>
                <w:color w:val="FF0000"/>
              </w:rPr>
            </w:pPr>
            <w:r w:rsidRPr="00736749">
              <w:rPr>
                <w:rFonts w:cstheme="minorHAnsi"/>
              </w:rPr>
              <w:t xml:space="preserve">It is up to Offeror to negotiate a leased price. </w:t>
            </w:r>
            <w:r w:rsidRPr="00736749">
              <w:rPr>
                <w:rFonts w:cstheme="minorHAnsi"/>
                <w:color w:val="FF0000"/>
              </w:rPr>
              <w:t xml:space="preserve"> </w:t>
            </w:r>
          </w:p>
          <w:p w:rsidR="009A176D" w:rsidRPr="00736749" w:rsidRDefault="009A176D" w:rsidP="009A176D">
            <w:pPr>
              <w:rPr>
                <w:rFonts w:cstheme="minorHAnsi"/>
              </w:rPr>
            </w:pPr>
          </w:p>
        </w:tc>
        <w:tc>
          <w:tcPr>
            <w:tcW w:w="1470" w:type="dxa"/>
            <w:vAlign w:val="center"/>
          </w:tcPr>
          <w:p w:rsidR="009A176D" w:rsidRPr="00736749" w:rsidRDefault="00560853" w:rsidP="009A176D">
            <w:pPr>
              <w:jc w:val="center"/>
              <w:rPr>
                <w:rFonts w:cstheme="minorHAnsi"/>
              </w:rPr>
            </w:pPr>
            <w:r w:rsidRPr="00736749">
              <w:rPr>
                <w:rFonts w:cstheme="minorHAnsi"/>
              </w:rPr>
              <w:t>I.F.1</w:t>
            </w:r>
          </w:p>
        </w:tc>
        <w:tc>
          <w:tcPr>
            <w:tcW w:w="818" w:type="dxa"/>
            <w:vAlign w:val="center"/>
          </w:tcPr>
          <w:p w:rsidR="009A176D" w:rsidRPr="00736749" w:rsidRDefault="00710B2D" w:rsidP="009A176D">
            <w:pPr>
              <w:jc w:val="center"/>
              <w:rPr>
                <w:rFonts w:cstheme="minorHAnsi"/>
              </w:rPr>
            </w:pPr>
            <w:r w:rsidRPr="00736749">
              <w:rPr>
                <w:rFonts w:cstheme="minorHAnsi"/>
              </w:rPr>
              <w:t>11</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16</w:t>
            </w:r>
          </w:p>
        </w:tc>
        <w:tc>
          <w:tcPr>
            <w:tcW w:w="2735" w:type="dxa"/>
            <w:vAlign w:val="center"/>
          </w:tcPr>
          <w:p w:rsidR="009A176D" w:rsidRPr="00736749" w:rsidRDefault="009A176D" w:rsidP="009A176D">
            <w:pPr>
              <w:spacing w:before="100" w:beforeAutospacing="1" w:after="100" w:afterAutospacing="1"/>
              <w:rPr>
                <w:rFonts w:eastAsia="Times New Roman" w:cstheme="minorHAnsi"/>
                <w:color w:val="000000"/>
              </w:rPr>
            </w:pPr>
            <w:r w:rsidRPr="00736749">
              <w:rPr>
                <w:rFonts w:eastAsia="Times New Roman" w:cstheme="minorHAnsi"/>
                <w:shd w:val="clear" w:color="auto" w:fill="FFFFFF"/>
              </w:rPr>
              <w:t>Please clarify how many schools and districts contractor can expect to ship test materials to and retrieve from.</w:t>
            </w:r>
          </w:p>
        </w:tc>
        <w:tc>
          <w:tcPr>
            <w:tcW w:w="7065" w:type="dxa"/>
            <w:vAlign w:val="center"/>
          </w:tcPr>
          <w:p w:rsidR="009A176D" w:rsidRPr="00736749" w:rsidRDefault="009A176D" w:rsidP="009A176D">
            <w:pPr>
              <w:rPr>
                <w:rFonts w:cstheme="minorHAnsi"/>
              </w:rPr>
            </w:pPr>
            <w:r w:rsidRPr="00736749">
              <w:rPr>
                <w:rFonts w:cstheme="minorHAnsi"/>
              </w:rPr>
              <w:t xml:space="preserve">There are 89 districts, 53 state charter schools operating as their own district, and 41 BIE schools (should they choose to participate in the contract). </w:t>
            </w:r>
            <w:r w:rsidR="004A1670" w:rsidRPr="00736749">
              <w:rPr>
                <w:rFonts w:cstheme="minorHAnsi"/>
              </w:rPr>
              <w:t xml:space="preserve">Some district charters may request to have materials sent straight to their school. There are 46 district charters in the state. </w:t>
            </w:r>
            <w:r w:rsidRPr="00736749">
              <w:rPr>
                <w:rFonts w:cstheme="minorHAnsi"/>
              </w:rPr>
              <w:t xml:space="preserve">Numbers for shipping materials of various assessments may be different due to varying grade levels taught at charter </w:t>
            </w:r>
            <w:r w:rsidR="00710B2D" w:rsidRPr="00736749">
              <w:rPr>
                <w:rFonts w:cstheme="minorHAnsi"/>
              </w:rPr>
              <w:t xml:space="preserve">&amp; BIE </w:t>
            </w:r>
            <w:r w:rsidRPr="00736749">
              <w:rPr>
                <w:rFonts w:cstheme="minorHAnsi"/>
              </w:rPr>
              <w:t xml:space="preserve">schools. See chart of schools at end of RFP. </w:t>
            </w:r>
          </w:p>
        </w:tc>
        <w:tc>
          <w:tcPr>
            <w:tcW w:w="1470" w:type="dxa"/>
            <w:vAlign w:val="center"/>
          </w:tcPr>
          <w:p w:rsidR="009A176D" w:rsidRPr="00736749" w:rsidRDefault="009A176D" w:rsidP="009A176D">
            <w:pPr>
              <w:jc w:val="center"/>
              <w:rPr>
                <w:rFonts w:cstheme="minorHAnsi"/>
              </w:rPr>
            </w:pPr>
            <w:r w:rsidRPr="00736749">
              <w:rPr>
                <w:rFonts w:cstheme="minorHAnsi"/>
              </w:rPr>
              <w:t>I.E.I</w:t>
            </w:r>
          </w:p>
        </w:tc>
        <w:tc>
          <w:tcPr>
            <w:tcW w:w="818" w:type="dxa"/>
            <w:vAlign w:val="center"/>
          </w:tcPr>
          <w:p w:rsidR="009A176D" w:rsidRPr="00736749" w:rsidRDefault="009A176D" w:rsidP="009A176D">
            <w:pPr>
              <w:jc w:val="center"/>
              <w:rPr>
                <w:rFonts w:cstheme="minorHAnsi"/>
              </w:rPr>
            </w:pPr>
            <w:r w:rsidRPr="00736749">
              <w:rPr>
                <w:rFonts w:cstheme="minorHAnsi"/>
              </w:rPr>
              <w:t>9-10</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17</w:t>
            </w:r>
          </w:p>
        </w:tc>
        <w:tc>
          <w:tcPr>
            <w:tcW w:w="2735" w:type="dxa"/>
            <w:vAlign w:val="center"/>
          </w:tcPr>
          <w:p w:rsidR="009A176D" w:rsidRPr="00736749" w:rsidRDefault="009A176D" w:rsidP="009A176D">
            <w:pPr>
              <w:spacing w:before="100" w:beforeAutospacing="1" w:after="100" w:afterAutospacing="1"/>
              <w:rPr>
                <w:rFonts w:eastAsia="Times New Roman" w:cstheme="minorHAnsi"/>
                <w:color w:val="000000"/>
              </w:rPr>
            </w:pPr>
            <w:r w:rsidRPr="00736749">
              <w:rPr>
                <w:rFonts w:eastAsia="Times New Roman" w:cstheme="minorHAnsi"/>
                <w:shd w:val="clear" w:color="auto" w:fill="FFFFFF"/>
              </w:rPr>
              <w:t xml:space="preserve">Notwithstanding the vision statement of the Sec. of Education concerning a balanced assessment system, have funds been appropriated to cover the cost for the development and administration of the </w:t>
            </w:r>
            <w:r w:rsidRPr="00736749">
              <w:rPr>
                <w:rFonts w:eastAsia="Times New Roman" w:cstheme="minorHAnsi"/>
                <w:i/>
                <w:iCs/>
                <w:shd w:val="clear" w:color="auto" w:fill="FFFFFF"/>
              </w:rPr>
              <w:t>Optional</w:t>
            </w:r>
            <w:r w:rsidRPr="00736749">
              <w:rPr>
                <w:rFonts w:eastAsia="Times New Roman" w:cstheme="minorHAnsi"/>
                <w:shd w:val="clear" w:color="auto" w:fill="FFFFFF"/>
              </w:rPr>
              <w:t xml:space="preserve"> Interim Assessments in Years 1-5 of the contract? If not, how will technical points be awarded (if at all) for articulating a parallel plan to fulfill the vision for the optional balanced assessment system?</w:t>
            </w:r>
          </w:p>
        </w:tc>
        <w:tc>
          <w:tcPr>
            <w:tcW w:w="7065" w:type="dxa"/>
            <w:vAlign w:val="center"/>
          </w:tcPr>
          <w:p w:rsidR="009A176D" w:rsidRPr="00736749" w:rsidRDefault="009A176D" w:rsidP="009A176D">
            <w:pPr>
              <w:rPr>
                <w:rFonts w:cstheme="minorHAnsi"/>
              </w:rPr>
            </w:pPr>
            <w:r w:rsidRPr="00736749">
              <w:t>These components are optional because PED does not have an expected range of cost and thus cannot confirm whether costs will be within the range of appropriations for statewide assessment. In addition, funding for statewide assessment can vary significantly based on many factors outside PED control. Being optional allows for response to potential changes in appropriations over time.</w:t>
            </w:r>
          </w:p>
        </w:tc>
        <w:tc>
          <w:tcPr>
            <w:tcW w:w="1470" w:type="dxa"/>
            <w:vAlign w:val="center"/>
          </w:tcPr>
          <w:p w:rsidR="009A176D" w:rsidRPr="00736749" w:rsidRDefault="00553767" w:rsidP="009A176D">
            <w:pPr>
              <w:jc w:val="center"/>
              <w:rPr>
                <w:rFonts w:cstheme="minorHAnsi"/>
              </w:rPr>
            </w:pPr>
            <w:r w:rsidRPr="00736749">
              <w:rPr>
                <w:rFonts w:cstheme="minorHAnsi"/>
              </w:rPr>
              <w:t>I.E.2</w:t>
            </w:r>
          </w:p>
          <w:p w:rsidR="00553767" w:rsidRPr="00736749" w:rsidRDefault="00553767" w:rsidP="009A176D">
            <w:pPr>
              <w:jc w:val="center"/>
              <w:rPr>
                <w:rFonts w:cstheme="minorHAnsi"/>
              </w:rPr>
            </w:pPr>
            <w:r w:rsidRPr="00736749">
              <w:rPr>
                <w:rFonts w:cstheme="minorHAnsi"/>
              </w:rPr>
              <w:t>I.F.1</w:t>
            </w:r>
          </w:p>
          <w:p w:rsidR="00553767" w:rsidRPr="00736749" w:rsidRDefault="00553767" w:rsidP="009A176D">
            <w:pPr>
              <w:jc w:val="center"/>
              <w:rPr>
                <w:rFonts w:cstheme="minorHAnsi"/>
              </w:rPr>
            </w:pPr>
            <w:r w:rsidRPr="00736749">
              <w:rPr>
                <w:rFonts w:cstheme="minorHAnsi"/>
              </w:rPr>
              <w:t>Table 9</w:t>
            </w:r>
          </w:p>
        </w:tc>
        <w:tc>
          <w:tcPr>
            <w:tcW w:w="818" w:type="dxa"/>
            <w:vAlign w:val="center"/>
          </w:tcPr>
          <w:p w:rsidR="009A176D" w:rsidRPr="00736749" w:rsidRDefault="00553767" w:rsidP="009A176D">
            <w:pPr>
              <w:jc w:val="center"/>
              <w:rPr>
                <w:rFonts w:cstheme="minorHAnsi"/>
              </w:rPr>
            </w:pPr>
            <w:r w:rsidRPr="00736749">
              <w:rPr>
                <w:rFonts w:cstheme="minorHAnsi"/>
              </w:rPr>
              <w:t>10-11</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18</w:t>
            </w:r>
          </w:p>
        </w:tc>
        <w:tc>
          <w:tcPr>
            <w:tcW w:w="2735" w:type="dxa"/>
            <w:vAlign w:val="center"/>
          </w:tcPr>
          <w:p w:rsidR="009A176D" w:rsidRPr="00736749" w:rsidRDefault="009A176D" w:rsidP="009A176D">
            <w:pPr>
              <w:spacing w:before="100" w:beforeAutospacing="1" w:after="100" w:afterAutospacing="1"/>
              <w:rPr>
                <w:rFonts w:eastAsia="Times New Roman" w:cstheme="minorHAnsi"/>
                <w:color w:val="000000"/>
              </w:rPr>
            </w:pPr>
            <w:r w:rsidRPr="00736749">
              <w:rPr>
                <w:rFonts w:eastAsia="Times New Roman" w:cstheme="minorHAnsi"/>
                <w:shd w:val="clear" w:color="auto" w:fill="FFFFFF"/>
              </w:rPr>
              <w:t>Given that New Mexico desires that the summative assessment at grade 11 “focus on college admission requirements,” do you anticipate that the interim assessments for grades 11 and 12 will be aligned to college admission content frameworks?</w:t>
            </w:r>
          </w:p>
        </w:tc>
        <w:tc>
          <w:tcPr>
            <w:tcW w:w="7065" w:type="dxa"/>
            <w:vAlign w:val="center"/>
          </w:tcPr>
          <w:p w:rsidR="009A176D" w:rsidRPr="00736749" w:rsidRDefault="009A176D" w:rsidP="004A1670">
            <w:pPr>
              <w:rPr>
                <w:rFonts w:cstheme="minorHAnsi"/>
              </w:rPr>
            </w:pPr>
            <w:r w:rsidRPr="00736749">
              <w:t xml:space="preserve">The idea is to balance the alignment to </w:t>
            </w:r>
            <w:r w:rsidR="004A1670" w:rsidRPr="00736749">
              <w:t>New Mexico Common Core State Standards</w:t>
            </w:r>
            <w:r w:rsidRPr="00736749">
              <w:t xml:space="preserve"> in grades 11 and 12 to complement the narrower coverage of a college admission assessment.</w:t>
            </w:r>
          </w:p>
        </w:tc>
        <w:tc>
          <w:tcPr>
            <w:tcW w:w="1470" w:type="dxa"/>
            <w:vAlign w:val="center"/>
          </w:tcPr>
          <w:p w:rsidR="009A176D" w:rsidRPr="00736749" w:rsidRDefault="00553767" w:rsidP="009A176D">
            <w:pPr>
              <w:jc w:val="center"/>
              <w:rPr>
                <w:rFonts w:cstheme="minorHAnsi"/>
              </w:rPr>
            </w:pPr>
            <w:r w:rsidRPr="00736749">
              <w:rPr>
                <w:rFonts w:cstheme="minorHAnsi"/>
              </w:rPr>
              <w:t>IV.F</w:t>
            </w:r>
          </w:p>
        </w:tc>
        <w:tc>
          <w:tcPr>
            <w:tcW w:w="818" w:type="dxa"/>
            <w:vAlign w:val="center"/>
          </w:tcPr>
          <w:p w:rsidR="009A176D" w:rsidRPr="00736749" w:rsidRDefault="00553767" w:rsidP="009A176D">
            <w:pPr>
              <w:jc w:val="center"/>
              <w:rPr>
                <w:rFonts w:cstheme="minorHAnsi"/>
              </w:rPr>
            </w:pPr>
            <w:r w:rsidRPr="00736749">
              <w:rPr>
                <w:rFonts w:cstheme="minorHAnsi"/>
              </w:rPr>
              <w:t>36</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19</w:t>
            </w:r>
          </w:p>
        </w:tc>
        <w:tc>
          <w:tcPr>
            <w:tcW w:w="2735" w:type="dxa"/>
            <w:vAlign w:val="center"/>
          </w:tcPr>
          <w:p w:rsidR="009A176D" w:rsidRPr="00736749" w:rsidRDefault="009A176D" w:rsidP="009A176D">
            <w:pPr>
              <w:spacing w:before="100" w:beforeAutospacing="1" w:after="100" w:afterAutospacing="1"/>
              <w:rPr>
                <w:rFonts w:eastAsia="Times New Roman" w:cstheme="minorHAnsi"/>
                <w:color w:val="000000"/>
              </w:rPr>
            </w:pPr>
            <w:r w:rsidRPr="00736749">
              <w:rPr>
                <w:rFonts w:eastAsia="Times New Roman" w:cstheme="minorHAnsi"/>
                <w:shd w:val="clear" w:color="auto" w:fill="FFFFFF"/>
              </w:rPr>
              <w:t>Will New Mexico expect a Fall 2019 test administration delivery?</w:t>
            </w:r>
          </w:p>
        </w:tc>
        <w:tc>
          <w:tcPr>
            <w:tcW w:w="7065" w:type="dxa"/>
            <w:vAlign w:val="center"/>
          </w:tcPr>
          <w:p w:rsidR="009A176D" w:rsidRPr="00736749" w:rsidRDefault="009A176D" w:rsidP="004A1670">
            <w:pPr>
              <w:rPr>
                <w:rFonts w:cstheme="minorHAnsi"/>
                <w:color w:val="FF0000"/>
              </w:rPr>
            </w:pPr>
            <w:r w:rsidRPr="00736749">
              <w:rPr>
                <w:rFonts w:cstheme="minorHAnsi"/>
              </w:rPr>
              <w:t>Yes</w:t>
            </w:r>
            <w:r w:rsidR="004A1670" w:rsidRPr="00736749">
              <w:rPr>
                <w:rFonts w:cstheme="minorHAnsi"/>
              </w:rPr>
              <w:t>, but it will be administered through the current Contractor</w:t>
            </w:r>
            <w:r w:rsidR="00BF59EF" w:rsidRPr="00736749">
              <w:rPr>
                <w:rFonts w:cstheme="minorHAnsi"/>
              </w:rPr>
              <w:t xml:space="preserve"> and is not a part of this RFP</w:t>
            </w:r>
            <w:r w:rsidR="004A1670" w:rsidRPr="00736749">
              <w:rPr>
                <w:rFonts w:cstheme="minorHAnsi"/>
              </w:rPr>
              <w:t xml:space="preserve">. </w:t>
            </w:r>
          </w:p>
        </w:tc>
        <w:tc>
          <w:tcPr>
            <w:tcW w:w="1470" w:type="dxa"/>
            <w:vAlign w:val="center"/>
          </w:tcPr>
          <w:p w:rsidR="009A176D" w:rsidRPr="00736749" w:rsidRDefault="00BF59EF" w:rsidP="009A176D">
            <w:pPr>
              <w:jc w:val="center"/>
              <w:rPr>
                <w:rFonts w:cstheme="minorHAnsi"/>
              </w:rPr>
            </w:pPr>
            <w:r w:rsidRPr="00736749">
              <w:rPr>
                <w:rFonts w:cstheme="minorHAnsi"/>
              </w:rPr>
              <w:t>IV.L</w:t>
            </w:r>
          </w:p>
        </w:tc>
        <w:tc>
          <w:tcPr>
            <w:tcW w:w="818" w:type="dxa"/>
            <w:vAlign w:val="center"/>
          </w:tcPr>
          <w:p w:rsidR="009A176D" w:rsidRPr="00736749" w:rsidRDefault="00BF59EF" w:rsidP="009A176D">
            <w:pPr>
              <w:jc w:val="center"/>
              <w:rPr>
                <w:rFonts w:cstheme="minorHAnsi"/>
              </w:rPr>
            </w:pPr>
            <w:r w:rsidRPr="00736749">
              <w:rPr>
                <w:rFonts w:cstheme="minorHAnsi"/>
              </w:rPr>
              <w:t>56</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20</w:t>
            </w:r>
          </w:p>
        </w:tc>
        <w:tc>
          <w:tcPr>
            <w:tcW w:w="2735" w:type="dxa"/>
            <w:vAlign w:val="center"/>
          </w:tcPr>
          <w:p w:rsidR="009A176D" w:rsidRPr="00736749" w:rsidRDefault="009A176D" w:rsidP="009A176D">
            <w:pPr>
              <w:rPr>
                <w:rFonts w:eastAsia="Times New Roman" w:cstheme="minorHAnsi"/>
              </w:rPr>
            </w:pPr>
            <w:r w:rsidRPr="00736749">
              <w:rPr>
                <w:rFonts w:eastAsia="Times New Roman" w:cstheme="minorHAnsi"/>
                <w:i/>
                <w:iCs/>
                <w:shd w:val="clear" w:color="auto" w:fill="FFFFFF"/>
              </w:rPr>
              <w:t>Calculation Device (Calculator Sections of Math) v: Before Testing:</w:t>
            </w:r>
            <w:r w:rsidRPr="00736749">
              <w:rPr>
                <w:rFonts w:eastAsia="Times New Roman" w:cstheme="minorHAnsi"/>
                <w:b/>
                <w:bCs/>
                <w:i/>
                <w:iCs/>
                <w:shd w:val="clear" w:color="auto" w:fill="FFFFFF"/>
              </w:rPr>
              <w:t xml:space="preserve"> </w:t>
            </w:r>
            <w:r w:rsidRPr="00736749">
              <w:rPr>
                <w:rFonts w:eastAsia="Times New Roman" w:cstheme="minorHAnsi"/>
                <w:i/>
                <w:iCs/>
                <w:shd w:val="clear" w:color="auto" w:fill="FFFFFF"/>
              </w:rPr>
              <w:t xml:space="preserve">Materials: Pop-up calculators (compatible with TI and </w:t>
            </w:r>
            <w:proofErr w:type="spellStart"/>
            <w:r w:rsidRPr="00736749">
              <w:rPr>
                <w:rFonts w:eastAsia="Times New Roman" w:cstheme="minorHAnsi"/>
                <w:i/>
                <w:iCs/>
                <w:shd w:val="clear" w:color="auto" w:fill="FFFFFF"/>
              </w:rPr>
              <w:t>Desmos</w:t>
            </w:r>
            <w:proofErr w:type="spellEnd"/>
            <w:r w:rsidRPr="00736749">
              <w:rPr>
                <w:rFonts w:eastAsia="Times New Roman" w:cstheme="minorHAnsi"/>
                <w:i/>
                <w:iCs/>
                <w:shd w:val="clear" w:color="auto" w:fill="FFFFFF"/>
              </w:rPr>
              <w:t>)</w:t>
            </w:r>
          </w:p>
          <w:p w:rsidR="009A176D" w:rsidRPr="00736749" w:rsidRDefault="009A176D" w:rsidP="009A176D">
            <w:pPr>
              <w:spacing w:before="100" w:beforeAutospacing="1" w:after="100" w:afterAutospacing="1"/>
              <w:rPr>
                <w:rFonts w:eastAsia="Times New Roman" w:cstheme="minorHAnsi"/>
                <w:color w:val="000000"/>
              </w:rPr>
            </w:pPr>
            <w:r w:rsidRPr="00736749">
              <w:rPr>
                <w:rFonts w:eastAsia="Times New Roman" w:cstheme="minorHAnsi"/>
                <w:shd w:val="clear" w:color="auto" w:fill="FFFFFF"/>
              </w:rPr>
              <w:t xml:space="preserve">Regarding the statement “compatible with TI and </w:t>
            </w:r>
            <w:proofErr w:type="spellStart"/>
            <w:r w:rsidRPr="00736749">
              <w:rPr>
                <w:rFonts w:eastAsia="Times New Roman" w:cstheme="minorHAnsi"/>
                <w:shd w:val="clear" w:color="auto" w:fill="FFFFFF"/>
              </w:rPr>
              <w:t>Desmos</w:t>
            </w:r>
            <w:proofErr w:type="spellEnd"/>
            <w:r w:rsidRPr="00736749">
              <w:rPr>
                <w:rFonts w:eastAsia="Times New Roman" w:cstheme="minorHAnsi"/>
                <w:shd w:val="clear" w:color="auto" w:fill="FFFFFF"/>
              </w:rPr>
              <w:t xml:space="preserve">” – do both TI and </w:t>
            </w:r>
            <w:proofErr w:type="spellStart"/>
            <w:r w:rsidRPr="00736749">
              <w:rPr>
                <w:rFonts w:eastAsia="Times New Roman" w:cstheme="minorHAnsi"/>
                <w:shd w:val="clear" w:color="auto" w:fill="FFFFFF"/>
              </w:rPr>
              <w:t>Desmos</w:t>
            </w:r>
            <w:proofErr w:type="spellEnd"/>
            <w:r w:rsidRPr="00736749">
              <w:rPr>
                <w:rFonts w:eastAsia="Times New Roman" w:cstheme="minorHAnsi"/>
                <w:shd w:val="clear" w:color="auto" w:fill="FFFFFF"/>
              </w:rPr>
              <w:t xml:space="preserve"> versions need to be offered in the online system?</w:t>
            </w:r>
          </w:p>
        </w:tc>
        <w:tc>
          <w:tcPr>
            <w:tcW w:w="7065" w:type="dxa"/>
            <w:vAlign w:val="center"/>
          </w:tcPr>
          <w:p w:rsidR="009A176D" w:rsidRPr="00736749" w:rsidRDefault="009A176D" w:rsidP="004A1670">
            <w:pPr>
              <w:rPr>
                <w:rFonts w:cstheme="minorHAnsi"/>
              </w:rPr>
            </w:pPr>
            <w:r w:rsidRPr="00736749">
              <w:rPr>
                <w:rFonts w:cstheme="minorHAnsi"/>
              </w:rPr>
              <w:t xml:space="preserve">Yes. Both are preferred, but </w:t>
            </w:r>
            <w:r w:rsidR="004A1670" w:rsidRPr="00736749">
              <w:rPr>
                <w:rFonts w:cstheme="minorHAnsi"/>
              </w:rPr>
              <w:t>O</w:t>
            </w:r>
            <w:r w:rsidRPr="00736749">
              <w:rPr>
                <w:rFonts w:cstheme="minorHAnsi"/>
              </w:rPr>
              <w:t>fferor may indicate availability per category, CAP, AWD, and NAP per page 42.</w:t>
            </w:r>
          </w:p>
        </w:tc>
        <w:tc>
          <w:tcPr>
            <w:tcW w:w="1470" w:type="dxa"/>
            <w:vAlign w:val="center"/>
          </w:tcPr>
          <w:p w:rsidR="009A176D" w:rsidRPr="00736749" w:rsidRDefault="00553767" w:rsidP="009A176D">
            <w:pPr>
              <w:jc w:val="center"/>
              <w:rPr>
                <w:rFonts w:cstheme="minorHAnsi"/>
              </w:rPr>
            </w:pPr>
            <w:r w:rsidRPr="00736749">
              <w:rPr>
                <w:rFonts w:cstheme="minorHAnsi"/>
              </w:rPr>
              <w:t>IV.H.3</w:t>
            </w:r>
          </w:p>
          <w:p w:rsidR="00553767" w:rsidRPr="00736749" w:rsidRDefault="00553767" w:rsidP="009A176D">
            <w:pPr>
              <w:jc w:val="center"/>
              <w:rPr>
                <w:rFonts w:cstheme="minorHAnsi"/>
              </w:rPr>
            </w:pPr>
            <w:r w:rsidRPr="00736749">
              <w:rPr>
                <w:rFonts w:cstheme="minorHAnsi"/>
              </w:rPr>
              <w:t>Table 17</w:t>
            </w:r>
          </w:p>
        </w:tc>
        <w:tc>
          <w:tcPr>
            <w:tcW w:w="818" w:type="dxa"/>
            <w:vAlign w:val="center"/>
          </w:tcPr>
          <w:p w:rsidR="009A176D" w:rsidRPr="00736749" w:rsidRDefault="00553767" w:rsidP="009A176D">
            <w:pPr>
              <w:jc w:val="center"/>
              <w:rPr>
                <w:rFonts w:cstheme="minorHAnsi"/>
              </w:rPr>
            </w:pPr>
            <w:r w:rsidRPr="00736749">
              <w:rPr>
                <w:rFonts w:cstheme="minorHAnsi"/>
              </w:rPr>
              <w:t>43</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21</w:t>
            </w:r>
          </w:p>
        </w:tc>
        <w:tc>
          <w:tcPr>
            <w:tcW w:w="2735" w:type="dxa"/>
          </w:tcPr>
          <w:p w:rsidR="009A176D" w:rsidRPr="00736749" w:rsidRDefault="009A176D" w:rsidP="009A176D">
            <w:pPr>
              <w:rPr>
                <w:rFonts w:eastAsia="Times New Roman" w:cstheme="minorHAnsi"/>
              </w:rPr>
            </w:pPr>
            <w:r w:rsidRPr="00736749">
              <w:rPr>
                <w:rFonts w:eastAsia="Times New Roman" w:cstheme="minorHAnsi"/>
                <w:shd w:val="clear" w:color="auto" w:fill="FFFFFF"/>
              </w:rPr>
              <w:t>Should due date for Fully Functional practice test be Oct 1 2019 instead of 2020?</w:t>
            </w:r>
          </w:p>
        </w:tc>
        <w:tc>
          <w:tcPr>
            <w:tcW w:w="7065" w:type="dxa"/>
            <w:vAlign w:val="center"/>
          </w:tcPr>
          <w:p w:rsidR="009A176D" w:rsidRPr="00736749" w:rsidRDefault="009A176D" w:rsidP="009A176D">
            <w:pPr>
              <w:rPr>
                <w:rFonts w:cstheme="minorHAnsi"/>
              </w:rPr>
            </w:pPr>
            <w:r w:rsidRPr="00736749">
              <w:rPr>
                <w:rFonts w:cstheme="minorHAnsi"/>
              </w:rPr>
              <w:t>Yes, this should be Oct 1, 2019. Please see Amendment No. 2.</w:t>
            </w:r>
          </w:p>
        </w:tc>
        <w:tc>
          <w:tcPr>
            <w:tcW w:w="1470" w:type="dxa"/>
            <w:vAlign w:val="center"/>
          </w:tcPr>
          <w:p w:rsidR="009A176D" w:rsidRPr="00736749" w:rsidRDefault="00553767" w:rsidP="009A176D">
            <w:pPr>
              <w:jc w:val="center"/>
              <w:rPr>
                <w:rFonts w:cstheme="minorHAnsi"/>
              </w:rPr>
            </w:pPr>
            <w:r w:rsidRPr="00736749">
              <w:rPr>
                <w:rFonts w:cstheme="minorHAnsi"/>
              </w:rPr>
              <w:t>IV.L</w:t>
            </w:r>
          </w:p>
        </w:tc>
        <w:tc>
          <w:tcPr>
            <w:tcW w:w="818" w:type="dxa"/>
            <w:vAlign w:val="center"/>
          </w:tcPr>
          <w:p w:rsidR="009A176D" w:rsidRPr="00736749" w:rsidRDefault="00553767" w:rsidP="009A176D">
            <w:pPr>
              <w:jc w:val="center"/>
              <w:rPr>
                <w:rFonts w:cstheme="minorHAnsi"/>
              </w:rPr>
            </w:pPr>
            <w:r w:rsidRPr="00736749">
              <w:rPr>
                <w:rFonts w:cstheme="minorHAnsi"/>
              </w:rPr>
              <w:t>56</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22</w:t>
            </w:r>
          </w:p>
        </w:tc>
        <w:tc>
          <w:tcPr>
            <w:tcW w:w="2735" w:type="dxa"/>
          </w:tcPr>
          <w:p w:rsidR="009A176D" w:rsidRPr="00736749" w:rsidRDefault="009A176D" w:rsidP="009A176D">
            <w:pPr>
              <w:rPr>
                <w:rFonts w:eastAsia="Times New Roman" w:cstheme="minorHAnsi"/>
              </w:rPr>
            </w:pPr>
            <w:r w:rsidRPr="00736749">
              <w:rPr>
                <w:rFonts w:eastAsia="Times New Roman" w:cstheme="minorHAnsi"/>
                <w:shd w:val="clear" w:color="auto" w:fill="FFFFFF"/>
              </w:rPr>
              <w:t>Does the state have a milestone due date for when the test administration portal should be available to allow administrators to add and edit students and create test sessions and technology?</w:t>
            </w:r>
          </w:p>
        </w:tc>
        <w:tc>
          <w:tcPr>
            <w:tcW w:w="7065" w:type="dxa"/>
            <w:vAlign w:val="center"/>
          </w:tcPr>
          <w:p w:rsidR="009A176D" w:rsidRPr="00736749" w:rsidRDefault="004A1670" w:rsidP="004A1670">
            <w:pPr>
              <w:rPr>
                <w:rFonts w:cstheme="minorHAnsi"/>
              </w:rPr>
            </w:pPr>
            <w:r w:rsidRPr="00736749">
              <w:rPr>
                <w:rFonts w:cstheme="minorHAnsi"/>
              </w:rPr>
              <w:t xml:space="preserve">This date will be negotiated with the Contractor once the contract has been awarded. </w:t>
            </w:r>
          </w:p>
        </w:tc>
        <w:tc>
          <w:tcPr>
            <w:tcW w:w="1470" w:type="dxa"/>
            <w:vAlign w:val="center"/>
          </w:tcPr>
          <w:p w:rsidR="009A176D" w:rsidRPr="00736749" w:rsidRDefault="00BF59EF" w:rsidP="009A176D">
            <w:pPr>
              <w:jc w:val="center"/>
              <w:rPr>
                <w:rFonts w:cstheme="minorHAnsi"/>
              </w:rPr>
            </w:pPr>
            <w:r w:rsidRPr="00736749">
              <w:rPr>
                <w:rFonts w:cstheme="minorHAnsi"/>
              </w:rPr>
              <w:t>IV.L</w:t>
            </w:r>
          </w:p>
        </w:tc>
        <w:tc>
          <w:tcPr>
            <w:tcW w:w="818" w:type="dxa"/>
            <w:vAlign w:val="center"/>
          </w:tcPr>
          <w:p w:rsidR="009A176D" w:rsidRPr="00736749" w:rsidRDefault="00BF59EF" w:rsidP="009A176D">
            <w:pPr>
              <w:jc w:val="center"/>
              <w:rPr>
                <w:rFonts w:cstheme="minorHAnsi"/>
              </w:rPr>
            </w:pPr>
            <w:r w:rsidRPr="00736749">
              <w:rPr>
                <w:rFonts w:cstheme="minorHAnsi"/>
              </w:rPr>
              <w:t>56</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23</w:t>
            </w:r>
          </w:p>
        </w:tc>
        <w:tc>
          <w:tcPr>
            <w:tcW w:w="2735" w:type="dxa"/>
          </w:tcPr>
          <w:p w:rsidR="009A176D" w:rsidRPr="00736749" w:rsidRDefault="009A176D" w:rsidP="009A176D">
            <w:pPr>
              <w:rPr>
                <w:rFonts w:eastAsia="Times New Roman" w:cstheme="minorHAnsi"/>
              </w:rPr>
            </w:pPr>
            <w:r w:rsidRPr="00736749">
              <w:rPr>
                <w:rFonts w:eastAsia="Times New Roman" w:cstheme="minorHAnsi"/>
                <w:shd w:val="clear" w:color="auto" w:fill="FFFFFF"/>
              </w:rPr>
              <w:t>Does the state have a milestone due date for when the student testing application should be available to install on student test devices?</w:t>
            </w:r>
          </w:p>
        </w:tc>
        <w:tc>
          <w:tcPr>
            <w:tcW w:w="7065" w:type="dxa"/>
            <w:vAlign w:val="center"/>
          </w:tcPr>
          <w:p w:rsidR="009A176D" w:rsidRPr="00736749" w:rsidRDefault="009A176D" w:rsidP="009A176D">
            <w:pPr>
              <w:rPr>
                <w:rFonts w:cstheme="minorHAnsi"/>
              </w:rPr>
            </w:pPr>
            <w:r w:rsidRPr="00736749">
              <w:rPr>
                <w:rFonts w:cstheme="minorHAnsi"/>
              </w:rPr>
              <w:t>PED does not have a milestone due date. However, the practice test requirement states “</w:t>
            </w:r>
            <w:r w:rsidRPr="00736749">
              <w:rPr>
                <w:sz w:val="23"/>
                <w:szCs w:val="23"/>
              </w:rPr>
              <w:t>The Offeror is responsible to create fully operational practice tests for summative assessments so that all students can experience an authentic testing event and their teachers can see how students interact with the test administration platform.” The milestone date for the practice test is October 1, 2019.</w:t>
            </w:r>
          </w:p>
        </w:tc>
        <w:tc>
          <w:tcPr>
            <w:tcW w:w="1470" w:type="dxa"/>
            <w:vAlign w:val="center"/>
          </w:tcPr>
          <w:p w:rsidR="009A176D" w:rsidRPr="00736749" w:rsidRDefault="009A176D" w:rsidP="009A176D">
            <w:pPr>
              <w:jc w:val="center"/>
              <w:rPr>
                <w:rFonts w:cstheme="minorHAnsi"/>
              </w:rPr>
            </w:pPr>
            <w:r w:rsidRPr="00736749">
              <w:rPr>
                <w:rFonts w:cstheme="minorHAnsi"/>
              </w:rPr>
              <w:t>IV.EE.3.b.</w:t>
            </w:r>
          </w:p>
        </w:tc>
        <w:tc>
          <w:tcPr>
            <w:tcW w:w="818" w:type="dxa"/>
            <w:vAlign w:val="center"/>
          </w:tcPr>
          <w:p w:rsidR="009A176D" w:rsidRPr="00736749" w:rsidRDefault="009A176D" w:rsidP="009A176D">
            <w:pPr>
              <w:jc w:val="center"/>
              <w:rPr>
                <w:rFonts w:cstheme="minorHAnsi"/>
              </w:rPr>
            </w:pPr>
            <w:r w:rsidRPr="00736749">
              <w:rPr>
                <w:rFonts w:cstheme="minorHAnsi"/>
              </w:rPr>
              <w:t>121</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24</w:t>
            </w:r>
          </w:p>
        </w:tc>
        <w:tc>
          <w:tcPr>
            <w:tcW w:w="2735" w:type="dxa"/>
          </w:tcPr>
          <w:p w:rsidR="009A176D" w:rsidRPr="00736749" w:rsidRDefault="009A176D" w:rsidP="009A176D">
            <w:pPr>
              <w:rPr>
                <w:rFonts w:eastAsia="Times New Roman" w:cstheme="minorHAnsi"/>
              </w:rPr>
            </w:pPr>
            <w:r w:rsidRPr="00736749">
              <w:rPr>
                <w:rFonts w:eastAsia="Times New Roman" w:cstheme="minorHAnsi"/>
                <w:shd w:val="clear" w:color="auto" w:fill="FFFFFF"/>
              </w:rPr>
              <w:t xml:space="preserve">Please identify the applicable service groups for </w:t>
            </w:r>
            <w:r w:rsidRPr="00736749">
              <w:rPr>
                <w:rFonts w:eastAsia="Times New Roman" w:cs="Arial"/>
              </w:rPr>
              <w:t>IV.R.2. Content Standards</w:t>
            </w:r>
            <w:r w:rsidRPr="00736749">
              <w:rPr>
                <w:rFonts w:eastAsia="Times New Roman" w:cstheme="minorHAnsi"/>
                <w:shd w:val="clear" w:color="auto" w:fill="FFFFFF"/>
              </w:rPr>
              <w:t xml:space="preserve"> requirement.</w:t>
            </w:r>
          </w:p>
        </w:tc>
        <w:tc>
          <w:tcPr>
            <w:tcW w:w="7065" w:type="dxa"/>
            <w:vAlign w:val="center"/>
          </w:tcPr>
          <w:p w:rsidR="009A176D" w:rsidRPr="00736749" w:rsidRDefault="009F1ADA" w:rsidP="009A176D">
            <w:pPr>
              <w:rPr>
                <w:rFonts w:cstheme="minorHAnsi"/>
              </w:rPr>
            </w:pPr>
            <w:r>
              <w:rPr>
                <w:rFonts w:cstheme="minorHAnsi"/>
              </w:rPr>
              <w:t>Offeror Response boxes have</w:t>
            </w:r>
            <w:r w:rsidR="009A176D" w:rsidRPr="00736749">
              <w:rPr>
                <w:rFonts w:cstheme="minorHAnsi"/>
              </w:rPr>
              <w:t xml:space="preserve"> been added to Amendment No. 2 with the following service groups identified. </w:t>
            </w:r>
          </w:p>
          <w:p w:rsidR="009A176D" w:rsidRPr="00736749" w:rsidRDefault="009A176D" w:rsidP="009A176D">
            <w:pPr>
              <w:rPr>
                <w:rFonts w:cstheme="minorHAnsi"/>
                <w:b/>
                <w:bCs/>
              </w:rPr>
            </w:pPr>
            <w:r w:rsidRPr="00736749">
              <w:rPr>
                <w:rFonts w:cstheme="minorHAnsi"/>
                <w:b/>
                <w:bCs/>
              </w:rPr>
              <w:t>For section IV.R</w:t>
            </w:r>
            <w:r w:rsidR="00553767" w:rsidRPr="00736749">
              <w:rPr>
                <w:rFonts w:cstheme="minorHAnsi"/>
                <w:b/>
                <w:bCs/>
              </w:rPr>
              <w:t>.</w:t>
            </w:r>
            <w:r w:rsidRPr="00736749">
              <w:rPr>
                <w:rFonts w:cstheme="minorHAnsi"/>
                <w:b/>
                <w:bCs/>
              </w:rPr>
              <w:t>2</w:t>
            </w:r>
          </w:p>
          <w:p w:rsidR="009A176D" w:rsidRPr="00736749" w:rsidRDefault="009A176D" w:rsidP="009A176D">
            <w:pPr>
              <w:rPr>
                <w:rFonts w:cstheme="minorHAnsi"/>
                <w:b/>
                <w:bCs/>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9A176D" w:rsidRPr="00736749" w:rsidTr="00710B2D">
              <w:trPr>
                <w:cantSplit/>
                <w:tblHeader/>
              </w:trPr>
              <w:tc>
                <w:tcPr>
                  <w:tcW w:w="5000" w:type="pct"/>
                  <w:shd w:val="clear" w:color="auto" w:fill="7F7F7F" w:themeFill="text1" w:themeFillTint="80"/>
                </w:tcPr>
                <w:p w:rsidR="009A176D" w:rsidRPr="00736749" w:rsidRDefault="009A176D" w:rsidP="009A176D">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9A176D" w:rsidRPr="00736749" w:rsidTr="00710B2D">
              <w:trPr>
                <w:cantSplit/>
                <w:tblHeader/>
              </w:trPr>
              <w:tc>
                <w:tcPr>
                  <w:tcW w:w="5000" w:type="pct"/>
                  <w:shd w:val="clear" w:color="auto" w:fill="E5DFEC" w:themeFill="accent4" w:themeFillTint="33"/>
                </w:tcPr>
                <w:p w:rsidR="009A176D" w:rsidRPr="00736749" w:rsidRDefault="009A176D" w:rsidP="009A176D">
                  <w:pPr>
                    <w:rPr>
                      <w:rStyle w:val="TableContents"/>
                      <w:i/>
                      <w:iCs/>
                    </w:rPr>
                  </w:pPr>
                  <w:r w:rsidRPr="00736749">
                    <w:rPr>
                      <w:rStyle w:val="TableContents"/>
                      <w:i/>
                      <w:iCs/>
                    </w:rPr>
                    <w:t>Applicable to service group(s) A3</w:t>
                  </w:r>
                </w:p>
              </w:tc>
            </w:tr>
            <w:tr w:rsidR="009A176D" w:rsidRPr="00736749" w:rsidTr="00710B2D">
              <w:tc>
                <w:tcPr>
                  <w:tcW w:w="5000" w:type="pct"/>
                </w:tcPr>
                <w:p w:rsidR="009A176D" w:rsidRPr="00736749" w:rsidRDefault="009A176D" w:rsidP="009A176D"/>
              </w:tc>
            </w:tr>
          </w:tbl>
          <w:p w:rsidR="009A176D" w:rsidRPr="00736749" w:rsidRDefault="009A176D" w:rsidP="009A176D">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9A176D" w:rsidRPr="00736749" w:rsidTr="00710B2D">
              <w:trPr>
                <w:cantSplit/>
                <w:tblHeader/>
              </w:trPr>
              <w:tc>
                <w:tcPr>
                  <w:tcW w:w="5000" w:type="pct"/>
                  <w:shd w:val="clear" w:color="auto" w:fill="7F7F7F" w:themeFill="text1" w:themeFillTint="80"/>
                </w:tcPr>
                <w:p w:rsidR="009A176D" w:rsidRPr="00736749" w:rsidRDefault="009A176D" w:rsidP="009A176D">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9A176D" w:rsidRPr="00736749" w:rsidTr="00710B2D">
              <w:trPr>
                <w:cantSplit/>
                <w:tblHeader/>
              </w:trPr>
              <w:tc>
                <w:tcPr>
                  <w:tcW w:w="5000" w:type="pct"/>
                  <w:shd w:val="clear" w:color="auto" w:fill="E5DFEC" w:themeFill="accent4" w:themeFillTint="33"/>
                </w:tcPr>
                <w:p w:rsidR="009A176D" w:rsidRPr="00736749" w:rsidRDefault="009A176D" w:rsidP="009A176D">
                  <w:pPr>
                    <w:rPr>
                      <w:rStyle w:val="TableContents"/>
                      <w:i/>
                      <w:iCs/>
                    </w:rPr>
                  </w:pPr>
                  <w:r w:rsidRPr="00736749">
                    <w:rPr>
                      <w:rStyle w:val="TableContents"/>
                      <w:i/>
                      <w:iCs/>
                    </w:rPr>
                    <w:t>Applicable to service group(s) B</w:t>
                  </w:r>
                </w:p>
              </w:tc>
            </w:tr>
            <w:tr w:rsidR="009A176D" w:rsidRPr="00736749" w:rsidTr="00710B2D">
              <w:tc>
                <w:tcPr>
                  <w:tcW w:w="5000" w:type="pct"/>
                </w:tcPr>
                <w:p w:rsidR="009A176D" w:rsidRPr="00736749" w:rsidRDefault="009A176D" w:rsidP="009A176D"/>
              </w:tc>
            </w:tr>
          </w:tbl>
          <w:p w:rsidR="009A176D" w:rsidRPr="00736749" w:rsidRDefault="009A176D" w:rsidP="009A176D">
            <w:pPr>
              <w:rPr>
                <w:rFonts w:cstheme="minorHAnsi"/>
              </w:rPr>
            </w:pPr>
          </w:p>
        </w:tc>
        <w:tc>
          <w:tcPr>
            <w:tcW w:w="1470" w:type="dxa"/>
            <w:vAlign w:val="center"/>
          </w:tcPr>
          <w:p w:rsidR="009A176D" w:rsidRPr="00736749" w:rsidRDefault="00553767" w:rsidP="009A176D">
            <w:pPr>
              <w:jc w:val="center"/>
              <w:rPr>
                <w:rFonts w:cstheme="minorHAnsi"/>
              </w:rPr>
            </w:pPr>
            <w:r w:rsidRPr="00736749">
              <w:rPr>
                <w:rFonts w:cstheme="minorHAnsi"/>
              </w:rPr>
              <w:t>IV.R.2</w:t>
            </w:r>
          </w:p>
        </w:tc>
        <w:tc>
          <w:tcPr>
            <w:tcW w:w="818" w:type="dxa"/>
            <w:vAlign w:val="center"/>
          </w:tcPr>
          <w:p w:rsidR="009A176D" w:rsidRPr="00736749" w:rsidRDefault="00553767" w:rsidP="009A176D">
            <w:pPr>
              <w:jc w:val="center"/>
              <w:rPr>
                <w:rFonts w:cstheme="minorHAnsi"/>
              </w:rPr>
            </w:pPr>
            <w:r w:rsidRPr="00736749">
              <w:rPr>
                <w:rFonts w:cstheme="minorHAnsi"/>
              </w:rPr>
              <w:t>66</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25</w:t>
            </w:r>
          </w:p>
        </w:tc>
        <w:tc>
          <w:tcPr>
            <w:tcW w:w="2735" w:type="dxa"/>
          </w:tcPr>
          <w:p w:rsidR="009A176D" w:rsidRPr="00736749" w:rsidRDefault="009A176D" w:rsidP="009A176D">
            <w:pPr>
              <w:rPr>
                <w:rFonts w:eastAsia="Times New Roman" w:cstheme="minorHAnsi"/>
              </w:rPr>
            </w:pPr>
            <w:r w:rsidRPr="00736749">
              <w:rPr>
                <w:rFonts w:eastAsia="Times New Roman" w:cstheme="minorHAnsi"/>
                <w:shd w:val="clear" w:color="auto" w:fill="FFFFFF"/>
              </w:rPr>
              <w:t>Are manuals intended to be online only or hardcopy</w:t>
            </w:r>
            <w:r w:rsidR="000E6700" w:rsidRPr="00736749">
              <w:rPr>
                <w:rFonts w:eastAsia="Times New Roman" w:cstheme="minorHAnsi"/>
                <w:shd w:val="clear" w:color="auto" w:fill="FFFFFF"/>
              </w:rPr>
              <w:t>?</w:t>
            </w:r>
          </w:p>
        </w:tc>
        <w:tc>
          <w:tcPr>
            <w:tcW w:w="7065" w:type="dxa"/>
            <w:vAlign w:val="center"/>
          </w:tcPr>
          <w:p w:rsidR="009A176D" w:rsidRPr="00736749" w:rsidRDefault="000E6700" w:rsidP="000E6700">
            <w:pPr>
              <w:rPr>
                <w:rFonts w:cstheme="minorHAnsi"/>
              </w:rPr>
            </w:pPr>
            <w:r w:rsidRPr="00736749">
              <w:rPr>
                <w:rFonts w:cstheme="minorHAnsi"/>
              </w:rPr>
              <w:t xml:space="preserve">Both. </w:t>
            </w:r>
            <w:r w:rsidR="009A176D" w:rsidRPr="00736749">
              <w:rPr>
                <w:rFonts w:cstheme="minorHAnsi"/>
              </w:rPr>
              <w:t xml:space="preserve">As noted in Table 19, hardcopy manuals are due to arrive in district by March 23, 2020. </w:t>
            </w:r>
          </w:p>
        </w:tc>
        <w:tc>
          <w:tcPr>
            <w:tcW w:w="1470" w:type="dxa"/>
            <w:vAlign w:val="center"/>
          </w:tcPr>
          <w:p w:rsidR="009A176D" w:rsidRPr="00736749" w:rsidRDefault="009A176D" w:rsidP="009A176D">
            <w:pPr>
              <w:jc w:val="center"/>
              <w:rPr>
                <w:rFonts w:cstheme="minorHAnsi"/>
              </w:rPr>
            </w:pPr>
            <w:r w:rsidRPr="00736749">
              <w:rPr>
                <w:rFonts w:cstheme="minorHAnsi"/>
              </w:rPr>
              <w:t>IV.L</w:t>
            </w:r>
          </w:p>
          <w:p w:rsidR="00553767" w:rsidRPr="00736749" w:rsidRDefault="00553767" w:rsidP="009A176D">
            <w:pPr>
              <w:jc w:val="center"/>
              <w:rPr>
                <w:rFonts w:cstheme="minorHAnsi"/>
              </w:rPr>
            </w:pPr>
            <w:r w:rsidRPr="00736749">
              <w:rPr>
                <w:rFonts w:cstheme="minorHAnsi"/>
              </w:rPr>
              <w:t>IV.V.4</w:t>
            </w:r>
          </w:p>
        </w:tc>
        <w:tc>
          <w:tcPr>
            <w:tcW w:w="818" w:type="dxa"/>
            <w:vAlign w:val="center"/>
          </w:tcPr>
          <w:p w:rsidR="009A176D" w:rsidRPr="00736749" w:rsidRDefault="009A176D" w:rsidP="009A176D">
            <w:pPr>
              <w:jc w:val="center"/>
              <w:rPr>
                <w:rFonts w:cstheme="minorHAnsi"/>
              </w:rPr>
            </w:pPr>
            <w:r w:rsidRPr="00736749">
              <w:rPr>
                <w:rFonts w:cstheme="minorHAnsi"/>
              </w:rPr>
              <w:t>56</w:t>
            </w:r>
          </w:p>
          <w:p w:rsidR="00553767" w:rsidRPr="00736749" w:rsidRDefault="00553767" w:rsidP="009A176D">
            <w:pPr>
              <w:jc w:val="center"/>
              <w:rPr>
                <w:rFonts w:cstheme="minorHAnsi"/>
              </w:rPr>
            </w:pPr>
            <w:r w:rsidRPr="00736749">
              <w:rPr>
                <w:rFonts w:cstheme="minorHAnsi"/>
              </w:rPr>
              <w:t>93</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26</w:t>
            </w:r>
          </w:p>
        </w:tc>
        <w:tc>
          <w:tcPr>
            <w:tcW w:w="2735" w:type="dxa"/>
          </w:tcPr>
          <w:p w:rsidR="009A176D" w:rsidRPr="00736749" w:rsidRDefault="009A176D" w:rsidP="00553767">
            <w:pPr>
              <w:rPr>
                <w:rFonts w:eastAsia="Times New Roman" w:cstheme="minorHAnsi"/>
              </w:rPr>
            </w:pPr>
            <w:r w:rsidRPr="00736749">
              <w:rPr>
                <w:rFonts w:eastAsia="Times New Roman" w:cstheme="minorHAnsi"/>
                <w:shd w:val="clear" w:color="auto" w:fill="FFFFFF"/>
              </w:rPr>
              <w:t xml:space="preserve">Please identify the applicable service groups for </w:t>
            </w:r>
            <w:r w:rsidR="009F1ADA" w:rsidRPr="00736749">
              <w:rPr>
                <w:rFonts w:eastAsia="Times New Roman" w:cs="Arial"/>
              </w:rPr>
              <w:t>IV.Y.3.c</w:t>
            </w:r>
            <w:r w:rsidRPr="00736749">
              <w:rPr>
                <w:rFonts w:eastAsia="Times New Roman" w:cs="Arial"/>
              </w:rPr>
              <w:t xml:space="preserve"> Quality control analyses</w:t>
            </w:r>
            <w:r w:rsidRPr="00736749">
              <w:rPr>
                <w:rFonts w:eastAsia="Times New Roman" w:cstheme="minorHAnsi"/>
                <w:shd w:val="clear" w:color="auto" w:fill="FFFFFF"/>
              </w:rPr>
              <w:t xml:space="preserve"> requirement. </w:t>
            </w:r>
          </w:p>
        </w:tc>
        <w:tc>
          <w:tcPr>
            <w:tcW w:w="7065" w:type="dxa"/>
            <w:vAlign w:val="center"/>
          </w:tcPr>
          <w:p w:rsidR="008C693A" w:rsidRPr="00736749" w:rsidRDefault="008C693A" w:rsidP="008C693A">
            <w:pPr>
              <w:rPr>
                <w:rFonts w:cstheme="minorHAnsi"/>
                <w:bCs/>
              </w:rPr>
            </w:pPr>
            <w:r w:rsidRPr="00736749">
              <w:rPr>
                <w:rFonts w:cstheme="minorHAnsi"/>
                <w:b/>
                <w:bCs/>
              </w:rPr>
              <w:t xml:space="preserve">For IV.Y.3.c  </w:t>
            </w:r>
          </w:p>
          <w:p w:rsidR="008C693A" w:rsidRPr="00736749" w:rsidRDefault="008C693A" w:rsidP="008C693A">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8C693A" w:rsidRPr="00736749" w:rsidTr="00677910">
              <w:trPr>
                <w:cantSplit/>
                <w:tblHeader/>
              </w:trPr>
              <w:tc>
                <w:tcPr>
                  <w:tcW w:w="5000" w:type="pct"/>
                  <w:shd w:val="clear" w:color="auto" w:fill="7F7F7F" w:themeFill="text1" w:themeFillTint="80"/>
                </w:tcPr>
                <w:p w:rsidR="008C693A" w:rsidRPr="00736749" w:rsidRDefault="008C693A" w:rsidP="008C693A">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8C693A" w:rsidRPr="00736749" w:rsidTr="00677910">
              <w:trPr>
                <w:cantSplit/>
                <w:tblHeader/>
              </w:trPr>
              <w:tc>
                <w:tcPr>
                  <w:tcW w:w="5000" w:type="pct"/>
                  <w:shd w:val="clear" w:color="auto" w:fill="E5DFEC" w:themeFill="accent4" w:themeFillTint="33"/>
                </w:tcPr>
                <w:p w:rsidR="008C693A" w:rsidRPr="00736749" w:rsidRDefault="008C693A" w:rsidP="008C693A">
                  <w:pPr>
                    <w:rPr>
                      <w:rStyle w:val="TableContents"/>
                      <w:i/>
                      <w:iCs/>
                    </w:rPr>
                  </w:pPr>
                  <w:r w:rsidRPr="00736749">
                    <w:rPr>
                      <w:rStyle w:val="TableContents"/>
                      <w:i/>
                      <w:iCs/>
                    </w:rPr>
                    <w:t>Applicable to service group(s) A10.</w:t>
                  </w:r>
                </w:p>
              </w:tc>
            </w:tr>
            <w:tr w:rsidR="008C693A" w:rsidRPr="00736749" w:rsidTr="00677910">
              <w:tc>
                <w:tcPr>
                  <w:tcW w:w="5000" w:type="pct"/>
                </w:tcPr>
                <w:p w:rsidR="008C693A" w:rsidRPr="00736749" w:rsidRDefault="008C693A" w:rsidP="008C693A"/>
              </w:tc>
            </w:tr>
          </w:tbl>
          <w:p w:rsidR="00553767" w:rsidRPr="00736749" w:rsidRDefault="008C693A" w:rsidP="00553767">
            <w:pPr>
              <w:rPr>
                <w:rFonts w:cstheme="minorHAnsi"/>
              </w:rPr>
            </w:pPr>
            <w:r w:rsidRPr="00736749">
              <w:t xml:space="preserve">Noted in Amendment No. 2. </w:t>
            </w:r>
          </w:p>
        </w:tc>
        <w:tc>
          <w:tcPr>
            <w:tcW w:w="1470" w:type="dxa"/>
            <w:vAlign w:val="center"/>
          </w:tcPr>
          <w:p w:rsidR="009A176D" w:rsidRPr="00736749" w:rsidRDefault="00553767" w:rsidP="009A176D">
            <w:pPr>
              <w:jc w:val="center"/>
              <w:rPr>
                <w:rFonts w:cstheme="minorHAnsi"/>
              </w:rPr>
            </w:pPr>
            <w:r w:rsidRPr="00736749">
              <w:rPr>
                <w:rFonts w:cstheme="minorHAnsi"/>
              </w:rPr>
              <w:t>IV.Y.3.c</w:t>
            </w:r>
          </w:p>
        </w:tc>
        <w:tc>
          <w:tcPr>
            <w:tcW w:w="818" w:type="dxa"/>
            <w:vAlign w:val="center"/>
          </w:tcPr>
          <w:p w:rsidR="009A176D" w:rsidRPr="00736749" w:rsidRDefault="00553767" w:rsidP="009A176D">
            <w:pPr>
              <w:jc w:val="center"/>
              <w:rPr>
                <w:rFonts w:cstheme="minorHAnsi"/>
              </w:rPr>
            </w:pPr>
            <w:r w:rsidRPr="00736749">
              <w:rPr>
                <w:rFonts w:cstheme="minorHAnsi"/>
              </w:rPr>
              <w:t>104</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27</w:t>
            </w:r>
          </w:p>
        </w:tc>
        <w:tc>
          <w:tcPr>
            <w:tcW w:w="2735" w:type="dxa"/>
          </w:tcPr>
          <w:p w:rsidR="009A176D" w:rsidRPr="00736749" w:rsidRDefault="009A176D" w:rsidP="009A176D">
            <w:pPr>
              <w:rPr>
                <w:rFonts w:eastAsia="Times New Roman" w:cs="Arial"/>
              </w:rPr>
            </w:pPr>
            <w:r w:rsidRPr="00736749">
              <w:rPr>
                <w:rFonts w:eastAsia="Times New Roman" w:cstheme="minorHAnsi"/>
                <w:shd w:val="clear" w:color="auto" w:fill="FFFFFF"/>
              </w:rPr>
              <w:t xml:space="preserve">Between sections </w:t>
            </w:r>
            <w:r w:rsidRPr="00736749">
              <w:rPr>
                <w:rFonts w:eastAsia="Times New Roman" w:cs="Arial"/>
              </w:rPr>
              <w:t xml:space="preserve">IV.AA.4. Consideration of Audiences </w:t>
            </w:r>
          </w:p>
          <w:p w:rsidR="009A176D" w:rsidRPr="00736749" w:rsidRDefault="009A176D" w:rsidP="009A176D">
            <w:pPr>
              <w:rPr>
                <w:rFonts w:eastAsia="Times New Roman" w:cs="Arial"/>
              </w:rPr>
            </w:pPr>
            <w:r w:rsidRPr="00736749">
              <w:rPr>
                <w:rFonts w:eastAsia="Times New Roman" w:cs="Arial"/>
              </w:rPr>
              <w:t>&amp; IV.AA.8. Parent Reports</w:t>
            </w:r>
            <w:r w:rsidRPr="00736749">
              <w:rPr>
                <w:rFonts w:eastAsia="Times New Roman" w:cstheme="minorHAnsi"/>
                <w:shd w:val="clear" w:color="auto" w:fill="FFFFFF"/>
              </w:rPr>
              <w:t xml:space="preserve"> there is reference that parent reports are to be in paper form, and a statement that the parent reports are printed by districts or schools. </w:t>
            </w:r>
          </w:p>
          <w:p w:rsidR="009A176D" w:rsidRPr="00736749" w:rsidRDefault="009A176D" w:rsidP="009A176D">
            <w:pPr>
              <w:rPr>
                <w:rFonts w:eastAsia="Times New Roman" w:cstheme="minorHAnsi"/>
              </w:rPr>
            </w:pPr>
            <w:r w:rsidRPr="00736749">
              <w:rPr>
                <w:rFonts w:eastAsia="Times New Roman" w:cstheme="minorHAnsi"/>
                <w:shd w:val="clear" w:color="auto" w:fill="FFFFFF"/>
              </w:rPr>
              <w:t xml:space="preserve">Will the State confirm that all reports will be either electronic from the vendor or printed by district/school staff? </w:t>
            </w:r>
          </w:p>
        </w:tc>
        <w:tc>
          <w:tcPr>
            <w:tcW w:w="7065" w:type="dxa"/>
            <w:vAlign w:val="center"/>
          </w:tcPr>
          <w:p w:rsidR="009A176D" w:rsidRPr="00736749" w:rsidRDefault="000E6700" w:rsidP="000E6700">
            <w:pPr>
              <w:rPr>
                <w:rFonts w:cstheme="minorHAnsi"/>
              </w:rPr>
            </w:pPr>
            <w:r w:rsidRPr="00736749">
              <w:rPr>
                <w:rFonts w:cstheme="minorHAnsi"/>
              </w:rPr>
              <w:t>Summative ISRs must be printed and shipped hard copy to districts/schools. Districts can also print additional copies of summative ISRs for their use. Interim reports should include a printable option for LEA use, which could also extend to sharing with parents. Both Summative and Interim results should be available via an online portal/data dashboard. See Amendment No. 2.</w:t>
            </w:r>
          </w:p>
        </w:tc>
        <w:tc>
          <w:tcPr>
            <w:tcW w:w="1470" w:type="dxa"/>
            <w:vAlign w:val="center"/>
          </w:tcPr>
          <w:p w:rsidR="009A176D" w:rsidRPr="00736749" w:rsidRDefault="00BF59EF" w:rsidP="009A176D">
            <w:pPr>
              <w:jc w:val="center"/>
              <w:rPr>
                <w:rFonts w:cstheme="minorHAnsi"/>
              </w:rPr>
            </w:pPr>
            <w:r w:rsidRPr="00736749">
              <w:rPr>
                <w:rFonts w:cstheme="minorHAnsi"/>
              </w:rPr>
              <w:t>IV.AA.4</w:t>
            </w:r>
          </w:p>
          <w:p w:rsidR="00BF59EF" w:rsidRPr="00736749" w:rsidRDefault="00BF59EF" w:rsidP="009A176D">
            <w:pPr>
              <w:jc w:val="center"/>
              <w:rPr>
                <w:rFonts w:cstheme="minorHAnsi"/>
              </w:rPr>
            </w:pPr>
            <w:r w:rsidRPr="00736749">
              <w:rPr>
                <w:rFonts w:cstheme="minorHAnsi"/>
              </w:rPr>
              <w:t>IV.AA.8</w:t>
            </w:r>
          </w:p>
        </w:tc>
        <w:tc>
          <w:tcPr>
            <w:tcW w:w="818" w:type="dxa"/>
            <w:vAlign w:val="center"/>
          </w:tcPr>
          <w:p w:rsidR="009A176D" w:rsidRPr="00736749" w:rsidRDefault="00BF59EF" w:rsidP="009A176D">
            <w:pPr>
              <w:jc w:val="center"/>
              <w:rPr>
                <w:rFonts w:cstheme="minorHAnsi"/>
              </w:rPr>
            </w:pPr>
            <w:r w:rsidRPr="00736749">
              <w:rPr>
                <w:rFonts w:cstheme="minorHAnsi"/>
              </w:rPr>
              <w:t>111 - 113</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28</w:t>
            </w:r>
          </w:p>
        </w:tc>
        <w:tc>
          <w:tcPr>
            <w:tcW w:w="2735" w:type="dxa"/>
          </w:tcPr>
          <w:p w:rsidR="009A176D" w:rsidRPr="00736749" w:rsidRDefault="009A176D" w:rsidP="009A176D">
            <w:pPr>
              <w:rPr>
                <w:rFonts w:eastAsia="Times New Roman" w:cstheme="minorHAnsi"/>
              </w:rPr>
            </w:pPr>
            <w:r w:rsidRPr="00736749">
              <w:rPr>
                <w:rFonts w:eastAsia="Times New Roman" w:cstheme="minorHAnsi"/>
              </w:rPr>
              <w:t xml:space="preserve">Please clarify what the requirement is with respect to the OFFEROR RESPONSE, Applicable to service groups G1, G2, and D7 for </w:t>
            </w:r>
            <w:r w:rsidRPr="00736749">
              <w:rPr>
                <w:rFonts w:eastAsia="Times New Roman" w:cs="Arial"/>
              </w:rPr>
              <w:t>IV.BB. Test and Data Security, Data Integrity, and Data Privacy</w:t>
            </w:r>
            <w:r w:rsidRPr="00736749">
              <w:rPr>
                <w:rFonts w:eastAsia="Times New Roman" w:cstheme="minorHAnsi"/>
              </w:rPr>
              <w:t>.  </w:t>
            </w:r>
          </w:p>
        </w:tc>
        <w:tc>
          <w:tcPr>
            <w:tcW w:w="7065" w:type="dxa"/>
            <w:vAlign w:val="center"/>
          </w:tcPr>
          <w:p w:rsidR="009A176D" w:rsidRPr="00736749" w:rsidRDefault="00F2142E" w:rsidP="009A176D">
            <w:pPr>
              <w:rPr>
                <w:rFonts w:cstheme="minorHAnsi"/>
              </w:rPr>
            </w:pPr>
            <w:r w:rsidRPr="00736749">
              <w:rPr>
                <w:rFonts w:cstheme="minorHAnsi"/>
              </w:rPr>
              <w:t>This response box was inserted inadvertently. It may be ignored.</w:t>
            </w:r>
          </w:p>
          <w:p w:rsidR="00F2142E" w:rsidRPr="00736749" w:rsidRDefault="00F2142E" w:rsidP="009A176D">
            <w:pPr>
              <w:rPr>
                <w:rFonts w:cstheme="minorHAnsi"/>
              </w:rPr>
            </w:pPr>
            <w:r w:rsidRPr="00736749">
              <w:rPr>
                <w:rFonts w:cstheme="minorHAnsi"/>
              </w:rPr>
              <w:t xml:space="preserve">See Amendment No. 2. </w:t>
            </w:r>
          </w:p>
        </w:tc>
        <w:tc>
          <w:tcPr>
            <w:tcW w:w="1470" w:type="dxa"/>
            <w:vAlign w:val="center"/>
          </w:tcPr>
          <w:p w:rsidR="009A176D" w:rsidRPr="00736749" w:rsidRDefault="00BF59EF" w:rsidP="009A176D">
            <w:pPr>
              <w:jc w:val="center"/>
              <w:rPr>
                <w:rFonts w:cstheme="minorHAnsi"/>
              </w:rPr>
            </w:pPr>
            <w:r w:rsidRPr="00736749">
              <w:rPr>
                <w:rFonts w:cstheme="minorHAnsi"/>
              </w:rPr>
              <w:t>IV.BB</w:t>
            </w:r>
          </w:p>
        </w:tc>
        <w:tc>
          <w:tcPr>
            <w:tcW w:w="818" w:type="dxa"/>
            <w:vAlign w:val="center"/>
          </w:tcPr>
          <w:p w:rsidR="009A176D" w:rsidRPr="00736749" w:rsidRDefault="00BF59EF" w:rsidP="009A176D">
            <w:pPr>
              <w:jc w:val="center"/>
              <w:rPr>
                <w:rFonts w:cstheme="minorHAnsi"/>
              </w:rPr>
            </w:pPr>
            <w:r w:rsidRPr="00736749">
              <w:rPr>
                <w:rFonts w:cstheme="minorHAnsi"/>
              </w:rPr>
              <w:t>115</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t>29</w:t>
            </w:r>
          </w:p>
        </w:tc>
        <w:tc>
          <w:tcPr>
            <w:tcW w:w="2735" w:type="dxa"/>
          </w:tcPr>
          <w:p w:rsidR="009A176D" w:rsidRPr="00736749" w:rsidRDefault="009A176D" w:rsidP="009A176D">
            <w:pPr>
              <w:rPr>
                <w:rFonts w:eastAsia="Times New Roman" w:cstheme="minorHAnsi"/>
              </w:rPr>
            </w:pPr>
            <w:r w:rsidRPr="00736749">
              <w:rPr>
                <w:rFonts w:eastAsia="Times New Roman" w:cstheme="minorHAnsi"/>
                <w:shd w:val="clear" w:color="auto" w:fill="FFFFFF"/>
              </w:rPr>
              <w:t>There are “Emergency test booklet” volumes to be estimated, yet nothing in the RFP to define specifications for the forms.  Please clarify the expectation for Emergency Forms.</w:t>
            </w:r>
          </w:p>
        </w:tc>
        <w:tc>
          <w:tcPr>
            <w:tcW w:w="7065" w:type="dxa"/>
            <w:vAlign w:val="center"/>
          </w:tcPr>
          <w:p w:rsidR="00354B5B" w:rsidRPr="00736749" w:rsidRDefault="009A176D" w:rsidP="00354B5B">
            <w:pPr>
              <w:pStyle w:val="Default"/>
              <w:rPr>
                <w:rFonts w:asciiTheme="minorHAnsi" w:eastAsia="Times New Roman" w:hAnsiTheme="minorHAnsi" w:cstheme="minorHAnsi"/>
                <w:color w:val="auto"/>
                <w:sz w:val="22"/>
                <w:szCs w:val="22"/>
                <w:shd w:val="clear" w:color="auto" w:fill="FFFFFF"/>
              </w:rPr>
            </w:pPr>
            <w:r w:rsidRPr="00736749">
              <w:rPr>
                <w:rFonts w:asciiTheme="minorHAnsi" w:eastAsia="Times New Roman" w:hAnsiTheme="minorHAnsi" w:cstheme="minorHAnsi"/>
                <w:color w:val="auto"/>
                <w:sz w:val="22"/>
                <w:szCs w:val="22"/>
                <w:shd w:val="clear" w:color="auto" w:fill="FFFFFF"/>
              </w:rPr>
              <w:t>The emergency test form shares the same spec</w:t>
            </w:r>
            <w:r w:rsidR="00354B5B" w:rsidRPr="00736749">
              <w:rPr>
                <w:rFonts w:asciiTheme="minorHAnsi" w:eastAsia="Times New Roman" w:hAnsiTheme="minorHAnsi" w:cstheme="minorHAnsi"/>
                <w:color w:val="auto"/>
                <w:sz w:val="22"/>
                <w:szCs w:val="22"/>
                <w:shd w:val="clear" w:color="auto" w:fill="FFFFFF"/>
              </w:rPr>
              <w:t>ifica</w:t>
            </w:r>
            <w:r w:rsidR="00AF14D8" w:rsidRPr="00736749">
              <w:rPr>
                <w:rFonts w:asciiTheme="minorHAnsi" w:eastAsia="Times New Roman" w:hAnsiTheme="minorHAnsi" w:cstheme="minorHAnsi"/>
                <w:color w:val="auto"/>
                <w:sz w:val="22"/>
                <w:szCs w:val="22"/>
                <w:shd w:val="clear" w:color="auto" w:fill="FFFFFF"/>
              </w:rPr>
              <w:t xml:space="preserve">tions with all other forms and will </w:t>
            </w:r>
            <w:r w:rsidR="00BF59EF" w:rsidRPr="00736749">
              <w:rPr>
                <w:rFonts w:asciiTheme="minorHAnsi" w:eastAsia="Times New Roman" w:hAnsiTheme="minorHAnsi" w:cstheme="minorHAnsi"/>
                <w:color w:val="auto"/>
                <w:sz w:val="22"/>
                <w:szCs w:val="22"/>
                <w:shd w:val="clear" w:color="auto" w:fill="FFFFFF"/>
              </w:rPr>
              <w:t xml:space="preserve">specifically </w:t>
            </w:r>
            <w:r w:rsidR="00AF14D8" w:rsidRPr="00736749">
              <w:rPr>
                <w:rFonts w:asciiTheme="minorHAnsi" w:eastAsia="Times New Roman" w:hAnsiTheme="minorHAnsi" w:cstheme="minorHAnsi"/>
                <w:color w:val="auto"/>
                <w:sz w:val="22"/>
                <w:szCs w:val="22"/>
                <w:shd w:val="clear" w:color="auto" w:fill="FFFFFF"/>
              </w:rPr>
              <w:t xml:space="preserve">address this element: </w:t>
            </w:r>
          </w:p>
          <w:p w:rsidR="00354B5B" w:rsidRPr="00736749" w:rsidRDefault="00354B5B" w:rsidP="00BF59EF">
            <w:pPr>
              <w:pStyle w:val="Default"/>
              <w:numPr>
                <w:ilvl w:val="0"/>
                <w:numId w:val="15"/>
              </w:numPr>
              <w:rPr>
                <w:rFonts w:asciiTheme="minorHAnsi" w:eastAsia="Times New Roman" w:hAnsiTheme="minorHAnsi" w:cstheme="minorHAnsi"/>
                <w:color w:val="auto"/>
                <w:sz w:val="22"/>
                <w:szCs w:val="22"/>
                <w:shd w:val="clear" w:color="auto" w:fill="FFFFFF"/>
              </w:rPr>
            </w:pPr>
            <w:r w:rsidRPr="00736749">
              <w:rPr>
                <w:rFonts w:asciiTheme="minorHAnsi" w:eastAsia="Times New Roman" w:hAnsiTheme="minorHAnsi" w:cstheme="minorHAnsi"/>
                <w:color w:val="auto"/>
                <w:sz w:val="22"/>
                <w:szCs w:val="22"/>
                <w:shd w:val="clear" w:color="auto" w:fill="FFFFFF"/>
              </w:rPr>
              <w:t>Enough forms to avoid catastrophic effects of item exposure (for fixed form testing an</w:t>
            </w:r>
            <w:r w:rsidR="00AF14D8" w:rsidRPr="00736749">
              <w:rPr>
                <w:rFonts w:asciiTheme="minorHAnsi" w:eastAsia="Times New Roman" w:hAnsiTheme="minorHAnsi" w:cstheme="minorHAnsi"/>
                <w:color w:val="auto"/>
                <w:sz w:val="22"/>
                <w:szCs w:val="22"/>
                <w:shd w:val="clear" w:color="auto" w:fill="FFFFFF"/>
              </w:rPr>
              <w:t>d multistage adaptive testing)</w:t>
            </w:r>
          </w:p>
          <w:p w:rsidR="009A176D" w:rsidRPr="00736749" w:rsidRDefault="009A176D" w:rsidP="009A176D">
            <w:pPr>
              <w:rPr>
                <w:rFonts w:cstheme="minorHAnsi"/>
              </w:rPr>
            </w:pPr>
          </w:p>
        </w:tc>
        <w:tc>
          <w:tcPr>
            <w:tcW w:w="1470" w:type="dxa"/>
            <w:vAlign w:val="center"/>
          </w:tcPr>
          <w:p w:rsidR="009A176D" w:rsidRPr="00736749" w:rsidRDefault="00354B5B" w:rsidP="009A176D">
            <w:pPr>
              <w:jc w:val="center"/>
              <w:rPr>
                <w:rFonts w:cstheme="minorHAnsi"/>
              </w:rPr>
            </w:pPr>
            <w:r w:rsidRPr="00736749">
              <w:rPr>
                <w:rFonts w:cstheme="minorHAnsi"/>
              </w:rPr>
              <w:t>IV.R.7</w:t>
            </w:r>
          </w:p>
        </w:tc>
        <w:tc>
          <w:tcPr>
            <w:tcW w:w="818" w:type="dxa"/>
            <w:vAlign w:val="center"/>
          </w:tcPr>
          <w:p w:rsidR="009A176D" w:rsidRPr="00736749" w:rsidRDefault="00AF14D8" w:rsidP="009A176D">
            <w:pPr>
              <w:jc w:val="center"/>
              <w:rPr>
                <w:rFonts w:cstheme="minorHAnsi"/>
              </w:rPr>
            </w:pPr>
            <w:r w:rsidRPr="00736749">
              <w:rPr>
                <w:rFonts w:cstheme="minorHAnsi"/>
              </w:rPr>
              <w:t>69</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30</w:t>
            </w:r>
          </w:p>
        </w:tc>
        <w:tc>
          <w:tcPr>
            <w:tcW w:w="2735" w:type="dxa"/>
          </w:tcPr>
          <w:p w:rsidR="009A176D" w:rsidRPr="00736749" w:rsidRDefault="009A176D" w:rsidP="009A176D">
            <w:pPr>
              <w:rPr>
                <w:rFonts w:cstheme="minorHAnsi"/>
              </w:rPr>
            </w:pPr>
            <w:r w:rsidRPr="00736749">
              <w:rPr>
                <w:rFonts w:cstheme="minorHAnsi"/>
              </w:rPr>
              <w:t>Page 22 of the RFP states: “One redacted original should be submitted and one (5) electronic copies of the proposal containing ONLY the Redacted Technical Proposal on a separate USB flash drive.” Please confirm we are required to submit one redacted original and one electronic copy, not 5 electronic copies.</w:t>
            </w:r>
          </w:p>
        </w:tc>
        <w:tc>
          <w:tcPr>
            <w:tcW w:w="7065" w:type="dxa"/>
            <w:vAlign w:val="center"/>
          </w:tcPr>
          <w:p w:rsidR="009A176D" w:rsidRPr="00736749" w:rsidRDefault="009A176D" w:rsidP="009A176D">
            <w:pPr>
              <w:rPr>
                <w:rFonts w:cstheme="minorHAnsi"/>
              </w:rPr>
            </w:pPr>
            <w:r w:rsidRPr="00736749">
              <w:rPr>
                <w:rFonts w:cstheme="minorHAnsi"/>
              </w:rPr>
              <w:t>Only one redacted electronic copy is required. Please see Amendment No. 2.</w:t>
            </w:r>
          </w:p>
        </w:tc>
        <w:tc>
          <w:tcPr>
            <w:tcW w:w="1470" w:type="dxa"/>
            <w:vAlign w:val="center"/>
          </w:tcPr>
          <w:p w:rsidR="009A176D" w:rsidRPr="00736749" w:rsidRDefault="009A176D" w:rsidP="009A176D">
            <w:pPr>
              <w:jc w:val="center"/>
              <w:rPr>
                <w:rFonts w:cstheme="minorHAnsi"/>
              </w:rPr>
            </w:pPr>
            <w:r w:rsidRPr="00736749">
              <w:rPr>
                <w:rFonts w:cstheme="minorHAnsi"/>
              </w:rPr>
              <w:t>III.B.1</w:t>
            </w:r>
          </w:p>
        </w:tc>
        <w:tc>
          <w:tcPr>
            <w:tcW w:w="818" w:type="dxa"/>
            <w:vAlign w:val="center"/>
          </w:tcPr>
          <w:p w:rsidR="009A176D" w:rsidRPr="00736749" w:rsidRDefault="009A176D" w:rsidP="009A176D">
            <w:pPr>
              <w:jc w:val="center"/>
              <w:rPr>
                <w:rFonts w:cstheme="minorHAnsi"/>
              </w:rPr>
            </w:pPr>
            <w:r w:rsidRPr="00736749">
              <w:rPr>
                <w:rFonts w:cstheme="minorHAnsi"/>
              </w:rPr>
              <w:t>22</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31</w:t>
            </w:r>
          </w:p>
        </w:tc>
        <w:tc>
          <w:tcPr>
            <w:tcW w:w="2735" w:type="dxa"/>
          </w:tcPr>
          <w:p w:rsidR="009A176D" w:rsidRPr="00736749" w:rsidRDefault="009A176D" w:rsidP="009A176D">
            <w:pPr>
              <w:rPr>
                <w:rFonts w:eastAsiaTheme="minorHAnsi" w:cstheme="minorHAnsi"/>
              </w:rPr>
            </w:pPr>
            <w:r w:rsidRPr="00736749">
              <w:rPr>
                <w:rFonts w:cstheme="minorHAnsi"/>
              </w:rPr>
              <w:t>As stated in the RFP, PED requires each proposer’s references to complete and sign Appendix E, Organizational Reference Questionnaire. We are happy to provide the contact information for the states in which we currently deliver assessments. However, an increasing number of states do not want to provide written references in response to other state RFPs and prefer to do so over the phone. Taking this into account, would PED consider allowing proposers to provide the contact information of references that are unable to return a written reference?</w:t>
            </w:r>
          </w:p>
        </w:tc>
        <w:tc>
          <w:tcPr>
            <w:tcW w:w="7065" w:type="dxa"/>
            <w:vAlign w:val="center"/>
          </w:tcPr>
          <w:p w:rsidR="009A176D" w:rsidRPr="00736749" w:rsidRDefault="009A176D" w:rsidP="009A176D">
            <w:r w:rsidRPr="00736749">
              <w:rPr>
                <w:rStyle w:val="TableContents"/>
                <w:szCs w:val="24"/>
              </w:rPr>
              <w:fldChar w:fldCharType="begin"/>
            </w:r>
            <w:r w:rsidRPr="00736749">
              <w:rPr>
                <w:rStyle w:val="TableContents"/>
                <w:szCs w:val="24"/>
              </w:rPr>
              <w:instrText xml:space="preserve"> REF bidder_label  \* MERGEFORMAT </w:instrText>
            </w:r>
            <w:r w:rsidRPr="00736749">
              <w:rPr>
                <w:rStyle w:val="TableContents"/>
                <w:szCs w:val="24"/>
              </w:rPr>
              <w:fldChar w:fldCharType="separate"/>
            </w:r>
            <w:proofErr w:type="spellStart"/>
            <w:r w:rsidRPr="00736749">
              <w:t>Offeror</w:t>
            </w:r>
            <w:r w:rsidRPr="00736749">
              <w:rPr>
                <w:rStyle w:val="TableContents"/>
                <w:szCs w:val="24"/>
              </w:rPr>
              <w:fldChar w:fldCharType="end"/>
            </w:r>
            <w:r w:rsidRPr="00736749">
              <w:rPr>
                <w:bCs/>
              </w:rPr>
              <w:t>s</w:t>
            </w:r>
            <w:proofErr w:type="spellEnd"/>
            <w:r w:rsidRPr="00736749">
              <w:rPr>
                <w:bCs/>
              </w:rPr>
              <w:t xml:space="preserve"> are required to submit </w:t>
            </w:r>
            <w:r w:rsidRPr="00736749">
              <w:rPr>
                <w:bCs/>
              </w:rPr>
              <w:fldChar w:fldCharType="begin"/>
            </w:r>
            <w:r w:rsidRPr="00736749">
              <w:rPr>
                <w:bCs/>
              </w:rPr>
              <w:instrText xml:space="preserve"> REF _Ref7465838  \* MERGEFORMAT </w:instrText>
            </w:r>
            <w:r w:rsidRPr="00736749">
              <w:rPr>
                <w:bCs/>
              </w:rPr>
              <w:fldChar w:fldCharType="separate"/>
            </w:r>
            <w:r w:rsidRPr="00736749">
              <w:t>APPENDIX E: Organizational reference questionnaire</w:t>
            </w:r>
            <w:r w:rsidRPr="00736749">
              <w:rPr>
                <w:bCs/>
              </w:rPr>
              <w:fldChar w:fldCharType="end"/>
            </w:r>
            <w:r w:rsidRPr="00736749">
              <w:rPr>
                <w:bCs/>
              </w:rPr>
              <w:t xml:space="preserve"> to the business references listed in this section for independent completion by the business reference. </w:t>
            </w:r>
            <w:r w:rsidRPr="00736749">
              <w:t xml:space="preserve">It is the </w:t>
            </w:r>
            <w:r w:rsidRPr="00736749">
              <w:rPr>
                <w:rStyle w:val="TableContents"/>
                <w:szCs w:val="24"/>
              </w:rPr>
              <w:fldChar w:fldCharType="begin"/>
            </w:r>
            <w:r w:rsidRPr="00736749">
              <w:rPr>
                <w:rStyle w:val="TableContents"/>
                <w:szCs w:val="24"/>
              </w:rPr>
              <w:instrText xml:space="preserve"> REF bidder_label  \* MERGEFORMAT </w:instrText>
            </w:r>
            <w:r w:rsidRPr="00736749">
              <w:rPr>
                <w:rStyle w:val="TableContents"/>
                <w:szCs w:val="24"/>
              </w:rPr>
              <w:fldChar w:fldCharType="separate"/>
            </w:r>
            <w:proofErr w:type="spellStart"/>
            <w:r w:rsidRPr="00736749">
              <w:t>Offeror</w:t>
            </w:r>
            <w:r w:rsidRPr="00736749">
              <w:rPr>
                <w:rStyle w:val="TableContents"/>
                <w:szCs w:val="24"/>
              </w:rPr>
              <w:fldChar w:fldCharType="end"/>
            </w:r>
            <w:r w:rsidRPr="00736749">
              <w:t>’s</w:t>
            </w:r>
            <w:proofErr w:type="spellEnd"/>
            <w:r w:rsidRPr="00736749">
              <w:t xml:space="preserve"> responsibility to ensure the completed forms are received on or before </w:t>
            </w:r>
            <w:fldSimple w:instr=" REF Date_Proposals_Due  \* MERGEFORMAT ">
              <w:r w:rsidRPr="00736749">
                <w:t>Jul 15, 2019, 12:00 PM NMT</w:t>
              </w:r>
            </w:fldSimple>
            <w:r w:rsidRPr="00736749">
              <w:rPr>
                <w:b/>
              </w:rPr>
              <w:t xml:space="preserve"> </w:t>
            </w:r>
            <w:r w:rsidRPr="00736749">
              <w:t>for inclusion in the evaluation process.</w:t>
            </w:r>
          </w:p>
          <w:p w:rsidR="009A176D" w:rsidRPr="00736749" w:rsidRDefault="009A176D" w:rsidP="009A176D">
            <w:pPr>
              <w:rPr>
                <w:rFonts w:cstheme="minorHAnsi"/>
              </w:rPr>
            </w:pPr>
            <w:r w:rsidRPr="00736749">
              <w:t xml:space="preserve">Organizational References that are not received or are not complete may adversely affect the </w:t>
            </w:r>
            <w:r w:rsidRPr="00736749">
              <w:rPr>
                <w:rStyle w:val="TableContents"/>
                <w:szCs w:val="24"/>
              </w:rPr>
              <w:fldChar w:fldCharType="begin"/>
            </w:r>
            <w:r w:rsidRPr="00736749">
              <w:rPr>
                <w:rStyle w:val="TableContents"/>
                <w:szCs w:val="24"/>
              </w:rPr>
              <w:instrText xml:space="preserve"> REF bidder_label  \* MERGEFORMAT </w:instrText>
            </w:r>
            <w:r w:rsidRPr="00736749">
              <w:rPr>
                <w:rStyle w:val="TableContents"/>
                <w:szCs w:val="24"/>
              </w:rPr>
              <w:fldChar w:fldCharType="separate"/>
            </w:r>
            <w:proofErr w:type="spellStart"/>
            <w:r w:rsidRPr="00736749">
              <w:t>Offeror</w:t>
            </w:r>
            <w:r w:rsidRPr="00736749">
              <w:rPr>
                <w:rStyle w:val="TableContents"/>
                <w:szCs w:val="24"/>
              </w:rPr>
              <w:fldChar w:fldCharType="end"/>
            </w:r>
            <w:r w:rsidRPr="00736749">
              <w:t>’s</w:t>
            </w:r>
            <w:proofErr w:type="spellEnd"/>
            <w:r w:rsidRPr="00736749">
              <w:t xml:space="preserve"> score in the evaluation process.</w:t>
            </w:r>
          </w:p>
        </w:tc>
        <w:tc>
          <w:tcPr>
            <w:tcW w:w="1470" w:type="dxa"/>
            <w:vAlign w:val="center"/>
          </w:tcPr>
          <w:p w:rsidR="009A176D" w:rsidRPr="00736749" w:rsidRDefault="009A176D" w:rsidP="009A176D">
            <w:pPr>
              <w:jc w:val="center"/>
              <w:rPr>
                <w:rFonts w:cstheme="minorHAnsi"/>
              </w:rPr>
            </w:pPr>
            <w:r w:rsidRPr="00736749">
              <w:rPr>
                <w:rFonts w:cstheme="minorHAnsi"/>
              </w:rPr>
              <w:t>IV.D.2</w:t>
            </w:r>
          </w:p>
        </w:tc>
        <w:tc>
          <w:tcPr>
            <w:tcW w:w="818" w:type="dxa"/>
            <w:vAlign w:val="center"/>
          </w:tcPr>
          <w:p w:rsidR="009A176D" w:rsidRPr="00736749" w:rsidRDefault="009A176D" w:rsidP="009A176D">
            <w:pPr>
              <w:jc w:val="center"/>
              <w:rPr>
                <w:rFonts w:cstheme="minorHAnsi"/>
              </w:rPr>
            </w:pPr>
            <w:r w:rsidRPr="00736749">
              <w:rPr>
                <w:rFonts w:cstheme="minorHAnsi"/>
              </w:rPr>
              <w:t>30-31</w:t>
            </w:r>
          </w:p>
        </w:tc>
      </w:tr>
      <w:tr w:rsidR="009A176D" w:rsidRPr="00736749" w:rsidTr="00847156">
        <w:trPr>
          <w:cantSplit/>
        </w:trPr>
        <w:tc>
          <w:tcPr>
            <w:tcW w:w="1228" w:type="dxa"/>
            <w:vAlign w:val="center"/>
          </w:tcPr>
          <w:p w:rsidR="009A176D" w:rsidRPr="00736749" w:rsidRDefault="009A176D" w:rsidP="009A176D">
            <w:pPr>
              <w:jc w:val="center"/>
              <w:rPr>
                <w:rFonts w:cstheme="minorHAnsi"/>
              </w:rPr>
            </w:pPr>
            <w:r w:rsidRPr="00736749">
              <w:rPr>
                <w:rFonts w:cstheme="minorHAnsi"/>
              </w:rPr>
              <w:lastRenderedPageBreak/>
              <w:t>32</w:t>
            </w:r>
          </w:p>
        </w:tc>
        <w:tc>
          <w:tcPr>
            <w:tcW w:w="2735" w:type="dxa"/>
            <w:shd w:val="clear" w:color="auto" w:fill="auto"/>
          </w:tcPr>
          <w:p w:rsidR="009A176D" w:rsidRPr="00736749" w:rsidRDefault="009A176D" w:rsidP="009A176D">
            <w:pPr>
              <w:rPr>
                <w:rFonts w:cstheme="minorHAnsi"/>
              </w:rPr>
            </w:pPr>
            <w:r w:rsidRPr="00736749">
              <w:rPr>
                <w:rFonts w:cstheme="minorHAnsi"/>
              </w:rPr>
              <w:t>Will PED make available engine training and validation samples for open-ended items in the PARCC tests, which will enable automated scoring in the first year of test administration?</w:t>
            </w:r>
          </w:p>
        </w:tc>
        <w:tc>
          <w:tcPr>
            <w:tcW w:w="7065" w:type="dxa"/>
            <w:vAlign w:val="center"/>
          </w:tcPr>
          <w:p w:rsidR="001A356D" w:rsidRPr="00736749" w:rsidRDefault="001A356D" w:rsidP="001A356D">
            <w:pPr>
              <w:pStyle w:val="ListParagraph"/>
              <w:ind w:left="0"/>
              <w:rPr>
                <w:rFonts w:cstheme="minorHAnsi"/>
              </w:rPr>
            </w:pPr>
            <w:r w:rsidRPr="00736749">
              <w:rPr>
                <w:rFonts w:cstheme="minorHAnsi"/>
              </w:rPr>
              <w:t xml:space="preserve">New Meridian will provide hand-scoring training materials for human scored items from the licensed bank.  Hand-scoring training materials will include the available rubric, anchor, practice, and qualification sets, and calibration and validity responses as approved by New Meridian’s affiliate states.  </w:t>
            </w:r>
          </w:p>
          <w:p w:rsidR="001A356D" w:rsidRPr="00736749" w:rsidRDefault="001A356D" w:rsidP="001A356D">
            <w:pPr>
              <w:pStyle w:val="ListParagraph"/>
              <w:ind w:left="0"/>
              <w:rPr>
                <w:rFonts w:cstheme="minorHAnsi"/>
              </w:rPr>
            </w:pPr>
          </w:p>
          <w:p w:rsidR="001A356D" w:rsidRPr="00736749" w:rsidRDefault="001A356D" w:rsidP="001A356D">
            <w:pPr>
              <w:pStyle w:val="ListParagraph"/>
              <w:ind w:left="0"/>
              <w:rPr>
                <w:rFonts w:cstheme="minorHAnsi"/>
              </w:rPr>
            </w:pPr>
            <w:r w:rsidRPr="00736749">
              <w:rPr>
                <w:rFonts w:cstheme="minorHAnsi"/>
              </w:rPr>
              <w:t>Materials are provided in the following formats:</w:t>
            </w:r>
          </w:p>
          <w:p w:rsidR="001A356D" w:rsidRPr="00736749" w:rsidRDefault="001A356D" w:rsidP="001A356D">
            <w:pPr>
              <w:numPr>
                <w:ilvl w:val="0"/>
                <w:numId w:val="16"/>
              </w:numPr>
              <w:spacing w:before="100" w:beforeAutospacing="1" w:after="100" w:afterAutospacing="1"/>
              <w:rPr>
                <w:rFonts w:eastAsia="Times New Roman" w:cstheme="minorHAnsi"/>
              </w:rPr>
            </w:pPr>
            <w:r w:rsidRPr="00736749">
              <w:rPr>
                <w:rFonts w:eastAsia="Times New Roman" w:cstheme="minorHAnsi"/>
              </w:rPr>
              <w:t>Anchor, practice, and qualification annotations are Word or PDF or in individual html docs for each response.</w:t>
            </w:r>
          </w:p>
          <w:p w:rsidR="001A356D" w:rsidRPr="00736749" w:rsidRDefault="001A356D" w:rsidP="001A356D">
            <w:pPr>
              <w:numPr>
                <w:ilvl w:val="0"/>
                <w:numId w:val="16"/>
              </w:numPr>
              <w:spacing w:before="100" w:beforeAutospacing="1" w:after="100" w:afterAutospacing="1"/>
              <w:rPr>
                <w:rFonts w:eastAsia="Times New Roman" w:cstheme="minorHAnsi"/>
              </w:rPr>
            </w:pPr>
            <w:r w:rsidRPr="00736749">
              <w:rPr>
                <w:rFonts w:eastAsia="Times New Roman" w:cstheme="minorHAnsi"/>
              </w:rPr>
              <w:t>Annotations for validity or calibration are html documents.</w:t>
            </w:r>
          </w:p>
          <w:p w:rsidR="009A176D" w:rsidRPr="00736749" w:rsidRDefault="001A356D" w:rsidP="001A356D">
            <w:pPr>
              <w:rPr>
                <w:rFonts w:cstheme="minorHAnsi"/>
              </w:rPr>
            </w:pPr>
            <w:r w:rsidRPr="00736749">
              <w:rPr>
                <w:rFonts w:eastAsia="Times New Roman" w:cstheme="minorHAnsi"/>
              </w:rPr>
              <w:t xml:space="preserve">Responses for math are available as </w:t>
            </w:r>
            <w:r w:rsidR="002A3512" w:rsidRPr="00736749">
              <w:rPr>
                <w:rFonts w:eastAsia="Times New Roman" w:cstheme="minorHAnsi"/>
              </w:rPr>
              <w:t>.</w:t>
            </w:r>
            <w:proofErr w:type="spellStart"/>
            <w:r w:rsidRPr="00736749">
              <w:rPr>
                <w:rFonts w:eastAsia="Times New Roman" w:cstheme="minorHAnsi"/>
              </w:rPr>
              <w:t>png</w:t>
            </w:r>
            <w:proofErr w:type="spellEnd"/>
            <w:r w:rsidRPr="00736749">
              <w:rPr>
                <w:rFonts w:eastAsia="Times New Roman" w:cstheme="minorHAnsi"/>
              </w:rPr>
              <w:t xml:space="preserve"> files and responses for ELA are available as </w:t>
            </w:r>
            <w:r w:rsidR="002A3512" w:rsidRPr="00736749">
              <w:rPr>
                <w:rFonts w:eastAsia="Times New Roman" w:cstheme="minorHAnsi"/>
              </w:rPr>
              <w:t>.</w:t>
            </w:r>
            <w:r w:rsidRPr="00736749">
              <w:rPr>
                <w:rFonts w:eastAsia="Times New Roman" w:cstheme="minorHAnsi"/>
              </w:rPr>
              <w:t>html files.</w:t>
            </w:r>
          </w:p>
        </w:tc>
        <w:tc>
          <w:tcPr>
            <w:tcW w:w="1470" w:type="dxa"/>
            <w:vAlign w:val="center"/>
          </w:tcPr>
          <w:p w:rsidR="009A176D" w:rsidRPr="00736749" w:rsidRDefault="009A176D" w:rsidP="009A176D">
            <w:pPr>
              <w:jc w:val="center"/>
              <w:rPr>
                <w:rFonts w:cstheme="minorHAnsi"/>
              </w:rPr>
            </w:pPr>
          </w:p>
        </w:tc>
        <w:tc>
          <w:tcPr>
            <w:tcW w:w="818" w:type="dxa"/>
            <w:vAlign w:val="center"/>
          </w:tcPr>
          <w:p w:rsidR="009A176D" w:rsidRPr="00736749" w:rsidRDefault="009A176D" w:rsidP="009A176D">
            <w:pPr>
              <w:jc w:val="center"/>
              <w:rPr>
                <w:rFonts w:cstheme="minorHAnsi"/>
              </w:rPr>
            </w:pP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33</w:t>
            </w:r>
          </w:p>
        </w:tc>
        <w:tc>
          <w:tcPr>
            <w:tcW w:w="2735" w:type="dxa"/>
          </w:tcPr>
          <w:p w:rsidR="00F2142E" w:rsidRPr="00736749" w:rsidRDefault="00F2142E" w:rsidP="00F2142E">
            <w:pPr>
              <w:rPr>
                <w:rFonts w:cstheme="minorHAnsi"/>
              </w:rPr>
            </w:pPr>
            <w:r w:rsidRPr="00736749">
              <w:rPr>
                <w:rFonts w:cstheme="minorHAnsi"/>
              </w:rPr>
              <w:t>The RFP is unclear as to what role the contractor will have related to the summative college admission test. For example, in Table 11 on page 25 of the RFP, it appears the prime contractor will be responsible for this test under the base contract costs. However, page 24 of the RFP also states: “College admission assessment contractor responsible for all aspects of the college-admission assessment except client-facing management services (to be managed by the prime Contractor)”. Could you elaborate on what role the contractor will have regarding the college admission assessment? What is meant by the “client-facing management services”?</w:t>
            </w:r>
          </w:p>
        </w:tc>
        <w:tc>
          <w:tcPr>
            <w:tcW w:w="7065" w:type="dxa"/>
            <w:vAlign w:val="center"/>
          </w:tcPr>
          <w:p w:rsidR="00F2142E" w:rsidRPr="00736749" w:rsidRDefault="00F2142E" w:rsidP="00F2142E">
            <w:pPr>
              <w:rPr>
                <w:rFonts w:cstheme="minorHAnsi"/>
              </w:rPr>
            </w:pPr>
            <w:r w:rsidRPr="00736749">
              <w:rPr>
                <w:rFonts w:cstheme="minorHAnsi"/>
              </w:rPr>
              <w:t>This means that it is highly preferred that the college admission assessment contractor subcontract to the contractor responsible for service group A, where the prime contractor is responsible for management of the contract and oversees the work of the college admission assessment contractor responsible for service group D.</w:t>
            </w:r>
          </w:p>
          <w:p w:rsidR="00F2142E" w:rsidRPr="00736749" w:rsidRDefault="00F2142E" w:rsidP="00F2142E">
            <w:pPr>
              <w:rPr>
                <w:rFonts w:cstheme="minorHAnsi"/>
              </w:rPr>
            </w:pPr>
          </w:p>
          <w:p w:rsidR="00F2142E" w:rsidRPr="00736749" w:rsidRDefault="00F2142E" w:rsidP="00F2142E">
            <w:pPr>
              <w:rPr>
                <w:rFonts w:cstheme="minorHAnsi"/>
              </w:rPr>
            </w:pPr>
            <w:r w:rsidRPr="00736749">
              <w:rPr>
                <w:rFonts w:cstheme="minorHAnsi"/>
              </w:rPr>
              <w:t>Client-facing management services indicate all management services under service group A1 that primarily interact with the client. This is to reduce the number of p</w:t>
            </w:r>
            <w:r w:rsidR="00227130">
              <w:rPr>
                <w:rFonts w:cstheme="minorHAnsi"/>
              </w:rPr>
              <w:t>rimary points of contact for NM</w:t>
            </w:r>
            <w:r w:rsidRPr="00736749">
              <w:rPr>
                <w:rFonts w:cstheme="minorHAnsi"/>
              </w:rPr>
              <w:t>PED. However, NMPED reserves the right to direct communications with the college admission contractor, keeping the prime contractor apprised of such communication.</w:t>
            </w:r>
          </w:p>
        </w:tc>
        <w:tc>
          <w:tcPr>
            <w:tcW w:w="1470" w:type="dxa"/>
            <w:vAlign w:val="center"/>
          </w:tcPr>
          <w:p w:rsidR="00F2142E" w:rsidRPr="00736749" w:rsidRDefault="00F2142E" w:rsidP="00F2142E">
            <w:pPr>
              <w:jc w:val="center"/>
              <w:rPr>
                <w:rFonts w:cstheme="minorHAnsi"/>
              </w:rPr>
            </w:pPr>
            <w:r w:rsidRPr="00736749">
              <w:rPr>
                <w:rFonts w:cstheme="minorHAnsi"/>
              </w:rPr>
              <w:t>IV.A</w:t>
            </w:r>
          </w:p>
        </w:tc>
        <w:tc>
          <w:tcPr>
            <w:tcW w:w="818" w:type="dxa"/>
            <w:vAlign w:val="center"/>
          </w:tcPr>
          <w:p w:rsidR="00F2142E" w:rsidRPr="00736749" w:rsidRDefault="00F2142E" w:rsidP="00F2142E">
            <w:pPr>
              <w:jc w:val="center"/>
              <w:rPr>
                <w:rFonts w:cstheme="minorHAnsi"/>
              </w:rPr>
            </w:pPr>
            <w:r w:rsidRPr="00736749">
              <w:rPr>
                <w:rFonts w:cstheme="minorHAnsi"/>
              </w:rPr>
              <w:t>23-26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34</w:t>
            </w:r>
          </w:p>
        </w:tc>
        <w:tc>
          <w:tcPr>
            <w:tcW w:w="2735" w:type="dxa"/>
          </w:tcPr>
          <w:p w:rsidR="00F2142E" w:rsidRPr="00736749" w:rsidRDefault="00F2142E" w:rsidP="00F2142E">
            <w:pPr>
              <w:rPr>
                <w:rFonts w:cstheme="minorHAnsi"/>
              </w:rPr>
            </w:pPr>
            <w:r w:rsidRPr="00736749">
              <w:rPr>
                <w:rFonts w:cstheme="minorHAnsi"/>
              </w:rPr>
              <w:t>Is it PED’s expectation that the contractor will be required to subcontract with existing college admission vendors (i.e., ACT and/or SAT) and that those college admission tests will be administered, scored, and reported on the contractor’s platform?</w:t>
            </w:r>
          </w:p>
        </w:tc>
        <w:tc>
          <w:tcPr>
            <w:tcW w:w="7065" w:type="dxa"/>
            <w:vAlign w:val="center"/>
          </w:tcPr>
          <w:p w:rsidR="00F2142E" w:rsidRPr="00736749" w:rsidRDefault="00F2142E" w:rsidP="00F2142E">
            <w:pPr>
              <w:rPr>
                <w:rFonts w:cstheme="minorHAnsi"/>
              </w:rPr>
            </w:pPr>
            <w:r w:rsidRPr="00736749">
              <w:rPr>
                <w:rFonts w:cstheme="minorHAnsi"/>
              </w:rPr>
              <w:t>No. The only part of the college admission assessment subcontract that the prime contractor will be responsible for is service group A1.</w:t>
            </w:r>
          </w:p>
        </w:tc>
        <w:tc>
          <w:tcPr>
            <w:tcW w:w="1470" w:type="dxa"/>
            <w:vAlign w:val="center"/>
          </w:tcPr>
          <w:p w:rsidR="00F2142E" w:rsidRPr="00736749" w:rsidRDefault="00F2142E" w:rsidP="00F2142E">
            <w:pPr>
              <w:jc w:val="center"/>
              <w:rPr>
                <w:rFonts w:cstheme="minorHAnsi"/>
              </w:rPr>
            </w:pPr>
            <w:r w:rsidRPr="00736749">
              <w:rPr>
                <w:rFonts w:cstheme="minorHAnsi"/>
              </w:rPr>
              <w:t>IV.A</w:t>
            </w:r>
          </w:p>
        </w:tc>
        <w:tc>
          <w:tcPr>
            <w:tcW w:w="818" w:type="dxa"/>
            <w:vAlign w:val="center"/>
          </w:tcPr>
          <w:p w:rsidR="00F2142E" w:rsidRPr="00736749" w:rsidRDefault="00F2142E" w:rsidP="00F2142E">
            <w:pPr>
              <w:jc w:val="center"/>
              <w:rPr>
                <w:rFonts w:cstheme="minorHAnsi"/>
              </w:rPr>
            </w:pPr>
            <w:r w:rsidRPr="00736749">
              <w:rPr>
                <w:rFonts w:cstheme="minorHAnsi"/>
              </w:rPr>
              <w:t>23-26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35</w:t>
            </w:r>
          </w:p>
        </w:tc>
        <w:tc>
          <w:tcPr>
            <w:tcW w:w="2735" w:type="dxa"/>
          </w:tcPr>
          <w:p w:rsidR="00F2142E" w:rsidRPr="00736749" w:rsidRDefault="00F2142E" w:rsidP="00F2142E">
            <w:pPr>
              <w:rPr>
                <w:rFonts w:cstheme="minorHAnsi"/>
              </w:rPr>
            </w:pPr>
            <w:r w:rsidRPr="00736749">
              <w:rPr>
                <w:rFonts w:cstheme="minorHAnsi"/>
              </w:rPr>
              <w:t>Will PED be responsible for licensing the Year 1 PARCC test items, or will the contractor?</w:t>
            </w:r>
          </w:p>
        </w:tc>
        <w:tc>
          <w:tcPr>
            <w:tcW w:w="7065" w:type="dxa"/>
            <w:vAlign w:val="center"/>
          </w:tcPr>
          <w:p w:rsidR="00F2142E" w:rsidRPr="00736749" w:rsidRDefault="00F2142E" w:rsidP="00276B09">
            <w:pPr>
              <w:rPr>
                <w:rFonts w:cstheme="minorHAnsi"/>
              </w:rPr>
            </w:pPr>
            <w:r w:rsidRPr="00736749">
              <w:rPr>
                <w:rFonts w:cstheme="minorHAnsi"/>
              </w:rPr>
              <w:t xml:space="preserve">As noted in footnote 3, the vendor is responsible </w:t>
            </w:r>
            <w:r w:rsidR="00276B09" w:rsidRPr="00736749">
              <w:rPr>
                <w:rFonts w:cstheme="minorHAnsi"/>
              </w:rPr>
              <w:t>for</w:t>
            </w:r>
            <w:r w:rsidRPr="00736749">
              <w:rPr>
                <w:rFonts w:cstheme="minorHAnsi"/>
              </w:rPr>
              <w:t xml:space="preserve"> licensing the items from New Meridian. </w:t>
            </w:r>
          </w:p>
        </w:tc>
        <w:tc>
          <w:tcPr>
            <w:tcW w:w="1470" w:type="dxa"/>
            <w:vAlign w:val="center"/>
          </w:tcPr>
          <w:p w:rsidR="00F2142E" w:rsidRPr="00736749" w:rsidRDefault="00F2142E" w:rsidP="00F2142E">
            <w:pPr>
              <w:jc w:val="center"/>
              <w:rPr>
                <w:rFonts w:cstheme="minorHAnsi"/>
              </w:rPr>
            </w:pPr>
            <w:r w:rsidRPr="00736749">
              <w:rPr>
                <w:rFonts w:cstheme="minorHAnsi"/>
              </w:rPr>
              <w:t>I.F.2</w:t>
            </w:r>
          </w:p>
        </w:tc>
        <w:tc>
          <w:tcPr>
            <w:tcW w:w="818" w:type="dxa"/>
            <w:vAlign w:val="center"/>
          </w:tcPr>
          <w:p w:rsidR="00F2142E" w:rsidRPr="00736749" w:rsidRDefault="00F2142E" w:rsidP="00F2142E">
            <w:pPr>
              <w:jc w:val="center"/>
              <w:rPr>
                <w:rFonts w:cstheme="minorHAnsi"/>
              </w:rPr>
            </w:pPr>
            <w:r w:rsidRPr="00736749">
              <w:rPr>
                <w:rFonts w:cstheme="minorHAnsi"/>
              </w:rPr>
              <w:t>11</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36</w:t>
            </w:r>
          </w:p>
        </w:tc>
        <w:tc>
          <w:tcPr>
            <w:tcW w:w="2735" w:type="dxa"/>
          </w:tcPr>
          <w:p w:rsidR="00F2142E" w:rsidRPr="00736749" w:rsidRDefault="00F2142E" w:rsidP="00F2142E">
            <w:pPr>
              <w:rPr>
                <w:rFonts w:eastAsia="Times New Roman" w:cstheme="minorHAnsi"/>
              </w:rPr>
            </w:pPr>
            <w:r w:rsidRPr="00736749">
              <w:rPr>
                <w:rFonts w:eastAsia="Times New Roman" w:cstheme="minorHAnsi"/>
              </w:rPr>
              <w:t>Does PED have an existing contract with New Meridian that would allow for the new contractor to have access to the items for use in New Mexico or would the new contractor need to contract with New Meridian directly?</w:t>
            </w:r>
          </w:p>
        </w:tc>
        <w:tc>
          <w:tcPr>
            <w:tcW w:w="7065" w:type="dxa"/>
            <w:vAlign w:val="center"/>
          </w:tcPr>
          <w:p w:rsidR="00F2142E" w:rsidRPr="00736749" w:rsidRDefault="00F2142E" w:rsidP="00276B09">
            <w:pPr>
              <w:rPr>
                <w:rFonts w:cstheme="minorHAnsi"/>
              </w:rPr>
            </w:pPr>
            <w:r w:rsidRPr="00736749">
              <w:rPr>
                <w:rFonts w:cstheme="minorHAnsi"/>
              </w:rPr>
              <w:t xml:space="preserve">As noted in footnote 3, PED is requesting the Offeror lease the items directly from New Meridian. </w:t>
            </w:r>
          </w:p>
        </w:tc>
        <w:tc>
          <w:tcPr>
            <w:tcW w:w="1470" w:type="dxa"/>
            <w:vAlign w:val="center"/>
          </w:tcPr>
          <w:p w:rsidR="00F2142E" w:rsidRPr="00736749" w:rsidRDefault="00F2142E" w:rsidP="00F2142E">
            <w:pPr>
              <w:jc w:val="center"/>
              <w:rPr>
                <w:rFonts w:cstheme="minorHAnsi"/>
              </w:rPr>
            </w:pPr>
            <w:r w:rsidRPr="00736749">
              <w:rPr>
                <w:rFonts w:cstheme="minorHAnsi"/>
              </w:rPr>
              <w:t>I.F.2</w:t>
            </w:r>
          </w:p>
        </w:tc>
        <w:tc>
          <w:tcPr>
            <w:tcW w:w="818" w:type="dxa"/>
            <w:vAlign w:val="center"/>
          </w:tcPr>
          <w:p w:rsidR="00F2142E" w:rsidRPr="00736749" w:rsidRDefault="00F2142E" w:rsidP="00F2142E">
            <w:pPr>
              <w:jc w:val="center"/>
              <w:rPr>
                <w:rFonts w:cstheme="minorHAnsi"/>
              </w:rPr>
            </w:pPr>
            <w:r w:rsidRPr="00736749">
              <w:rPr>
                <w:rFonts w:cstheme="minorHAnsi"/>
              </w:rPr>
              <w:t>11</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37</w:t>
            </w:r>
          </w:p>
        </w:tc>
        <w:tc>
          <w:tcPr>
            <w:tcW w:w="2735" w:type="dxa"/>
          </w:tcPr>
          <w:p w:rsidR="00F2142E" w:rsidRPr="00736749" w:rsidRDefault="00F2142E" w:rsidP="00F2142E">
            <w:pPr>
              <w:rPr>
                <w:rFonts w:eastAsia="Times New Roman" w:cstheme="minorHAnsi"/>
              </w:rPr>
            </w:pPr>
            <w:r w:rsidRPr="00736749">
              <w:rPr>
                <w:rFonts w:eastAsia="Times New Roman" w:cstheme="minorHAnsi"/>
              </w:rPr>
              <w:t>If an alternative/value-added option is proposed, can the proposed options be described throughout the proposal with a summary of the alternative in Section IV.M.3, or would PED request that the entire alternative proposed option be described completely within Section IV.M.3?</w:t>
            </w:r>
          </w:p>
        </w:tc>
        <w:tc>
          <w:tcPr>
            <w:tcW w:w="7065" w:type="dxa"/>
            <w:vAlign w:val="center"/>
          </w:tcPr>
          <w:p w:rsidR="00F2142E" w:rsidRPr="00736749" w:rsidRDefault="00F2142E" w:rsidP="00F2142E">
            <w:pPr>
              <w:rPr>
                <w:rFonts w:cstheme="minorHAnsi"/>
              </w:rPr>
            </w:pPr>
            <w:r w:rsidRPr="00736749">
              <w:rPr>
                <w:rFonts w:cstheme="minorHAnsi"/>
              </w:rPr>
              <w:t xml:space="preserve">Yes, the </w:t>
            </w:r>
            <w:r w:rsidRPr="00736749">
              <w:rPr>
                <w:rFonts w:eastAsia="Times New Roman" w:cstheme="minorHAnsi"/>
              </w:rPr>
              <w:t xml:space="preserve">proposed options </w:t>
            </w:r>
            <w:r w:rsidR="009F1175" w:rsidRPr="00736749">
              <w:rPr>
                <w:rFonts w:eastAsia="Times New Roman" w:cstheme="minorHAnsi"/>
              </w:rPr>
              <w:t xml:space="preserve">should </w:t>
            </w:r>
            <w:r w:rsidRPr="00736749">
              <w:rPr>
                <w:rFonts w:eastAsia="Times New Roman" w:cstheme="minorHAnsi"/>
              </w:rPr>
              <w:t>be described throughout the proposal with a summary of the alternative in Section IV.M.3.</w:t>
            </w:r>
          </w:p>
        </w:tc>
        <w:tc>
          <w:tcPr>
            <w:tcW w:w="1470" w:type="dxa"/>
            <w:vAlign w:val="center"/>
          </w:tcPr>
          <w:p w:rsidR="00F2142E" w:rsidRPr="00736749" w:rsidRDefault="009F1175" w:rsidP="00F2142E">
            <w:pPr>
              <w:jc w:val="center"/>
              <w:rPr>
                <w:rFonts w:cstheme="minorHAnsi"/>
              </w:rPr>
            </w:pPr>
            <w:r w:rsidRPr="00736749">
              <w:rPr>
                <w:rFonts w:cstheme="minorHAnsi"/>
              </w:rPr>
              <w:t>IV.M.3</w:t>
            </w:r>
          </w:p>
        </w:tc>
        <w:tc>
          <w:tcPr>
            <w:tcW w:w="818" w:type="dxa"/>
            <w:vAlign w:val="center"/>
          </w:tcPr>
          <w:p w:rsidR="00F2142E" w:rsidRPr="00736749" w:rsidRDefault="009F1175" w:rsidP="00F2142E">
            <w:pPr>
              <w:jc w:val="center"/>
              <w:rPr>
                <w:rFonts w:cstheme="minorHAnsi"/>
              </w:rPr>
            </w:pPr>
            <w:r w:rsidRPr="00736749">
              <w:rPr>
                <w:rFonts w:cstheme="minorHAnsi"/>
              </w:rPr>
              <w:t>58</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38</w:t>
            </w:r>
          </w:p>
        </w:tc>
        <w:tc>
          <w:tcPr>
            <w:tcW w:w="2735" w:type="dxa"/>
          </w:tcPr>
          <w:p w:rsidR="00F2142E" w:rsidRPr="00736749" w:rsidRDefault="00F2142E" w:rsidP="00F2142E">
            <w:pPr>
              <w:rPr>
                <w:rFonts w:eastAsia="Times New Roman" w:cstheme="minorHAnsi"/>
              </w:rPr>
            </w:pPr>
            <w:r w:rsidRPr="00736749">
              <w:rPr>
                <w:rFonts w:eastAsia="Times New Roman" w:cstheme="minorHAnsi"/>
              </w:rPr>
              <w:t>Section IV.S.8 of the RFP states: “PED desires to use a mix of procured and commissioned stimuli, weighted toward the option that is the most cost effective, with the additional requirement that there must be at least one (1) commissioned stimulus on any assessment that uses stimuli.” Does this mean that each student must see one commissioned stimulus (e.g., each form must contain one)? Or does it mean that there must be at least one commissioned stimulus per grade available in the ELA pool?</w:t>
            </w:r>
          </w:p>
        </w:tc>
        <w:tc>
          <w:tcPr>
            <w:tcW w:w="7065" w:type="dxa"/>
            <w:vAlign w:val="center"/>
          </w:tcPr>
          <w:p w:rsidR="00F2142E" w:rsidRPr="00736749" w:rsidRDefault="00F2142E" w:rsidP="00F2142E">
            <w:pPr>
              <w:rPr>
                <w:rFonts w:cstheme="minorHAnsi"/>
              </w:rPr>
            </w:pPr>
            <w:r w:rsidRPr="00736749">
              <w:rPr>
                <w:rFonts w:cstheme="minorHAnsi"/>
              </w:rPr>
              <w:t>Each student must see at least one commissioned passage.</w:t>
            </w:r>
          </w:p>
        </w:tc>
        <w:tc>
          <w:tcPr>
            <w:tcW w:w="1470" w:type="dxa"/>
            <w:vAlign w:val="center"/>
          </w:tcPr>
          <w:p w:rsidR="00F2142E" w:rsidRPr="00736749" w:rsidRDefault="009F1175" w:rsidP="00F2142E">
            <w:pPr>
              <w:jc w:val="center"/>
              <w:rPr>
                <w:rFonts w:cstheme="minorHAnsi"/>
              </w:rPr>
            </w:pPr>
            <w:r w:rsidRPr="00736749">
              <w:rPr>
                <w:rFonts w:cstheme="minorHAnsi"/>
              </w:rPr>
              <w:t>IV.S.8</w:t>
            </w:r>
          </w:p>
        </w:tc>
        <w:tc>
          <w:tcPr>
            <w:tcW w:w="818" w:type="dxa"/>
            <w:vAlign w:val="center"/>
          </w:tcPr>
          <w:p w:rsidR="00F2142E" w:rsidRPr="00736749" w:rsidRDefault="009F1175" w:rsidP="00F2142E">
            <w:pPr>
              <w:jc w:val="center"/>
              <w:rPr>
                <w:rFonts w:cstheme="minorHAnsi"/>
              </w:rPr>
            </w:pPr>
            <w:r w:rsidRPr="00736749">
              <w:rPr>
                <w:rFonts w:cstheme="minorHAnsi"/>
              </w:rPr>
              <w:t>76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39</w:t>
            </w:r>
          </w:p>
        </w:tc>
        <w:tc>
          <w:tcPr>
            <w:tcW w:w="2735" w:type="dxa"/>
          </w:tcPr>
          <w:p w:rsidR="00F2142E" w:rsidRPr="00736749" w:rsidRDefault="00F2142E" w:rsidP="00F2142E">
            <w:pPr>
              <w:rPr>
                <w:rFonts w:eastAsia="Times New Roman" w:cstheme="minorHAnsi"/>
                <w:shd w:val="clear" w:color="auto" w:fill="FFFFFF"/>
              </w:rPr>
            </w:pPr>
            <w:r w:rsidRPr="00736749">
              <w:rPr>
                <w:rFonts w:eastAsia="Times New Roman" w:cstheme="minorHAnsi"/>
              </w:rPr>
              <w:t>The table in section IV.R.6 which is related to the procedural approach to testing does not include the summative college admissions test.  Should Offeror include a response for this section if they are including a summative college admissions test in their response?</w:t>
            </w:r>
          </w:p>
        </w:tc>
        <w:tc>
          <w:tcPr>
            <w:tcW w:w="7065" w:type="dxa"/>
            <w:vAlign w:val="center"/>
          </w:tcPr>
          <w:p w:rsidR="00F2142E" w:rsidRPr="00736749" w:rsidRDefault="00F2142E" w:rsidP="00F2142E">
            <w:pPr>
              <w:rPr>
                <w:rFonts w:cstheme="minorHAnsi"/>
              </w:rPr>
            </w:pPr>
            <w:r w:rsidRPr="00736749">
              <w:rPr>
                <w:rFonts w:cstheme="minorHAnsi"/>
              </w:rPr>
              <w:t>As indicated in the Offeror Response box, this section is applicable to service groups A3, B, C1, C2, D2, A6, and D3.</w:t>
            </w:r>
          </w:p>
        </w:tc>
        <w:tc>
          <w:tcPr>
            <w:tcW w:w="1470" w:type="dxa"/>
            <w:vAlign w:val="center"/>
          </w:tcPr>
          <w:p w:rsidR="00F2142E" w:rsidRPr="00736749" w:rsidRDefault="00F2142E" w:rsidP="00F2142E">
            <w:pPr>
              <w:jc w:val="center"/>
              <w:rPr>
                <w:rFonts w:cstheme="minorHAnsi"/>
              </w:rPr>
            </w:pPr>
            <w:r w:rsidRPr="00736749">
              <w:rPr>
                <w:rFonts w:cstheme="minorHAnsi"/>
              </w:rPr>
              <w:t>IV.R.6</w:t>
            </w:r>
          </w:p>
        </w:tc>
        <w:tc>
          <w:tcPr>
            <w:tcW w:w="818" w:type="dxa"/>
            <w:vAlign w:val="center"/>
          </w:tcPr>
          <w:p w:rsidR="00F2142E" w:rsidRPr="00736749" w:rsidRDefault="00F2142E" w:rsidP="00F2142E">
            <w:pPr>
              <w:jc w:val="center"/>
              <w:rPr>
                <w:rFonts w:cstheme="minorHAnsi"/>
              </w:rPr>
            </w:pPr>
            <w:r w:rsidRPr="00736749">
              <w:rPr>
                <w:rFonts w:cstheme="minorHAnsi"/>
              </w:rPr>
              <w:t>69</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40</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For this section, Optional Technical Assistant, is a response/proposal required?  If a response is required, who will determine if the option is exercised and when?  Will these positions be considered employees of PED or the Offeror?</w:t>
            </w:r>
          </w:p>
        </w:tc>
        <w:tc>
          <w:tcPr>
            <w:tcW w:w="7065" w:type="dxa"/>
            <w:vAlign w:val="center"/>
          </w:tcPr>
          <w:p w:rsidR="00F2142E" w:rsidRPr="00736749" w:rsidRDefault="00F2142E" w:rsidP="00EB4458">
            <w:pPr>
              <w:rPr>
                <w:rFonts w:cstheme="minorHAnsi"/>
              </w:rPr>
            </w:pPr>
            <w:r w:rsidRPr="00736749">
              <w:rPr>
                <w:rFonts w:cstheme="minorHAnsi"/>
              </w:rPr>
              <w:t>The Offeror must provide a proposal for both options cited. The Assessment Director will determine if the option is exercised</w:t>
            </w:r>
            <w:r w:rsidR="00991DD1" w:rsidRPr="00736749">
              <w:rPr>
                <w:rFonts w:cstheme="minorHAnsi"/>
              </w:rPr>
              <w:t xml:space="preserve"> during contract negotiations</w:t>
            </w:r>
            <w:r w:rsidRPr="00736749">
              <w:rPr>
                <w:rFonts w:cstheme="minorHAnsi"/>
              </w:rPr>
              <w:t>. As noted, Offeror must ackn</w:t>
            </w:r>
            <w:r w:rsidR="00EB4458" w:rsidRPr="00736749">
              <w:rPr>
                <w:rFonts w:cstheme="minorHAnsi"/>
              </w:rPr>
              <w:t>owledge that the Offeror will be responsible for</w:t>
            </w:r>
            <w:r w:rsidRPr="00736749">
              <w:rPr>
                <w:rFonts w:cstheme="minorHAnsi"/>
              </w:rPr>
              <w:t xml:space="preserve"> </w:t>
            </w:r>
            <w:r w:rsidR="00EB4458" w:rsidRPr="00736749">
              <w:rPr>
                <w:rFonts w:cstheme="minorHAnsi"/>
              </w:rPr>
              <w:t>all costs</w:t>
            </w:r>
            <w:r w:rsidRPr="00736749">
              <w:rPr>
                <w:rFonts w:cstheme="minorHAnsi"/>
              </w:rPr>
              <w:t xml:space="preserve"> for the two positions</w:t>
            </w:r>
            <w:r w:rsidR="00276B09" w:rsidRPr="00736749">
              <w:rPr>
                <w:rFonts w:cstheme="minorHAnsi"/>
              </w:rPr>
              <w:t xml:space="preserve"> making the positions employees of the Offeror</w:t>
            </w:r>
            <w:r w:rsidRPr="00736749">
              <w:rPr>
                <w:rFonts w:cstheme="minorHAnsi"/>
              </w:rPr>
              <w:t xml:space="preserve">. </w:t>
            </w:r>
          </w:p>
        </w:tc>
        <w:tc>
          <w:tcPr>
            <w:tcW w:w="1470" w:type="dxa"/>
            <w:vAlign w:val="center"/>
          </w:tcPr>
          <w:p w:rsidR="00F2142E" w:rsidRPr="00736749" w:rsidRDefault="00F2142E" w:rsidP="00F2142E">
            <w:pPr>
              <w:jc w:val="center"/>
              <w:rPr>
                <w:rFonts w:cstheme="minorHAnsi"/>
              </w:rPr>
            </w:pPr>
            <w:r w:rsidRPr="00736749">
              <w:rPr>
                <w:rFonts w:cstheme="minorHAnsi"/>
              </w:rPr>
              <w:t>IV.DD</w:t>
            </w:r>
          </w:p>
        </w:tc>
        <w:tc>
          <w:tcPr>
            <w:tcW w:w="818" w:type="dxa"/>
            <w:vAlign w:val="center"/>
          </w:tcPr>
          <w:p w:rsidR="00F2142E" w:rsidRPr="00736749" w:rsidRDefault="00F2142E" w:rsidP="00F2142E">
            <w:pPr>
              <w:jc w:val="center"/>
              <w:rPr>
                <w:rFonts w:cstheme="minorHAnsi"/>
              </w:rPr>
            </w:pPr>
            <w:r w:rsidRPr="00736749">
              <w:rPr>
                <w:rFonts w:cstheme="minorHAnsi"/>
              </w:rPr>
              <w:t>117</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41</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The Volume of Valid scores chart reflects a testing volume of approximately 9,000 for grade 11, however, enrollment for 11</w:t>
            </w:r>
            <w:r w:rsidRPr="00736749">
              <w:rPr>
                <w:rFonts w:cstheme="minorHAnsi"/>
                <w:vertAlign w:val="superscript"/>
              </w:rPr>
              <w:t>th</w:t>
            </w:r>
            <w:r w:rsidRPr="00736749">
              <w:rPr>
                <w:rFonts w:cstheme="minorHAnsi"/>
              </w:rPr>
              <w:t xml:space="preserve"> grade is approximately 23,000.  Can you confirm the estimated testing volume for 11</w:t>
            </w:r>
            <w:r w:rsidRPr="00736749">
              <w:rPr>
                <w:rFonts w:cstheme="minorHAnsi"/>
                <w:vertAlign w:val="superscript"/>
              </w:rPr>
              <w:t>th</w:t>
            </w:r>
            <w:r w:rsidRPr="00736749">
              <w:rPr>
                <w:rFonts w:cstheme="minorHAnsi"/>
              </w:rPr>
              <w:t xml:space="preserve"> grade college admissions exam?</w:t>
            </w:r>
          </w:p>
        </w:tc>
        <w:tc>
          <w:tcPr>
            <w:tcW w:w="7065" w:type="dxa"/>
            <w:vAlign w:val="center"/>
          </w:tcPr>
          <w:p w:rsidR="00F2142E" w:rsidRPr="00736749" w:rsidRDefault="00BF59EF" w:rsidP="00F2142E">
            <w:pPr>
              <w:rPr>
                <w:rFonts w:cstheme="minorHAnsi"/>
              </w:rPr>
            </w:pPr>
            <w:r w:rsidRPr="00736749">
              <w:rPr>
                <w:rFonts w:cstheme="minorHAnsi"/>
              </w:rPr>
              <w:t>In the Spring 2018 test administration, 22,659 11</w:t>
            </w:r>
            <w:r w:rsidRPr="00736749">
              <w:rPr>
                <w:rFonts w:cstheme="minorHAnsi"/>
                <w:vertAlign w:val="superscript"/>
              </w:rPr>
              <w:t>th</w:t>
            </w:r>
            <w:r w:rsidRPr="00736749">
              <w:rPr>
                <w:rFonts w:cstheme="minorHAnsi"/>
              </w:rPr>
              <w:t xml:space="preserve"> graders took the ELA 11 assessment. Table 15 has been amended. Please see Amendment No. 2.</w:t>
            </w:r>
          </w:p>
        </w:tc>
        <w:tc>
          <w:tcPr>
            <w:tcW w:w="1470" w:type="dxa"/>
            <w:vAlign w:val="center"/>
          </w:tcPr>
          <w:p w:rsidR="00F2142E" w:rsidRPr="00736749" w:rsidRDefault="00F2142E" w:rsidP="00F2142E">
            <w:pPr>
              <w:jc w:val="center"/>
              <w:rPr>
                <w:rFonts w:cstheme="minorHAnsi"/>
              </w:rPr>
            </w:pPr>
            <w:r w:rsidRPr="00736749">
              <w:rPr>
                <w:rFonts w:cstheme="minorHAnsi"/>
              </w:rPr>
              <w:t>IV.H.2</w:t>
            </w:r>
          </w:p>
        </w:tc>
        <w:tc>
          <w:tcPr>
            <w:tcW w:w="818" w:type="dxa"/>
            <w:vAlign w:val="center"/>
          </w:tcPr>
          <w:p w:rsidR="00F2142E" w:rsidRPr="00736749" w:rsidRDefault="00BF59EF" w:rsidP="00F2142E">
            <w:pPr>
              <w:jc w:val="center"/>
              <w:rPr>
                <w:rFonts w:cstheme="minorHAnsi"/>
              </w:rPr>
            </w:pPr>
            <w:r w:rsidRPr="00736749">
              <w:rPr>
                <w:rFonts w:cstheme="minorHAnsi"/>
              </w:rPr>
              <w:t>41</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42</w:t>
            </w:r>
          </w:p>
        </w:tc>
        <w:tc>
          <w:tcPr>
            <w:tcW w:w="2735" w:type="dxa"/>
          </w:tcPr>
          <w:p w:rsidR="00F2142E" w:rsidRPr="00736749" w:rsidRDefault="00F2142E" w:rsidP="00F2142E">
            <w:pPr>
              <w:rPr>
                <w:rFonts w:cstheme="minorHAnsi"/>
              </w:rPr>
            </w:pPr>
            <w:r w:rsidRPr="00736749">
              <w:rPr>
                <w:rFonts w:cstheme="minorHAnsi"/>
              </w:rPr>
              <w:t xml:space="preserve">IV.R.2 Content standards; IV.S.11.e; IV.W.3.c Disaster planning and recovery - </w:t>
            </w:r>
          </w:p>
          <w:p w:rsidR="00F2142E" w:rsidRPr="00736749" w:rsidRDefault="00F2142E" w:rsidP="00F2142E">
            <w:pPr>
              <w:rPr>
                <w:rFonts w:cstheme="minorHAnsi"/>
              </w:rPr>
            </w:pPr>
            <w:proofErr w:type="gramStart"/>
            <w:r w:rsidRPr="00736749">
              <w:rPr>
                <w:rFonts w:cstheme="minorHAnsi"/>
              </w:rPr>
              <w:t>these</w:t>
            </w:r>
            <w:proofErr w:type="gramEnd"/>
            <w:r w:rsidRPr="00736749">
              <w:rPr>
                <w:rFonts w:cstheme="minorHAnsi"/>
              </w:rPr>
              <w:t xml:space="preserve"> response items have no corresponding text boxes.  Should vendors respond to these items?  If so, which service groups?</w:t>
            </w:r>
          </w:p>
        </w:tc>
        <w:tc>
          <w:tcPr>
            <w:tcW w:w="7065" w:type="dxa"/>
            <w:vAlign w:val="center"/>
          </w:tcPr>
          <w:p w:rsidR="00F430E6" w:rsidRPr="00736749" w:rsidRDefault="00F430E6" w:rsidP="00F430E6">
            <w:pPr>
              <w:rPr>
                <w:rFonts w:cstheme="minorHAnsi"/>
                <w:b/>
                <w:bCs/>
              </w:rPr>
            </w:pPr>
            <w:r w:rsidRPr="00736749">
              <w:rPr>
                <w:rFonts w:cstheme="minorHAnsi"/>
                <w:b/>
                <w:bCs/>
              </w:rPr>
              <w:t>For section IV.R</w:t>
            </w:r>
            <w:r w:rsidR="00597AD6">
              <w:rPr>
                <w:rFonts w:cstheme="minorHAnsi"/>
                <w:b/>
                <w:bCs/>
              </w:rPr>
              <w:t>.</w:t>
            </w:r>
            <w:r w:rsidRPr="00736749">
              <w:rPr>
                <w:rFonts w:cstheme="minorHAnsi"/>
                <w:b/>
                <w:bCs/>
              </w:rPr>
              <w:t>2</w:t>
            </w:r>
          </w:p>
          <w:p w:rsidR="00F430E6" w:rsidRPr="00736749" w:rsidRDefault="00F430E6" w:rsidP="00F430E6">
            <w:pPr>
              <w:rPr>
                <w:rFonts w:cstheme="minorHAnsi"/>
                <w:b/>
                <w:bCs/>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F430E6" w:rsidRPr="00736749" w:rsidTr="00677910">
              <w:trPr>
                <w:cantSplit/>
                <w:tblHeader/>
              </w:trPr>
              <w:tc>
                <w:tcPr>
                  <w:tcW w:w="5000" w:type="pct"/>
                  <w:shd w:val="clear" w:color="auto" w:fill="7F7F7F" w:themeFill="text1" w:themeFillTint="80"/>
                </w:tcPr>
                <w:p w:rsidR="00F430E6" w:rsidRPr="00736749" w:rsidRDefault="00F430E6" w:rsidP="00F430E6">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F430E6" w:rsidRPr="00736749" w:rsidTr="00677910">
              <w:trPr>
                <w:cantSplit/>
                <w:tblHeader/>
              </w:trPr>
              <w:tc>
                <w:tcPr>
                  <w:tcW w:w="5000" w:type="pct"/>
                  <w:shd w:val="clear" w:color="auto" w:fill="E5DFEC" w:themeFill="accent4" w:themeFillTint="33"/>
                </w:tcPr>
                <w:p w:rsidR="00F430E6" w:rsidRPr="00736749" w:rsidRDefault="00F430E6" w:rsidP="00F430E6">
                  <w:pPr>
                    <w:rPr>
                      <w:rStyle w:val="TableContents"/>
                      <w:i/>
                      <w:iCs/>
                    </w:rPr>
                  </w:pPr>
                  <w:r w:rsidRPr="00736749">
                    <w:rPr>
                      <w:rStyle w:val="TableContents"/>
                      <w:i/>
                      <w:iCs/>
                    </w:rPr>
                    <w:t>Applicable to service group(s) A3</w:t>
                  </w:r>
                </w:p>
              </w:tc>
            </w:tr>
            <w:tr w:rsidR="00F430E6" w:rsidRPr="00736749" w:rsidTr="00677910">
              <w:tc>
                <w:tcPr>
                  <w:tcW w:w="5000" w:type="pct"/>
                </w:tcPr>
                <w:p w:rsidR="00F430E6" w:rsidRPr="00736749" w:rsidRDefault="00F430E6" w:rsidP="00F430E6"/>
              </w:tc>
            </w:tr>
          </w:tbl>
          <w:p w:rsidR="00F430E6" w:rsidRPr="00736749" w:rsidRDefault="00F430E6" w:rsidP="00F430E6">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F430E6" w:rsidRPr="00736749" w:rsidTr="00677910">
              <w:trPr>
                <w:cantSplit/>
                <w:tblHeader/>
              </w:trPr>
              <w:tc>
                <w:tcPr>
                  <w:tcW w:w="5000" w:type="pct"/>
                  <w:shd w:val="clear" w:color="auto" w:fill="7F7F7F" w:themeFill="text1" w:themeFillTint="80"/>
                </w:tcPr>
                <w:p w:rsidR="00F430E6" w:rsidRPr="00736749" w:rsidRDefault="00F430E6" w:rsidP="00F430E6">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F430E6" w:rsidRPr="00736749" w:rsidTr="00677910">
              <w:trPr>
                <w:cantSplit/>
                <w:tblHeader/>
              </w:trPr>
              <w:tc>
                <w:tcPr>
                  <w:tcW w:w="5000" w:type="pct"/>
                  <w:shd w:val="clear" w:color="auto" w:fill="E5DFEC" w:themeFill="accent4" w:themeFillTint="33"/>
                </w:tcPr>
                <w:p w:rsidR="00F430E6" w:rsidRPr="00736749" w:rsidRDefault="00F430E6" w:rsidP="00F430E6">
                  <w:pPr>
                    <w:rPr>
                      <w:rStyle w:val="TableContents"/>
                      <w:i/>
                      <w:iCs/>
                    </w:rPr>
                  </w:pPr>
                  <w:r w:rsidRPr="00736749">
                    <w:rPr>
                      <w:rStyle w:val="TableContents"/>
                      <w:i/>
                      <w:iCs/>
                    </w:rPr>
                    <w:t>Applicable to service group(s) B</w:t>
                  </w:r>
                </w:p>
              </w:tc>
            </w:tr>
            <w:tr w:rsidR="00F430E6" w:rsidRPr="00736749" w:rsidTr="00677910">
              <w:tc>
                <w:tcPr>
                  <w:tcW w:w="5000" w:type="pct"/>
                </w:tcPr>
                <w:p w:rsidR="00F430E6" w:rsidRPr="00736749" w:rsidRDefault="00F430E6" w:rsidP="00F430E6"/>
              </w:tc>
            </w:tr>
          </w:tbl>
          <w:p w:rsidR="00F430E6" w:rsidRPr="00736749" w:rsidRDefault="00F430E6" w:rsidP="00F430E6"/>
          <w:p w:rsidR="00F430E6" w:rsidRPr="00736749" w:rsidRDefault="00F430E6" w:rsidP="00F2142E">
            <w:r w:rsidRPr="00736749">
              <w:t>For IV.S.11.e and IV.W.3.c, the text directly following the header is a preamble to the subsections. Responding to the subsections is sufficient.</w:t>
            </w:r>
          </w:p>
        </w:tc>
        <w:tc>
          <w:tcPr>
            <w:tcW w:w="1470" w:type="dxa"/>
            <w:vAlign w:val="center"/>
          </w:tcPr>
          <w:p w:rsidR="00F2142E" w:rsidRPr="00736749" w:rsidRDefault="00F430E6" w:rsidP="00F2142E">
            <w:pPr>
              <w:jc w:val="center"/>
              <w:rPr>
                <w:rFonts w:cstheme="minorHAnsi"/>
              </w:rPr>
            </w:pPr>
            <w:r w:rsidRPr="00736749">
              <w:rPr>
                <w:rFonts w:cstheme="minorHAnsi"/>
              </w:rPr>
              <w:t>IV.R.2</w:t>
            </w:r>
          </w:p>
        </w:tc>
        <w:tc>
          <w:tcPr>
            <w:tcW w:w="818" w:type="dxa"/>
            <w:vAlign w:val="center"/>
          </w:tcPr>
          <w:p w:rsidR="00F2142E" w:rsidRPr="00736749" w:rsidRDefault="00F430E6" w:rsidP="00F2142E">
            <w:pPr>
              <w:jc w:val="center"/>
              <w:rPr>
                <w:rFonts w:cstheme="minorHAnsi"/>
              </w:rPr>
            </w:pPr>
            <w:r w:rsidRPr="00736749">
              <w:rPr>
                <w:rFonts w:cstheme="minorHAnsi"/>
              </w:rPr>
              <w:t>66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43</w:t>
            </w:r>
          </w:p>
        </w:tc>
        <w:tc>
          <w:tcPr>
            <w:tcW w:w="2735" w:type="dxa"/>
          </w:tcPr>
          <w:p w:rsidR="00F2142E" w:rsidRPr="00736749" w:rsidRDefault="00F2142E" w:rsidP="00F2142E">
            <w:pPr>
              <w:rPr>
                <w:rFonts w:eastAsia="Times New Roman" w:cstheme="minorHAnsi"/>
                <w:shd w:val="clear" w:color="auto" w:fill="FFFFFF"/>
              </w:rPr>
            </w:pPr>
            <w:r w:rsidRPr="00736749">
              <w:rPr>
                <w:rStyle w:val="TableContents"/>
                <w:rFonts w:asciiTheme="minorHAnsi" w:hAnsiTheme="minorHAnsi" w:cstheme="minorHAnsi"/>
              </w:rPr>
              <w:t>IV.FF.1 Documentation; IV.FF.2; IV.FF.3</w:t>
            </w:r>
            <w:r w:rsidRPr="00736749">
              <w:rPr>
                <w:rFonts w:ascii="Roboto" w:hAnsi="Roboto"/>
                <w:sz w:val="20"/>
                <w:szCs w:val="20"/>
              </w:rPr>
              <w:t xml:space="preserve"> </w:t>
            </w:r>
            <w:r w:rsidRPr="00736749">
              <w:rPr>
                <w:rStyle w:val="TableContents"/>
                <w:rFonts w:asciiTheme="minorHAnsi" w:hAnsiTheme="minorHAnsi" w:cstheme="minorHAnsi"/>
              </w:rPr>
              <w:t>Service groups missing from some text boxes</w:t>
            </w:r>
            <w:r w:rsidRPr="00736749">
              <w:rPr>
                <w:rStyle w:val="TableContents"/>
                <w:rFonts w:asciiTheme="minorHAnsi" w:hAnsiTheme="minorHAnsi" w:cstheme="minorHAnsi"/>
                <w:i/>
                <w:iCs/>
              </w:rPr>
              <w:t xml:space="preserve"> “Applicable to service group(s)</w:t>
            </w:r>
            <w:r w:rsidRPr="00736749">
              <w:rPr>
                <w:rStyle w:val="TableContents"/>
                <w:rFonts w:asciiTheme="minorHAnsi" w:hAnsiTheme="minorHAnsi" w:cstheme="minorHAnsi"/>
                <w:i/>
                <w:iCs/>
                <w:color w:val="C00000"/>
              </w:rPr>
              <w:t xml:space="preserve"> &lt;insert applicable service group labels here&gt;”</w:t>
            </w:r>
          </w:p>
        </w:tc>
        <w:tc>
          <w:tcPr>
            <w:tcW w:w="7065" w:type="dxa"/>
            <w:vAlign w:val="center"/>
          </w:tcPr>
          <w:p w:rsidR="00F430E6" w:rsidRPr="00736749" w:rsidRDefault="00F430E6" w:rsidP="00F430E6">
            <w:r w:rsidRPr="00736749">
              <w:t xml:space="preserve">This was intentional. The Offeror should indicate what service groups their responses apply to. This may require multiple Offeror response boxes. </w:t>
            </w:r>
          </w:p>
          <w:p w:rsidR="00F2142E" w:rsidRPr="00736749" w:rsidRDefault="00F2142E" w:rsidP="00F2142E"/>
        </w:tc>
        <w:tc>
          <w:tcPr>
            <w:tcW w:w="1470" w:type="dxa"/>
            <w:vAlign w:val="center"/>
          </w:tcPr>
          <w:p w:rsidR="00F2142E" w:rsidRPr="00736749" w:rsidRDefault="00F430E6" w:rsidP="00F2142E">
            <w:pPr>
              <w:jc w:val="center"/>
              <w:rPr>
                <w:rFonts w:cstheme="minorHAnsi"/>
              </w:rPr>
            </w:pPr>
            <w:r w:rsidRPr="00736749">
              <w:rPr>
                <w:rFonts w:cstheme="minorHAnsi"/>
              </w:rPr>
              <w:t>IV.FF.1-3</w:t>
            </w:r>
          </w:p>
        </w:tc>
        <w:tc>
          <w:tcPr>
            <w:tcW w:w="818" w:type="dxa"/>
            <w:vAlign w:val="center"/>
          </w:tcPr>
          <w:p w:rsidR="00F2142E" w:rsidRPr="00736749" w:rsidRDefault="00F430E6" w:rsidP="00F430E6">
            <w:pPr>
              <w:jc w:val="center"/>
              <w:rPr>
                <w:rFonts w:cstheme="minorHAnsi"/>
              </w:rPr>
            </w:pPr>
            <w:r w:rsidRPr="00736749">
              <w:rPr>
                <w:rFonts w:cstheme="minorHAnsi"/>
              </w:rPr>
              <w:t>121-126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44</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Section IV.L says that there will be a fall testing window for seniors who need to retake the assessment in order to graduate. Will students be required to earn a certain score on the college entrance exam in order to meet graduation requirements? If so, what is the first cohort that will be required to meet this requirement?</w:t>
            </w:r>
          </w:p>
        </w:tc>
        <w:tc>
          <w:tcPr>
            <w:tcW w:w="7065" w:type="dxa"/>
            <w:vAlign w:val="center"/>
          </w:tcPr>
          <w:p w:rsidR="00F2142E" w:rsidRPr="00736749" w:rsidRDefault="00F2142E" w:rsidP="00F2142E">
            <w:pPr>
              <w:rPr>
                <w:rFonts w:cstheme="minorHAnsi"/>
              </w:rPr>
            </w:pPr>
            <w:r w:rsidRPr="00736749">
              <w:rPr>
                <w:rFonts w:cstheme="minorHAnsi"/>
              </w:rPr>
              <w:t xml:space="preserve">This is </w:t>
            </w:r>
            <w:r w:rsidR="00F430E6" w:rsidRPr="00736749">
              <w:rPr>
                <w:rFonts w:cstheme="minorHAnsi"/>
              </w:rPr>
              <w:t xml:space="preserve">yet </w:t>
            </w:r>
            <w:r w:rsidRPr="00736749">
              <w:rPr>
                <w:rFonts w:cstheme="minorHAnsi"/>
              </w:rPr>
              <w:t>to be determined</w:t>
            </w:r>
            <w:r w:rsidR="00991DD1" w:rsidRPr="00736749">
              <w:rPr>
                <w:rFonts w:cstheme="minorHAnsi"/>
              </w:rPr>
              <w:t xml:space="preserve">. </w:t>
            </w:r>
          </w:p>
        </w:tc>
        <w:tc>
          <w:tcPr>
            <w:tcW w:w="1470" w:type="dxa"/>
            <w:vAlign w:val="center"/>
          </w:tcPr>
          <w:p w:rsidR="00F2142E" w:rsidRPr="00736749" w:rsidRDefault="00F2142E" w:rsidP="00F2142E">
            <w:pPr>
              <w:jc w:val="center"/>
              <w:rPr>
                <w:rFonts w:cstheme="minorHAnsi"/>
              </w:rPr>
            </w:pPr>
            <w:r w:rsidRPr="00736749">
              <w:rPr>
                <w:rFonts w:cstheme="minorHAnsi"/>
              </w:rPr>
              <w:t>IV.L</w:t>
            </w:r>
          </w:p>
        </w:tc>
        <w:tc>
          <w:tcPr>
            <w:tcW w:w="818" w:type="dxa"/>
            <w:vAlign w:val="center"/>
          </w:tcPr>
          <w:p w:rsidR="00F2142E" w:rsidRPr="00736749" w:rsidRDefault="00F2142E" w:rsidP="00F2142E">
            <w:pPr>
              <w:jc w:val="center"/>
              <w:rPr>
                <w:rFonts w:cstheme="minorHAnsi"/>
              </w:rPr>
            </w:pPr>
            <w:r w:rsidRPr="00736749">
              <w:rPr>
                <w:rFonts w:cstheme="minorHAnsi"/>
              </w:rPr>
              <w:t>56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45</w:t>
            </w:r>
          </w:p>
        </w:tc>
        <w:tc>
          <w:tcPr>
            <w:tcW w:w="2735" w:type="dxa"/>
          </w:tcPr>
          <w:p w:rsidR="00F2142E" w:rsidRPr="00736749" w:rsidRDefault="00F2142E" w:rsidP="00F2142E">
            <w:pPr>
              <w:rPr>
                <w:rFonts w:cstheme="minorHAnsi"/>
              </w:rPr>
            </w:pPr>
            <w:r w:rsidRPr="00736749">
              <w:rPr>
                <w:rFonts w:cstheme="minorHAnsi"/>
              </w:rPr>
              <w:t>Is the attached Sample Contract (Appendix C: Information Technology Agreement) intended to be the template PED expects to use in connection with contracting for assessment services? If yes, should we submit deviations for those provisions which are not applicable to our proposed services?</w:t>
            </w:r>
          </w:p>
        </w:tc>
        <w:tc>
          <w:tcPr>
            <w:tcW w:w="7065" w:type="dxa"/>
            <w:vAlign w:val="center"/>
          </w:tcPr>
          <w:p w:rsidR="00F2142E" w:rsidRPr="00736749" w:rsidRDefault="00DC74F7" w:rsidP="00F2142E">
            <w:pPr>
              <w:rPr>
                <w:rFonts w:cstheme="minorHAnsi"/>
              </w:rPr>
            </w:pPr>
            <w:r w:rsidRPr="00736749">
              <w:rPr>
                <w:rFonts w:cstheme="minorHAnsi"/>
              </w:rPr>
              <w:t>The attached Sample Contract</w:t>
            </w:r>
            <w:r w:rsidR="00A3226C">
              <w:rPr>
                <w:rFonts w:cstheme="minorHAnsi"/>
              </w:rPr>
              <w:t xml:space="preserve"> (Appendix C)</w:t>
            </w:r>
            <w:r w:rsidRPr="00736749">
              <w:rPr>
                <w:rFonts w:cstheme="minorHAnsi"/>
              </w:rPr>
              <w:t xml:space="preserve"> was provided as the beginning of a template. PED recognizes that some deviations will be necessary. Deviations should be submitted in the proposals. The final contract will be based on the template and the proposal. </w:t>
            </w:r>
          </w:p>
        </w:tc>
        <w:tc>
          <w:tcPr>
            <w:tcW w:w="1470" w:type="dxa"/>
            <w:vAlign w:val="center"/>
          </w:tcPr>
          <w:p w:rsidR="00F2142E" w:rsidRPr="00736749" w:rsidRDefault="00F2142E" w:rsidP="00F2142E">
            <w:pPr>
              <w:jc w:val="center"/>
              <w:rPr>
                <w:rFonts w:cstheme="minorHAnsi"/>
              </w:rPr>
            </w:pPr>
          </w:p>
        </w:tc>
        <w:tc>
          <w:tcPr>
            <w:tcW w:w="818" w:type="dxa"/>
            <w:vAlign w:val="center"/>
          </w:tcPr>
          <w:p w:rsidR="00F2142E" w:rsidRPr="00736749" w:rsidRDefault="00F2142E" w:rsidP="00F2142E">
            <w:pPr>
              <w:jc w:val="center"/>
              <w:rPr>
                <w:rFonts w:cstheme="minorHAnsi"/>
              </w:rPr>
            </w:pP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46</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Do the approximate milestones for the Spring 2020 administrations also apply to the optional 9</w:t>
            </w:r>
            <w:r w:rsidRPr="00736749">
              <w:rPr>
                <w:rFonts w:cstheme="minorHAnsi"/>
                <w:vertAlign w:val="superscript"/>
              </w:rPr>
              <w:t>th</w:t>
            </w:r>
            <w:r w:rsidRPr="00736749">
              <w:rPr>
                <w:rFonts w:cstheme="minorHAnsi"/>
              </w:rPr>
              <w:t>/10</w:t>
            </w:r>
            <w:r w:rsidRPr="00736749">
              <w:rPr>
                <w:rFonts w:cstheme="minorHAnsi"/>
                <w:vertAlign w:val="superscript"/>
              </w:rPr>
              <w:t>th</w:t>
            </w:r>
            <w:r w:rsidRPr="00736749">
              <w:rPr>
                <w:rFonts w:cstheme="minorHAnsi"/>
              </w:rPr>
              <w:t xml:space="preserve"> grade ELA/Math summative </w:t>
            </w:r>
            <w:proofErr w:type="gramStart"/>
            <w:r w:rsidRPr="00736749">
              <w:rPr>
                <w:rFonts w:cstheme="minorHAnsi"/>
              </w:rPr>
              <w:t>assessments.</w:t>
            </w:r>
            <w:proofErr w:type="gramEnd"/>
            <w:r w:rsidRPr="00736749">
              <w:rPr>
                <w:rFonts w:cstheme="minorHAnsi"/>
              </w:rPr>
              <w:t>  The narrative below the chart notes that the dates listed are for 3-8 testing. </w:t>
            </w:r>
          </w:p>
        </w:tc>
        <w:tc>
          <w:tcPr>
            <w:tcW w:w="7065" w:type="dxa"/>
            <w:vAlign w:val="center"/>
          </w:tcPr>
          <w:p w:rsidR="00F2142E" w:rsidRPr="00736749" w:rsidRDefault="00052A24" w:rsidP="00052A24">
            <w:pPr>
              <w:rPr>
                <w:rFonts w:cstheme="minorHAnsi"/>
              </w:rPr>
            </w:pPr>
            <w:r w:rsidRPr="00736749">
              <w:rPr>
                <w:rFonts w:cstheme="minorHAnsi"/>
              </w:rPr>
              <w:t xml:space="preserve">There are stages identified for each school year for the 9-10 ELA/Math Summative Assessment that align to the stages of the required 3-8 ELA/Math Summative Assessment. Footnote A simply states that this will set the baseline for the new assessment system. </w:t>
            </w:r>
          </w:p>
        </w:tc>
        <w:tc>
          <w:tcPr>
            <w:tcW w:w="1470" w:type="dxa"/>
            <w:vAlign w:val="center"/>
          </w:tcPr>
          <w:p w:rsidR="00F2142E" w:rsidRPr="00736749" w:rsidRDefault="00052A24" w:rsidP="00F2142E">
            <w:pPr>
              <w:jc w:val="center"/>
              <w:rPr>
                <w:rFonts w:cstheme="minorHAnsi"/>
              </w:rPr>
            </w:pPr>
            <w:r w:rsidRPr="00736749">
              <w:rPr>
                <w:rFonts w:cstheme="minorHAnsi"/>
              </w:rPr>
              <w:t>I</w:t>
            </w:r>
            <w:r w:rsidR="0042198B" w:rsidRPr="00736749">
              <w:rPr>
                <w:rFonts w:cstheme="minorHAnsi"/>
              </w:rPr>
              <w:t>V.A</w:t>
            </w:r>
          </w:p>
          <w:p w:rsidR="0042198B" w:rsidRPr="00736749" w:rsidRDefault="0042198B" w:rsidP="00F2142E">
            <w:pPr>
              <w:jc w:val="center"/>
              <w:rPr>
                <w:rFonts w:cstheme="minorHAnsi"/>
              </w:rPr>
            </w:pPr>
            <w:r w:rsidRPr="00736749">
              <w:rPr>
                <w:rFonts w:cstheme="minorHAnsi"/>
              </w:rPr>
              <w:t>Table 11</w:t>
            </w:r>
          </w:p>
        </w:tc>
        <w:tc>
          <w:tcPr>
            <w:tcW w:w="818" w:type="dxa"/>
            <w:vAlign w:val="center"/>
          </w:tcPr>
          <w:p w:rsidR="00F2142E" w:rsidRPr="00736749" w:rsidRDefault="00052A24" w:rsidP="00F2142E">
            <w:pPr>
              <w:jc w:val="center"/>
              <w:rPr>
                <w:rFonts w:cstheme="minorHAnsi"/>
              </w:rPr>
            </w:pPr>
            <w:r w:rsidRPr="00736749">
              <w:rPr>
                <w:rFonts w:cstheme="minorHAnsi"/>
              </w:rPr>
              <w:t>25</w:t>
            </w:r>
          </w:p>
          <w:p w:rsidR="00052A24" w:rsidRPr="00736749" w:rsidRDefault="00052A24" w:rsidP="00F2142E">
            <w:pPr>
              <w:jc w:val="center"/>
              <w:rPr>
                <w:rFonts w:cstheme="minorHAnsi"/>
              </w:rPr>
            </w:pP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47</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Is the desire/intent of the 9</w:t>
            </w:r>
            <w:r w:rsidRPr="00736749">
              <w:rPr>
                <w:rFonts w:cstheme="minorHAnsi"/>
                <w:vertAlign w:val="superscript"/>
              </w:rPr>
              <w:t>th</w:t>
            </w:r>
            <w:r w:rsidRPr="00736749">
              <w:rPr>
                <w:rFonts w:cstheme="minorHAnsi"/>
              </w:rPr>
              <w:t>/10</w:t>
            </w:r>
            <w:r w:rsidRPr="00736749">
              <w:rPr>
                <w:rFonts w:cstheme="minorHAnsi"/>
                <w:vertAlign w:val="superscript"/>
              </w:rPr>
              <w:t>th</w:t>
            </w:r>
            <w:r w:rsidRPr="00736749">
              <w:rPr>
                <w:rFonts w:cstheme="minorHAnsi"/>
              </w:rPr>
              <w:t xml:space="preserve"> grade summative assessments to be aligned to the 3-8 summative assessments and be customized over time from the TAMELA? </w:t>
            </w:r>
          </w:p>
        </w:tc>
        <w:tc>
          <w:tcPr>
            <w:tcW w:w="7065" w:type="dxa"/>
            <w:vAlign w:val="center"/>
          </w:tcPr>
          <w:p w:rsidR="00F2142E" w:rsidRPr="00736749" w:rsidRDefault="00F2142E" w:rsidP="00F2142E">
            <w:pPr>
              <w:rPr>
                <w:rFonts w:cstheme="minorHAnsi"/>
              </w:rPr>
            </w:pPr>
            <w:r w:rsidRPr="00736749">
              <w:rPr>
                <w:rFonts w:cstheme="minorHAnsi"/>
              </w:rPr>
              <w:t xml:space="preserve">As shown in Table 11, the Stage in Evolution cell is combined for grades 3-8 and 9-10 summative assessments because the desire/intent is for the assessments to be aligned. </w:t>
            </w:r>
          </w:p>
        </w:tc>
        <w:tc>
          <w:tcPr>
            <w:tcW w:w="1470" w:type="dxa"/>
            <w:vAlign w:val="center"/>
          </w:tcPr>
          <w:p w:rsidR="0042198B" w:rsidRPr="00736749" w:rsidRDefault="0042198B" w:rsidP="00F2142E">
            <w:pPr>
              <w:jc w:val="center"/>
              <w:rPr>
                <w:rFonts w:cstheme="minorHAnsi"/>
              </w:rPr>
            </w:pPr>
            <w:r w:rsidRPr="00736749">
              <w:rPr>
                <w:rFonts w:cstheme="minorHAnsi"/>
              </w:rPr>
              <w:t>IV.A</w:t>
            </w:r>
          </w:p>
          <w:p w:rsidR="00F2142E" w:rsidRPr="00736749" w:rsidRDefault="00F2142E" w:rsidP="00F2142E">
            <w:pPr>
              <w:jc w:val="center"/>
              <w:rPr>
                <w:rFonts w:cstheme="minorHAnsi"/>
              </w:rPr>
            </w:pPr>
            <w:r w:rsidRPr="00736749">
              <w:rPr>
                <w:rFonts w:cstheme="minorHAnsi"/>
              </w:rPr>
              <w:t>Table 11</w:t>
            </w:r>
          </w:p>
        </w:tc>
        <w:tc>
          <w:tcPr>
            <w:tcW w:w="818" w:type="dxa"/>
            <w:vAlign w:val="center"/>
          </w:tcPr>
          <w:p w:rsidR="00F2142E" w:rsidRPr="00736749" w:rsidRDefault="00F2142E" w:rsidP="00F2142E">
            <w:pPr>
              <w:jc w:val="center"/>
              <w:rPr>
                <w:rFonts w:cstheme="minorHAnsi"/>
              </w:rPr>
            </w:pPr>
            <w:r w:rsidRPr="00736749">
              <w:rPr>
                <w:rFonts w:cstheme="minorHAnsi"/>
              </w:rPr>
              <w:t>25</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48</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If the state adopts an Offeror’s 9</w:t>
            </w:r>
            <w:r w:rsidRPr="00736749">
              <w:rPr>
                <w:rFonts w:cstheme="minorHAnsi"/>
                <w:vertAlign w:val="superscript"/>
              </w:rPr>
              <w:t>th</w:t>
            </w:r>
            <w:r w:rsidRPr="00736749">
              <w:rPr>
                <w:rFonts w:cstheme="minorHAnsi"/>
              </w:rPr>
              <w:t xml:space="preserve"> and/or 10</w:t>
            </w:r>
            <w:r w:rsidRPr="00736749">
              <w:rPr>
                <w:rFonts w:cstheme="minorHAnsi"/>
                <w:vertAlign w:val="superscript"/>
              </w:rPr>
              <w:t>th</w:t>
            </w:r>
            <w:r w:rsidRPr="00736749">
              <w:rPr>
                <w:rFonts w:cstheme="minorHAnsi"/>
              </w:rPr>
              <w:t xml:space="preserve"> grade summative assessment(s) will all districts/school be required to participate in the assessment(s)?</w:t>
            </w:r>
          </w:p>
        </w:tc>
        <w:tc>
          <w:tcPr>
            <w:tcW w:w="7065" w:type="dxa"/>
            <w:vAlign w:val="center"/>
          </w:tcPr>
          <w:p w:rsidR="00F2142E" w:rsidRPr="00736749" w:rsidRDefault="00991DD1" w:rsidP="00F2142E">
            <w:pPr>
              <w:rPr>
                <w:rFonts w:cstheme="minorHAnsi"/>
              </w:rPr>
            </w:pPr>
            <w:r w:rsidRPr="00736749">
              <w:rPr>
                <w:rFonts w:cstheme="minorHAnsi"/>
              </w:rPr>
              <w:t xml:space="preserve">Table 11 shows this is a district option. </w:t>
            </w:r>
          </w:p>
        </w:tc>
        <w:tc>
          <w:tcPr>
            <w:tcW w:w="1470" w:type="dxa"/>
            <w:vAlign w:val="center"/>
          </w:tcPr>
          <w:p w:rsidR="00F2142E" w:rsidRPr="00736749" w:rsidRDefault="00F430E6" w:rsidP="00F2142E">
            <w:pPr>
              <w:jc w:val="center"/>
              <w:rPr>
                <w:rFonts w:cstheme="minorHAnsi"/>
              </w:rPr>
            </w:pPr>
            <w:r w:rsidRPr="00736749">
              <w:rPr>
                <w:rFonts w:cstheme="minorHAnsi"/>
              </w:rPr>
              <w:t>IV.A</w:t>
            </w:r>
          </w:p>
          <w:p w:rsidR="00F430E6" w:rsidRPr="00736749" w:rsidRDefault="00F430E6" w:rsidP="00F2142E">
            <w:pPr>
              <w:jc w:val="center"/>
              <w:rPr>
                <w:rFonts w:cstheme="minorHAnsi"/>
              </w:rPr>
            </w:pPr>
            <w:r w:rsidRPr="00736749">
              <w:rPr>
                <w:rFonts w:cstheme="minorHAnsi"/>
              </w:rPr>
              <w:t>Table 11</w:t>
            </w:r>
          </w:p>
        </w:tc>
        <w:tc>
          <w:tcPr>
            <w:tcW w:w="818" w:type="dxa"/>
            <w:vAlign w:val="center"/>
          </w:tcPr>
          <w:p w:rsidR="00F2142E" w:rsidRPr="00736749" w:rsidRDefault="00F430E6" w:rsidP="00F2142E">
            <w:pPr>
              <w:jc w:val="center"/>
              <w:rPr>
                <w:rFonts w:cstheme="minorHAnsi"/>
              </w:rPr>
            </w:pPr>
            <w:r w:rsidRPr="00736749">
              <w:rPr>
                <w:rFonts w:cstheme="minorHAnsi"/>
              </w:rPr>
              <w:t>25</w:t>
            </w:r>
          </w:p>
        </w:tc>
      </w:tr>
      <w:tr w:rsidR="00F2142E" w:rsidRPr="00736749" w:rsidTr="00847156">
        <w:trPr>
          <w:cantSplit/>
        </w:trPr>
        <w:tc>
          <w:tcPr>
            <w:tcW w:w="1228" w:type="dxa"/>
            <w:vAlign w:val="center"/>
          </w:tcPr>
          <w:p w:rsidR="00F2142E" w:rsidRPr="00736749" w:rsidRDefault="0042198B" w:rsidP="00F2142E">
            <w:pPr>
              <w:jc w:val="center"/>
              <w:rPr>
                <w:rFonts w:cstheme="minorHAnsi"/>
              </w:rPr>
            </w:pPr>
            <w:r w:rsidRPr="00736749">
              <w:rPr>
                <w:rFonts w:cstheme="minorHAnsi"/>
              </w:rPr>
              <w:t>49</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Will PED consider an off-the-shelf assessment for the 9</w:t>
            </w:r>
            <w:r w:rsidRPr="00736749">
              <w:rPr>
                <w:rFonts w:cstheme="minorHAnsi"/>
                <w:vertAlign w:val="superscript"/>
              </w:rPr>
              <w:t>th</w:t>
            </w:r>
            <w:r w:rsidRPr="00736749">
              <w:rPr>
                <w:rFonts w:cstheme="minorHAnsi"/>
              </w:rPr>
              <w:t>/10</w:t>
            </w:r>
            <w:r w:rsidRPr="00736749">
              <w:rPr>
                <w:rFonts w:cstheme="minorHAnsi"/>
                <w:vertAlign w:val="superscript"/>
              </w:rPr>
              <w:t>th</w:t>
            </w:r>
            <w:r w:rsidRPr="00736749">
              <w:rPr>
                <w:rFonts w:cstheme="minorHAnsi"/>
              </w:rPr>
              <w:t xml:space="preserve"> grade summative assessment?</w:t>
            </w:r>
          </w:p>
        </w:tc>
        <w:tc>
          <w:tcPr>
            <w:tcW w:w="7065" w:type="dxa"/>
            <w:vAlign w:val="center"/>
          </w:tcPr>
          <w:p w:rsidR="00F2142E" w:rsidRPr="00736749" w:rsidRDefault="0042198B" w:rsidP="00F2142E">
            <w:pPr>
              <w:rPr>
                <w:rFonts w:cstheme="minorHAnsi"/>
              </w:rPr>
            </w:pPr>
            <w:r w:rsidRPr="00736749">
              <w:rPr>
                <w:rFonts w:cstheme="minorHAnsi"/>
              </w:rPr>
              <w:t xml:space="preserve">The 9-10 summative assessment is to be </w:t>
            </w:r>
            <w:r w:rsidRPr="00736749">
              <w:rPr>
                <w:rFonts w:cstheme="minorHAnsi"/>
                <w:i/>
              </w:rPr>
              <w:t>custom</w:t>
            </w:r>
            <w:r w:rsidRPr="00736749">
              <w:rPr>
                <w:rFonts w:cstheme="minorHAnsi"/>
              </w:rPr>
              <w:t xml:space="preserve">, indicating new content compatible with TAMELA. </w:t>
            </w:r>
            <w:r w:rsidR="00991DD1" w:rsidRPr="00736749">
              <w:rPr>
                <w:rFonts w:cstheme="minorHAnsi"/>
              </w:rPr>
              <w:t>PED will also consider an off-the-shelf assessment compatible with the college entrance exam as a cost-savings option.</w:t>
            </w:r>
          </w:p>
        </w:tc>
        <w:tc>
          <w:tcPr>
            <w:tcW w:w="1470" w:type="dxa"/>
            <w:vAlign w:val="center"/>
          </w:tcPr>
          <w:p w:rsidR="0042198B" w:rsidRPr="00736749" w:rsidRDefault="0042198B" w:rsidP="0042198B">
            <w:pPr>
              <w:jc w:val="center"/>
              <w:rPr>
                <w:rFonts w:cstheme="minorHAnsi"/>
              </w:rPr>
            </w:pPr>
            <w:r w:rsidRPr="00736749">
              <w:rPr>
                <w:rFonts w:cstheme="minorHAnsi"/>
              </w:rPr>
              <w:t>IV.A</w:t>
            </w:r>
          </w:p>
          <w:p w:rsidR="00F2142E" w:rsidRPr="00736749" w:rsidRDefault="0042198B" w:rsidP="0042198B">
            <w:pPr>
              <w:jc w:val="center"/>
              <w:rPr>
                <w:rFonts w:cstheme="minorHAnsi"/>
              </w:rPr>
            </w:pPr>
            <w:r w:rsidRPr="00736749">
              <w:rPr>
                <w:rFonts w:cstheme="minorHAnsi"/>
              </w:rPr>
              <w:t>Table 11</w:t>
            </w:r>
          </w:p>
        </w:tc>
        <w:tc>
          <w:tcPr>
            <w:tcW w:w="818" w:type="dxa"/>
            <w:vAlign w:val="center"/>
          </w:tcPr>
          <w:p w:rsidR="00F2142E" w:rsidRPr="00736749" w:rsidRDefault="0042198B" w:rsidP="00F2142E">
            <w:pPr>
              <w:jc w:val="center"/>
              <w:rPr>
                <w:rFonts w:cstheme="minorHAnsi"/>
              </w:rPr>
            </w:pPr>
            <w:r w:rsidRPr="00736749">
              <w:rPr>
                <w:rFonts w:cstheme="minorHAnsi"/>
              </w:rPr>
              <w:t>25</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50</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Can an offeror propose a different psychometric model for the college admission component?</w:t>
            </w:r>
          </w:p>
        </w:tc>
        <w:tc>
          <w:tcPr>
            <w:tcW w:w="7065" w:type="dxa"/>
            <w:vAlign w:val="center"/>
          </w:tcPr>
          <w:p w:rsidR="00F2142E" w:rsidRPr="00736749" w:rsidRDefault="00F2142E" w:rsidP="00F2142E">
            <w:pPr>
              <w:rPr>
                <w:rFonts w:cstheme="minorHAnsi"/>
              </w:rPr>
            </w:pPr>
            <w:r w:rsidRPr="00736749">
              <w:rPr>
                <w:rFonts w:cstheme="minorHAnsi"/>
              </w:rPr>
              <w:t>Yes</w:t>
            </w:r>
          </w:p>
        </w:tc>
        <w:tc>
          <w:tcPr>
            <w:tcW w:w="1470" w:type="dxa"/>
            <w:vAlign w:val="center"/>
          </w:tcPr>
          <w:p w:rsidR="00F2142E" w:rsidRPr="00736749" w:rsidRDefault="00F430E6" w:rsidP="00F2142E">
            <w:pPr>
              <w:jc w:val="center"/>
              <w:rPr>
                <w:rFonts w:cstheme="minorHAnsi"/>
              </w:rPr>
            </w:pPr>
            <w:r w:rsidRPr="00736749">
              <w:rPr>
                <w:rFonts w:cstheme="minorHAnsi"/>
              </w:rPr>
              <w:t>IV.Y</w:t>
            </w:r>
          </w:p>
        </w:tc>
        <w:tc>
          <w:tcPr>
            <w:tcW w:w="818" w:type="dxa"/>
            <w:vAlign w:val="center"/>
          </w:tcPr>
          <w:p w:rsidR="00F2142E" w:rsidRPr="00736749" w:rsidRDefault="00F430E6" w:rsidP="00F2142E">
            <w:pPr>
              <w:jc w:val="center"/>
              <w:rPr>
                <w:rFonts w:cstheme="minorHAnsi"/>
              </w:rPr>
            </w:pPr>
            <w:r w:rsidRPr="00736749">
              <w:rPr>
                <w:rFonts w:cstheme="minorHAnsi"/>
              </w:rPr>
              <w:t>103</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51</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Currently, a college admissions exam is an alternative to meeting the state’s graduation requirements. Since the state plans to move to the use of a college admissions exam, will there be alternative assessments/options? If so, what are they? </w:t>
            </w:r>
          </w:p>
        </w:tc>
        <w:tc>
          <w:tcPr>
            <w:tcW w:w="7065" w:type="dxa"/>
            <w:vAlign w:val="center"/>
          </w:tcPr>
          <w:p w:rsidR="00F2142E" w:rsidRPr="00736749" w:rsidRDefault="00C61FB8" w:rsidP="00F2142E">
            <w:pPr>
              <w:rPr>
                <w:rFonts w:cstheme="minorHAnsi"/>
              </w:rPr>
            </w:pPr>
            <w:r w:rsidRPr="00736749">
              <w:rPr>
                <w:rFonts w:cstheme="minorHAnsi"/>
              </w:rPr>
              <w:t xml:space="preserve">This is to be determined, but if an assessment requirement remains, the alternative options addressed in </w:t>
            </w:r>
            <w:r w:rsidR="00991DD1" w:rsidRPr="00736749">
              <w:rPr>
                <w:rFonts w:cstheme="minorHAnsi"/>
              </w:rPr>
              <w:t xml:space="preserve">current </w:t>
            </w:r>
            <w:r w:rsidRPr="00736749">
              <w:rPr>
                <w:rFonts w:cstheme="minorHAnsi"/>
              </w:rPr>
              <w:t xml:space="preserve">graduation manuals will remain viable. </w:t>
            </w:r>
          </w:p>
        </w:tc>
        <w:tc>
          <w:tcPr>
            <w:tcW w:w="1470" w:type="dxa"/>
            <w:vAlign w:val="center"/>
          </w:tcPr>
          <w:p w:rsidR="00F2142E" w:rsidRPr="00736749" w:rsidRDefault="00F430E6" w:rsidP="00F2142E">
            <w:pPr>
              <w:jc w:val="center"/>
              <w:rPr>
                <w:rFonts w:cstheme="minorHAnsi"/>
              </w:rPr>
            </w:pPr>
            <w:r w:rsidRPr="00736749">
              <w:rPr>
                <w:rFonts w:cstheme="minorHAnsi"/>
              </w:rPr>
              <w:t>IV.L</w:t>
            </w:r>
          </w:p>
        </w:tc>
        <w:tc>
          <w:tcPr>
            <w:tcW w:w="818" w:type="dxa"/>
            <w:vAlign w:val="center"/>
          </w:tcPr>
          <w:p w:rsidR="00F2142E" w:rsidRPr="00736749" w:rsidRDefault="00F430E6" w:rsidP="00F2142E">
            <w:pPr>
              <w:jc w:val="center"/>
              <w:rPr>
                <w:rFonts w:cstheme="minorHAnsi"/>
              </w:rPr>
            </w:pPr>
            <w:r w:rsidRPr="00736749">
              <w:rPr>
                <w:rFonts w:cstheme="minorHAnsi"/>
              </w:rPr>
              <w:t>56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52</w:t>
            </w:r>
          </w:p>
        </w:tc>
        <w:tc>
          <w:tcPr>
            <w:tcW w:w="2735" w:type="dxa"/>
          </w:tcPr>
          <w:p w:rsidR="00F2142E" w:rsidRPr="00736749" w:rsidRDefault="00F2142E" w:rsidP="00F2142E">
            <w:pPr>
              <w:rPr>
                <w:rFonts w:eastAsia="Times New Roman" w:cstheme="minorHAnsi"/>
                <w:shd w:val="clear" w:color="auto" w:fill="FFFFFF"/>
              </w:rPr>
            </w:pPr>
            <w:r w:rsidRPr="00736749">
              <w:rPr>
                <w:rFonts w:cstheme="minorHAnsi"/>
              </w:rPr>
              <w:t>When would PED be able to provide a full list of schools that would be required to administer the college admissions component in Spring 2020?</w:t>
            </w:r>
          </w:p>
        </w:tc>
        <w:tc>
          <w:tcPr>
            <w:tcW w:w="7065" w:type="dxa"/>
            <w:vAlign w:val="center"/>
          </w:tcPr>
          <w:p w:rsidR="00F2142E" w:rsidRPr="00736749" w:rsidRDefault="00C61FB8" w:rsidP="00A3226C">
            <w:pPr>
              <w:rPr>
                <w:rFonts w:cstheme="minorHAnsi"/>
                <w:color w:val="FF0000"/>
              </w:rPr>
            </w:pPr>
            <w:r w:rsidRPr="00736749">
              <w:rPr>
                <w:rFonts w:cstheme="minorHAnsi"/>
              </w:rPr>
              <w:t xml:space="preserve">A complete list of </w:t>
            </w:r>
            <w:r w:rsidR="00941428" w:rsidRPr="00736749">
              <w:rPr>
                <w:rFonts w:cstheme="minorHAnsi"/>
              </w:rPr>
              <w:t xml:space="preserve">218 </w:t>
            </w:r>
            <w:r w:rsidRPr="00736749">
              <w:rPr>
                <w:rFonts w:cstheme="minorHAnsi"/>
              </w:rPr>
              <w:t>high schools c</w:t>
            </w:r>
            <w:r w:rsidR="00A3226C">
              <w:rPr>
                <w:rFonts w:cstheme="minorHAnsi"/>
              </w:rPr>
              <w:t>an</w:t>
            </w:r>
            <w:r w:rsidRPr="00736749">
              <w:rPr>
                <w:rFonts w:cstheme="minorHAnsi"/>
              </w:rPr>
              <w:t xml:space="preserve"> be generated upon award of the contract. Until </w:t>
            </w:r>
            <w:r w:rsidR="00A3226C">
              <w:rPr>
                <w:rFonts w:cstheme="minorHAnsi"/>
              </w:rPr>
              <w:t>then</w:t>
            </w:r>
            <w:r w:rsidRPr="00736749">
              <w:rPr>
                <w:rFonts w:cstheme="minorHAnsi"/>
              </w:rPr>
              <w:t xml:space="preserve"> please see Amendment No. 2 </w:t>
            </w:r>
            <w:r w:rsidR="00A3226C">
              <w:rPr>
                <w:rFonts w:cstheme="minorHAnsi"/>
              </w:rPr>
              <w:t xml:space="preserve">which </w:t>
            </w:r>
            <w:r w:rsidRPr="00736749">
              <w:rPr>
                <w:rFonts w:cstheme="minorHAnsi"/>
              </w:rPr>
              <w:t>has a corrected Table 15 that shows approximately 22,000 eleventh graders who participated in the ELA assessment in 2018.</w:t>
            </w:r>
            <w:r w:rsidR="00AF14D8" w:rsidRPr="00736749">
              <w:rPr>
                <w:rFonts w:cstheme="minorHAnsi"/>
              </w:rPr>
              <w:t xml:space="preserve"> </w:t>
            </w:r>
          </w:p>
        </w:tc>
        <w:tc>
          <w:tcPr>
            <w:tcW w:w="1470" w:type="dxa"/>
            <w:vAlign w:val="center"/>
          </w:tcPr>
          <w:p w:rsidR="00F2142E" w:rsidRPr="00736749" w:rsidRDefault="00C61FB8" w:rsidP="00F2142E">
            <w:pPr>
              <w:jc w:val="center"/>
              <w:rPr>
                <w:rFonts w:cstheme="minorHAnsi"/>
              </w:rPr>
            </w:pPr>
            <w:r w:rsidRPr="00736749">
              <w:rPr>
                <w:rFonts w:cstheme="minorHAnsi"/>
              </w:rPr>
              <w:t>IV.H.2</w:t>
            </w:r>
          </w:p>
          <w:p w:rsidR="00C61FB8" w:rsidRPr="00736749" w:rsidRDefault="00C61FB8" w:rsidP="00F2142E">
            <w:pPr>
              <w:jc w:val="center"/>
              <w:rPr>
                <w:rFonts w:cstheme="minorHAnsi"/>
              </w:rPr>
            </w:pPr>
            <w:r w:rsidRPr="00736749">
              <w:rPr>
                <w:rFonts w:cstheme="minorHAnsi"/>
              </w:rPr>
              <w:t>Table 15</w:t>
            </w:r>
          </w:p>
        </w:tc>
        <w:tc>
          <w:tcPr>
            <w:tcW w:w="818" w:type="dxa"/>
            <w:vAlign w:val="center"/>
          </w:tcPr>
          <w:p w:rsidR="00F2142E" w:rsidRPr="00736749" w:rsidRDefault="00C61FB8" w:rsidP="00F2142E">
            <w:pPr>
              <w:jc w:val="center"/>
              <w:rPr>
                <w:rFonts w:cstheme="minorHAnsi"/>
              </w:rPr>
            </w:pPr>
            <w:r w:rsidRPr="00736749">
              <w:rPr>
                <w:rFonts w:cstheme="minorHAnsi"/>
              </w:rPr>
              <w:t>41</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53</w:t>
            </w:r>
          </w:p>
        </w:tc>
        <w:tc>
          <w:tcPr>
            <w:tcW w:w="2735" w:type="dxa"/>
          </w:tcPr>
          <w:p w:rsidR="00F2142E" w:rsidRPr="00736749" w:rsidRDefault="00F2142E" w:rsidP="00F2142E">
            <w:pPr>
              <w:rPr>
                <w:rFonts w:cstheme="minorHAnsi"/>
              </w:rPr>
            </w:pPr>
            <w:r w:rsidRPr="00736749">
              <w:rPr>
                <w:rFonts w:cstheme="minorHAnsi"/>
              </w:rPr>
              <w:t>Please clarify PED's visions for the assessment system across grades 9, 10 and 11 given that the 9th and 10th grade assessments are optional.  </w:t>
            </w:r>
          </w:p>
        </w:tc>
        <w:tc>
          <w:tcPr>
            <w:tcW w:w="7065" w:type="dxa"/>
            <w:vAlign w:val="center"/>
          </w:tcPr>
          <w:p w:rsidR="00F2142E" w:rsidRPr="00736749" w:rsidRDefault="00F2142E" w:rsidP="00F2142E">
            <w:r w:rsidRPr="00736749">
              <w:rPr>
                <w:rFonts w:cstheme="minorHAnsi"/>
              </w:rPr>
              <w:t>The PED’s vision is that students will progress toward college readiness in grades 9 and 10, with college readiness being assessed in the grade 11 college entrance exam. The PED will encourage districts to assess students in grades 9 and 10 in order to ensure they are on track toward grade 11 goals, but the stakeholder input provided to the task force was for a smaller assessment footprint in the state, and for the assessments of students in grades 9 and 10 to be left to local decision-makers.</w:t>
            </w:r>
          </w:p>
        </w:tc>
        <w:tc>
          <w:tcPr>
            <w:tcW w:w="1470" w:type="dxa"/>
            <w:vAlign w:val="center"/>
          </w:tcPr>
          <w:p w:rsidR="00F2142E" w:rsidRPr="00736749" w:rsidRDefault="00941428" w:rsidP="00F2142E">
            <w:pPr>
              <w:jc w:val="center"/>
              <w:rPr>
                <w:rFonts w:cstheme="minorHAnsi"/>
              </w:rPr>
            </w:pPr>
            <w:r w:rsidRPr="00736749">
              <w:rPr>
                <w:rFonts w:cstheme="minorHAnsi"/>
              </w:rPr>
              <w:t>IV.F</w:t>
            </w:r>
          </w:p>
        </w:tc>
        <w:tc>
          <w:tcPr>
            <w:tcW w:w="818" w:type="dxa"/>
            <w:vAlign w:val="center"/>
          </w:tcPr>
          <w:p w:rsidR="00F2142E" w:rsidRPr="00736749" w:rsidRDefault="00941428" w:rsidP="00F2142E">
            <w:pPr>
              <w:jc w:val="center"/>
              <w:rPr>
                <w:rFonts w:cstheme="minorHAnsi"/>
              </w:rPr>
            </w:pPr>
            <w:r w:rsidRPr="00736749">
              <w:rPr>
                <w:rFonts w:cstheme="minorHAnsi"/>
              </w:rPr>
              <w:t>36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54</w:t>
            </w:r>
          </w:p>
        </w:tc>
        <w:tc>
          <w:tcPr>
            <w:tcW w:w="2735" w:type="dxa"/>
          </w:tcPr>
          <w:p w:rsidR="00F2142E" w:rsidRPr="00736749" w:rsidRDefault="00F2142E" w:rsidP="00F2142E">
            <w:pPr>
              <w:rPr>
                <w:rFonts w:cstheme="minorHAnsi"/>
              </w:rPr>
            </w:pPr>
            <w:r w:rsidRPr="00736749">
              <w:rPr>
                <w:rFonts w:cstheme="minorHAnsi"/>
              </w:rPr>
              <w:t>Renaissance Learning’s Star assessments are currently included on the list of 2018-2019 Preferred Statewide Formative Assessments.</w:t>
            </w:r>
          </w:p>
          <w:p w:rsidR="00F2142E" w:rsidRPr="00736749" w:rsidRDefault="00F2142E" w:rsidP="00F2142E">
            <w:pPr>
              <w:rPr>
                <w:rFonts w:cstheme="minorHAnsi"/>
              </w:rPr>
            </w:pPr>
          </w:p>
          <w:p w:rsidR="00F2142E" w:rsidRPr="00736749" w:rsidRDefault="00F2142E" w:rsidP="00F2142E">
            <w:pPr>
              <w:rPr>
                <w:rFonts w:cstheme="minorHAnsi"/>
              </w:rPr>
            </w:pPr>
            <w:r w:rsidRPr="00736749">
              <w:rPr>
                <w:rFonts w:cstheme="minorHAnsi"/>
              </w:rPr>
              <w:t>Can you confirm if this list will be extended into the 2019-2020 school year? If not, is the purpose of the preferred formative assessment list now encompassed by RFP# 90-924-19-24665 for Grade 3-8 and High School General Populations Assessments?</w:t>
            </w:r>
          </w:p>
        </w:tc>
        <w:tc>
          <w:tcPr>
            <w:tcW w:w="7065" w:type="dxa"/>
            <w:vAlign w:val="center"/>
          </w:tcPr>
          <w:p w:rsidR="00F2142E" w:rsidRPr="00736749" w:rsidRDefault="00C61FB8" w:rsidP="00B93107">
            <w:pPr>
              <w:rPr>
                <w:rFonts w:cstheme="minorHAnsi"/>
              </w:rPr>
            </w:pPr>
            <w:r w:rsidRPr="00736749">
              <w:rPr>
                <w:rFonts w:cstheme="minorHAnsi"/>
              </w:rPr>
              <w:t>No,</w:t>
            </w:r>
            <w:r w:rsidR="00B93107" w:rsidRPr="00736749">
              <w:rPr>
                <w:rFonts w:cstheme="minorHAnsi"/>
              </w:rPr>
              <w:t xml:space="preserve"> the 2018-2019 list is not extended beyond the end of the </w:t>
            </w:r>
            <w:r w:rsidRPr="00736749">
              <w:rPr>
                <w:rFonts w:cstheme="minorHAnsi"/>
              </w:rPr>
              <w:t xml:space="preserve">school year.  </w:t>
            </w:r>
          </w:p>
        </w:tc>
        <w:tc>
          <w:tcPr>
            <w:tcW w:w="1470" w:type="dxa"/>
            <w:vAlign w:val="center"/>
          </w:tcPr>
          <w:p w:rsidR="00F2142E" w:rsidRPr="00736749" w:rsidRDefault="00941428" w:rsidP="00F2142E">
            <w:pPr>
              <w:jc w:val="center"/>
              <w:rPr>
                <w:rFonts w:cstheme="minorHAnsi"/>
              </w:rPr>
            </w:pPr>
            <w:r w:rsidRPr="00736749">
              <w:rPr>
                <w:rFonts w:cstheme="minorHAnsi"/>
              </w:rPr>
              <w:t>IV.F</w:t>
            </w:r>
          </w:p>
        </w:tc>
        <w:tc>
          <w:tcPr>
            <w:tcW w:w="818" w:type="dxa"/>
            <w:vAlign w:val="center"/>
          </w:tcPr>
          <w:p w:rsidR="00F2142E" w:rsidRPr="00736749" w:rsidRDefault="00941428" w:rsidP="00F2142E">
            <w:pPr>
              <w:jc w:val="center"/>
              <w:rPr>
                <w:rFonts w:cstheme="minorHAnsi"/>
              </w:rPr>
            </w:pPr>
            <w:r w:rsidRPr="00736749">
              <w:rPr>
                <w:rFonts w:cstheme="minorHAnsi"/>
              </w:rPr>
              <w:t>35</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55</w:t>
            </w:r>
          </w:p>
        </w:tc>
        <w:tc>
          <w:tcPr>
            <w:tcW w:w="2735" w:type="dxa"/>
          </w:tcPr>
          <w:p w:rsidR="00F2142E" w:rsidRPr="00736749" w:rsidRDefault="00F2142E" w:rsidP="00F2142E">
            <w:pPr>
              <w:spacing w:before="100" w:beforeAutospacing="1" w:after="100" w:afterAutospacing="1"/>
              <w:rPr>
                <w:rFonts w:eastAsia="Times New Roman" w:cstheme="minorHAnsi"/>
                <w:color w:val="000000"/>
              </w:rPr>
            </w:pPr>
            <w:r w:rsidRPr="00736749">
              <w:rPr>
                <w:rFonts w:eastAsia="Times New Roman" w:cstheme="minorHAnsi"/>
                <w:color w:val="000000"/>
              </w:rPr>
              <w:t>Table 11 on page 25 of the RFP requires custom field test content for grades 3-8, 9 and 10 for language arts and mathematics summative assessments in year 1. Due to the short-turn around in year 1, will PED consider licensing vendor-owned items for field testing in year 1 as a compliant solution? If not, and the vendor proposes rapid item development, will PED recruit educators for item review meetings that would need to take place in Oct/Nov 2019 for items to be field tested in spring 2020?</w:t>
            </w:r>
          </w:p>
        </w:tc>
        <w:tc>
          <w:tcPr>
            <w:tcW w:w="7065" w:type="dxa"/>
            <w:vAlign w:val="center"/>
          </w:tcPr>
          <w:p w:rsidR="00F2142E" w:rsidRPr="00736749" w:rsidRDefault="00AF14D8" w:rsidP="00F2142E">
            <w:pPr>
              <w:rPr>
                <w:rFonts w:cstheme="minorHAnsi"/>
              </w:rPr>
            </w:pPr>
            <w:r w:rsidRPr="00736749">
              <w:rPr>
                <w:rFonts w:cstheme="minorHAnsi"/>
              </w:rPr>
              <w:t xml:space="preserve">PED still requires custom-developed items to be field tested in Spring 2020. </w:t>
            </w:r>
            <w:r w:rsidR="00941428" w:rsidRPr="00736749">
              <w:rPr>
                <w:rFonts w:cstheme="minorHAnsi"/>
              </w:rPr>
              <w:t xml:space="preserve">PED will assist with the recruitment of educators for item review committees. </w:t>
            </w:r>
          </w:p>
        </w:tc>
        <w:tc>
          <w:tcPr>
            <w:tcW w:w="1470" w:type="dxa"/>
            <w:vAlign w:val="center"/>
          </w:tcPr>
          <w:p w:rsidR="00F2142E" w:rsidRPr="00736749" w:rsidRDefault="00941428" w:rsidP="00F2142E">
            <w:pPr>
              <w:jc w:val="center"/>
              <w:rPr>
                <w:rFonts w:cstheme="minorHAnsi"/>
              </w:rPr>
            </w:pPr>
            <w:r w:rsidRPr="00736749">
              <w:rPr>
                <w:rFonts w:cstheme="minorHAnsi"/>
              </w:rPr>
              <w:t>IV.S.11.a</w:t>
            </w:r>
          </w:p>
        </w:tc>
        <w:tc>
          <w:tcPr>
            <w:tcW w:w="818" w:type="dxa"/>
            <w:vAlign w:val="center"/>
          </w:tcPr>
          <w:p w:rsidR="00F2142E" w:rsidRPr="00736749" w:rsidRDefault="00941428" w:rsidP="00F2142E">
            <w:pPr>
              <w:jc w:val="center"/>
              <w:rPr>
                <w:rFonts w:cstheme="minorHAnsi"/>
              </w:rPr>
            </w:pPr>
            <w:r w:rsidRPr="00736749">
              <w:rPr>
                <w:rFonts w:cstheme="minorHAnsi"/>
              </w:rPr>
              <w:t>81</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56</w:t>
            </w:r>
          </w:p>
        </w:tc>
        <w:tc>
          <w:tcPr>
            <w:tcW w:w="2735" w:type="dxa"/>
            <w:vAlign w:val="center"/>
          </w:tcPr>
          <w:p w:rsidR="00F2142E" w:rsidRPr="00736749" w:rsidRDefault="00F2142E" w:rsidP="00F2142E">
            <w:pPr>
              <w:rPr>
                <w:rFonts w:cstheme="minorHAnsi"/>
              </w:rPr>
            </w:pPr>
            <w:r w:rsidRPr="00736749">
              <w:rPr>
                <w:rFonts w:cstheme="minorHAnsi"/>
              </w:rPr>
              <w:t>Are socio-emotional assessments and formative assessments part of this procurement? If not, are those expected to be separate future procurements? To what extent should proposals address these types of assessment?</w:t>
            </w:r>
          </w:p>
        </w:tc>
        <w:tc>
          <w:tcPr>
            <w:tcW w:w="7065" w:type="dxa"/>
            <w:vAlign w:val="center"/>
          </w:tcPr>
          <w:p w:rsidR="00F51EAA" w:rsidRPr="00736749" w:rsidRDefault="00F51EAA" w:rsidP="00F51EAA">
            <w:pPr>
              <w:autoSpaceDE w:val="0"/>
              <w:autoSpaceDN w:val="0"/>
              <w:adjustRightInd w:val="0"/>
              <w:rPr>
                <w:rFonts w:ascii="Times New Roman" w:hAnsi="Times New Roman" w:cs="Times New Roman"/>
                <w:color w:val="000000"/>
                <w:sz w:val="24"/>
                <w:szCs w:val="24"/>
              </w:rPr>
            </w:pPr>
          </w:p>
          <w:p w:rsidR="00F2142E" w:rsidRPr="0049269A" w:rsidRDefault="0049269A" w:rsidP="00F2142E">
            <w:pPr>
              <w:rPr>
                <w:color w:val="FF0000"/>
              </w:rPr>
            </w:pPr>
            <w:r w:rsidRPr="0049269A">
              <w:t>Expansion beyond assessments of academic achievement to address the whole child by measuring non-academic components of 21st century skills often labeled as socioemotional learning, soft skills, or wellbeing to create a holistic picture of each child will take time.  The evolution to cover the whole child will need further fleshing out with PED and its stakeholders to define the expanded and more holistic system. The response requires a proposal for managing that evolution over time.</w:t>
            </w:r>
          </w:p>
        </w:tc>
        <w:tc>
          <w:tcPr>
            <w:tcW w:w="1470" w:type="dxa"/>
            <w:vAlign w:val="center"/>
          </w:tcPr>
          <w:p w:rsidR="00F2142E" w:rsidRPr="00736749" w:rsidRDefault="00941428" w:rsidP="00F2142E">
            <w:pPr>
              <w:jc w:val="center"/>
              <w:rPr>
                <w:rFonts w:cstheme="minorHAnsi"/>
              </w:rPr>
            </w:pPr>
            <w:r w:rsidRPr="00736749">
              <w:rPr>
                <w:rFonts w:cstheme="minorHAnsi"/>
              </w:rPr>
              <w:t>IV.F</w:t>
            </w:r>
          </w:p>
        </w:tc>
        <w:tc>
          <w:tcPr>
            <w:tcW w:w="818" w:type="dxa"/>
            <w:vAlign w:val="center"/>
          </w:tcPr>
          <w:p w:rsidR="00F2142E" w:rsidRPr="00736749" w:rsidRDefault="00AF14D8" w:rsidP="00F2142E">
            <w:pPr>
              <w:jc w:val="center"/>
              <w:rPr>
                <w:rFonts w:cstheme="minorHAnsi"/>
              </w:rPr>
            </w:pPr>
            <w:r w:rsidRPr="00736749">
              <w:rPr>
                <w:rFonts w:cstheme="minorHAnsi"/>
              </w:rPr>
              <w:t>36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lastRenderedPageBreak/>
              <w:t>57</w:t>
            </w:r>
          </w:p>
        </w:tc>
        <w:tc>
          <w:tcPr>
            <w:tcW w:w="2735" w:type="dxa"/>
            <w:vAlign w:val="center"/>
          </w:tcPr>
          <w:p w:rsidR="00F2142E" w:rsidRPr="00736749" w:rsidRDefault="00F2142E" w:rsidP="00F2142E">
            <w:pPr>
              <w:rPr>
                <w:rFonts w:cstheme="minorHAnsi"/>
              </w:rPr>
            </w:pPr>
            <w:r w:rsidRPr="00736749">
              <w:rPr>
                <w:rFonts w:cstheme="minorHAnsi"/>
              </w:rPr>
              <w:t xml:space="preserve">The RFP references student “engagement” and “wellbeing.” However, it is unclear what sort of engagement and wellbeing (i.e., physical, emotional, social, cognitive) this entails. Would the PED please clarify which non-academic constructs the system should prioritize? </w:t>
            </w:r>
          </w:p>
        </w:tc>
        <w:tc>
          <w:tcPr>
            <w:tcW w:w="7065" w:type="dxa"/>
            <w:vAlign w:val="center"/>
          </w:tcPr>
          <w:p w:rsidR="00F2142E" w:rsidRPr="00736749" w:rsidRDefault="00AF14D8" w:rsidP="00F51EAA">
            <w:pPr>
              <w:rPr>
                <w:rFonts w:cstheme="minorHAnsi"/>
              </w:rPr>
            </w:pPr>
            <w:r w:rsidRPr="00736749">
              <w:rPr>
                <w:rFonts w:cstheme="minorHAnsi"/>
              </w:rPr>
              <w:t xml:space="preserve">Offeror should propose assessments that address </w:t>
            </w:r>
            <w:r w:rsidR="00F51EAA" w:rsidRPr="00736749">
              <w:rPr>
                <w:rFonts w:cstheme="minorHAnsi"/>
              </w:rPr>
              <w:t>bulleted</w:t>
            </w:r>
            <w:r w:rsidRPr="00736749">
              <w:rPr>
                <w:rFonts w:cstheme="minorHAnsi"/>
              </w:rPr>
              <w:t xml:space="preserve"> list in the RFP.</w:t>
            </w:r>
          </w:p>
        </w:tc>
        <w:tc>
          <w:tcPr>
            <w:tcW w:w="1470" w:type="dxa"/>
            <w:vAlign w:val="center"/>
          </w:tcPr>
          <w:p w:rsidR="00F2142E" w:rsidRPr="00736749" w:rsidRDefault="00F51EAA" w:rsidP="00F2142E">
            <w:pPr>
              <w:jc w:val="center"/>
              <w:rPr>
                <w:rFonts w:cstheme="minorHAnsi"/>
              </w:rPr>
            </w:pPr>
            <w:r w:rsidRPr="00736749">
              <w:rPr>
                <w:rFonts w:cstheme="minorHAnsi"/>
              </w:rPr>
              <w:t>IV.F</w:t>
            </w:r>
          </w:p>
        </w:tc>
        <w:tc>
          <w:tcPr>
            <w:tcW w:w="818" w:type="dxa"/>
            <w:vAlign w:val="center"/>
          </w:tcPr>
          <w:p w:rsidR="00F2142E" w:rsidRPr="00736749" w:rsidRDefault="00F51EAA" w:rsidP="00F2142E">
            <w:pPr>
              <w:jc w:val="center"/>
              <w:rPr>
                <w:rFonts w:cstheme="minorHAnsi"/>
              </w:rPr>
            </w:pPr>
            <w:r w:rsidRPr="00736749">
              <w:rPr>
                <w:rFonts w:cstheme="minorHAnsi"/>
              </w:rPr>
              <w:t>35-</w:t>
            </w:r>
            <w:r w:rsidR="00AF14D8" w:rsidRPr="00736749">
              <w:rPr>
                <w:rFonts w:cstheme="minorHAnsi"/>
              </w:rPr>
              <w:t>36</w:t>
            </w:r>
          </w:p>
        </w:tc>
      </w:tr>
      <w:tr w:rsidR="00F2142E" w:rsidRPr="00736749" w:rsidTr="00847156">
        <w:trPr>
          <w:cantSplit/>
        </w:trPr>
        <w:tc>
          <w:tcPr>
            <w:tcW w:w="1228" w:type="dxa"/>
            <w:vAlign w:val="center"/>
          </w:tcPr>
          <w:p w:rsidR="00F2142E" w:rsidRPr="00736749" w:rsidRDefault="00F2142E" w:rsidP="00F2142E">
            <w:pPr>
              <w:jc w:val="center"/>
              <w:rPr>
                <w:rFonts w:cstheme="minorHAnsi"/>
              </w:rPr>
            </w:pPr>
            <w:r w:rsidRPr="00736749">
              <w:rPr>
                <w:rFonts w:cstheme="minorHAnsi"/>
              </w:rPr>
              <w:t>58</w:t>
            </w:r>
          </w:p>
        </w:tc>
        <w:tc>
          <w:tcPr>
            <w:tcW w:w="2735" w:type="dxa"/>
            <w:vAlign w:val="center"/>
          </w:tcPr>
          <w:p w:rsidR="00F2142E" w:rsidRPr="00736749" w:rsidRDefault="00F2142E" w:rsidP="00F2142E">
            <w:pPr>
              <w:rPr>
                <w:rFonts w:cstheme="minorHAnsi"/>
              </w:rPr>
            </w:pPr>
            <w:r w:rsidRPr="00736749">
              <w:rPr>
                <w:rFonts w:cstheme="minorHAnsi"/>
              </w:rPr>
              <w:t>Does the PED have any current initiatives focused on specific non-academic constructs that the State would like to see integrated into a new assessment system?</w:t>
            </w:r>
          </w:p>
        </w:tc>
        <w:tc>
          <w:tcPr>
            <w:tcW w:w="7065" w:type="dxa"/>
            <w:vAlign w:val="center"/>
          </w:tcPr>
          <w:p w:rsidR="00F2142E" w:rsidRPr="00736749" w:rsidRDefault="00AF14D8" w:rsidP="00F2142E">
            <w:pPr>
              <w:rPr>
                <w:rFonts w:cstheme="minorHAnsi"/>
              </w:rPr>
            </w:pPr>
            <w:r w:rsidRPr="00736749">
              <w:rPr>
                <w:rFonts w:cstheme="minorHAnsi"/>
              </w:rPr>
              <w:t xml:space="preserve">No, PED does not. </w:t>
            </w:r>
          </w:p>
        </w:tc>
        <w:tc>
          <w:tcPr>
            <w:tcW w:w="1470" w:type="dxa"/>
            <w:vAlign w:val="center"/>
          </w:tcPr>
          <w:p w:rsidR="00F2142E" w:rsidRPr="00736749" w:rsidRDefault="00F2142E" w:rsidP="00F2142E">
            <w:pPr>
              <w:jc w:val="center"/>
              <w:rPr>
                <w:rFonts w:cstheme="minorHAnsi"/>
              </w:rPr>
            </w:pPr>
          </w:p>
        </w:tc>
        <w:tc>
          <w:tcPr>
            <w:tcW w:w="818" w:type="dxa"/>
            <w:vAlign w:val="center"/>
          </w:tcPr>
          <w:p w:rsidR="00F2142E" w:rsidRPr="00736749" w:rsidRDefault="00F2142E" w:rsidP="00F2142E">
            <w:pPr>
              <w:jc w:val="center"/>
              <w:rPr>
                <w:rFonts w:cstheme="minorHAnsi"/>
              </w:rPr>
            </w:pPr>
          </w:p>
        </w:tc>
      </w:tr>
      <w:tr w:rsidR="00F51EAA" w:rsidRPr="00736749" w:rsidTr="00847156">
        <w:trPr>
          <w:cantSplit/>
        </w:trPr>
        <w:tc>
          <w:tcPr>
            <w:tcW w:w="1228" w:type="dxa"/>
            <w:vAlign w:val="center"/>
          </w:tcPr>
          <w:p w:rsidR="00F51EAA" w:rsidRPr="00736749" w:rsidRDefault="00F51EAA" w:rsidP="00F51EAA">
            <w:pPr>
              <w:jc w:val="center"/>
              <w:rPr>
                <w:rFonts w:cstheme="minorHAnsi"/>
              </w:rPr>
            </w:pPr>
            <w:r w:rsidRPr="00736749">
              <w:rPr>
                <w:rFonts w:cstheme="minorHAnsi"/>
              </w:rPr>
              <w:t>59</w:t>
            </w:r>
          </w:p>
        </w:tc>
        <w:tc>
          <w:tcPr>
            <w:tcW w:w="2735" w:type="dxa"/>
            <w:vAlign w:val="center"/>
          </w:tcPr>
          <w:p w:rsidR="00F51EAA" w:rsidRPr="00736749" w:rsidRDefault="00F51EAA" w:rsidP="00F51EAA">
            <w:pPr>
              <w:rPr>
                <w:rFonts w:cstheme="minorHAnsi"/>
              </w:rPr>
            </w:pPr>
            <w:r w:rsidRPr="00736749">
              <w:rPr>
                <w:rFonts w:cstheme="minorHAnsi"/>
              </w:rPr>
              <w:t>Would the PED be open to an SEL system that also asked teachers to report briefly on the SEL characteristics of their students—or is this procurement limited to student-completed measures?</w:t>
            </w:r>
          </w:p>
        </w:tc>
        <w:tc>
          <w:tcPr>
            <w:tcW w:w="7065" w:type="dxa"/>
            <w:vAlign w:val="center"/>
          </w:tcPr>
          <w:p w:rsidR="00F51EAA" w:rsidRPr="00736749" w:rsidRDefault="00F51EAA" w:rsidP="00F51EAA">
            <w:pPr>
              <w:rPr>
                <w:rFonts w:cstheme="minorHAnsi"/>
              </w:rPr>
            </w:pPr>
            <w:r w:rsidRPr="00736749">
              <w:rPr>
                <w:rFonts w:cstheme="minorHAnsi"/>
              </w:rPr>
              <w:t>Yes</w:t>
            </w:r>
          </w:p>
        </w:tc>
        <w:tc>
          <w:tcPr>
            <w:tcW w:w="1470" w:type="dxa"/>
            <w:vAlign w:val="center"/>
          </w:tcPr>
          <w:p w:rsidR="00F51EAA" w:rsidRPr="00736749" w:rsidRDefault="00F51EAA" w:rsidP="00F51EAA">
            <w:pPr>
              <w:jc w:val="center"/>
              <w:rPr>
                <w:rFonts w:cstheme="minorHAnsi"/>
              </w:rPr>
            </w:pPr>
            <w:r w:rsidRPr="00736749">
              <w:rPr>
                <w:rFonts w:cstheme="minorHAnsi"/>
              </w:rPr>
              <w:t>IV.F</w:t>
            </w:r>
          </w:p>
        </w:tc>
        <w:tc>
          <w:tcPr>
            <w:tcW w:w="818" w:type="dxa"/>
            <w:vAlign w:val="center"/>
          </w:tcPr>
          <w:p w:rsidR="00F51EAA" w:rsidRPr="00736749" w:rsidRDefault="00F51EAA" w:rsidP="00F51EAA">
            <w:pPr>
              <w:jc w:val="center"/>
              <w:rPr>
                <w:rFonts w:cstheme="minorHAnsi"/>
              </w:rPr>
            </w:pPr>
            <w:r w:rsidRPr="00736749">
              <w:rPr>
                <w:rFonts w:cstheme="minorHAnsi"/>
              </w:rPr>
              <w:t>36</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60</w:t>
            </w:r>
          </w:p>
        </w:tc>
        <w:tc>
          <w:tcPr>
            <w:tcW w:w="2735" w:type="dxa"/>
            <w:vAlign w:val="center"/>
          </w:tcPr>
          <w:p w:rsidR="002A3512" w:rsidRPr="00736749" w:rsidRDefault="002A3512" w:rsidP="002A3512">
            <w:pPr>
              <w:rPr>
                <w:rFonts w:cstheme="minorHAnsi"/>
              </w:rPr>
            </w:pPr>
            <w:r w:rsidRPr="00736749">
              <w:rPr>
                <w:rFonts w:cstheme="minorHAnsi"/>
              </w:rPr>
              <w:t>Regarding the process for securing New Meridian content in Year 1, can the PED confirm that New Mexico will establish identical contract terms to be used by all prospective vendors in Year 1?</w:t>
            </w:r>
          </w:p>
        </w:tc>
        <w:tc>
          <w:tcPr>
            <w:tcW w:w="7065" w:type="dxa"/>
            <w:vAlign w:val="center"/>
          </w:tcPr>
          <w:p w:rsidR="002A3512" w:rsidRPr="00736749" w:rsidRDefault="002A3512" w:rsidP="002A3512">
            <w:pPr>
              <w:rPr>
                <w:rFonts w:cstheme="minorHAnsi"/>
              </w:rPr>
            </w:pPr>
            <w:r w:rsidRPr="00736749">
              <w:rPr>
                <w:rFonts w:cstheme="minorHAnsi"/>
              </w:rPr>
              <w:t>As noted in footnote 3, PED is requesting the Offeror lease the items directly from New Meridian.</w:t>
            </w:r>
          </w:p>
        </w:tc>
        <w:tc>
          <w:tcPr>
            <w:tcW w:w="1470" w:type="dxa"/>
            <w:vAlign w:val="center"/>
          </w:tcPr>
          <w:p w:rsidR="002A3512" w:rsidRPr="00736749" w:rsidRDefault="002A3512" w:rsidP="002A3512">
            <w:pPr>
              <w:jc w:val="center"/>
              <w:rPr>
                <w:rFonts w:cstheme="minorHAnsi"/>
              </w:rPr>
            </w:pPr>
            <w:r w:rsidRPr="00736749">
              <w:rPr>
                <w:rFonts w:cstheme="minorHAnsi"/>
              </w:rPr>
              <w:t>I.F.2</w:t>
            </w:r>
          </w:p>
        </w:tc>
        <w:tc>
          <w:tcPr>
            <w:tcW w:w="818" w:type="dxa"/>
            <w:vAlign w:val="center"/>
          </w:tcPr>
          <w:p w:rsidR="002A3512" w:rsidRPr="00736749" w:rsidRDefault="002A3512" w:rsidP="002A3512">
            <w:pPr>
              <w:jc w:val="center"/>
              <w:rPr>
                <w:rFonts w:cstheme="minorHAnsi"/>
              </w:rPr>
            </w:pPr>
            <w:r w:rsidRPr="00736749">
              <w:rPr>
                <w:rFonts w:cstheme="minorHAnsi"/>
              </w:rPr>
              <w:t>11</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61</w:t>
            </w:r>
          </w:p>
        </w:tc>
        <w:tc>
          <w:tcPr>
            <w:tcW w:w="2735" w:type="dxa"/>
            <w:vAlign w:val="center"/>
          </w:tcPr>
          <w:p w:rsidR="002A3512" w:rsidRPr="00736749" w:rsidRDefault="002A3512" w:rsidP="002A3512">
            <w:pPr>
              <w:rPr>
                <w:rFonts w:cstheme="minorHAnsi"/>
              </w:rPr>
            </w:pPr>
            <w:r w:rsidRPr="00736749">
              <w:rPr>
                <w:rFonts w:cstheme="minorHAnsi"/>
              </w:rPr>
              <w:t>Would the PED expand on the State’s goals for K–2, particularly given the significant EL population?</w:t>
            </w:r>
          </w:p>
        </w:tc>
        <w:tc>
          <w:tcPr>
            <w:tcW w:w="7065" w:type="dxa"/>
            <w:vAlign w:val="center"/>
          </w:tcPr>
          <w:p w:rsidR="002A3512" w:rsidRPr="00736749" w:rsidRDefault="002A3512" w:rsidP="002A3512">
            <w:pPr>
              <w:rPr>
                <w:rFonts w:cstheme="minorHAnsi"/>
              </w:rPr>
            </w:pPr>
            <w:r w:rsidRPr="00736749">
              <w:t>The State’s goals for K-2 students is that they are performing at grade level and on track to be proficient in math and ELA in 3</w:t>
            </w:r>
            <w:r w:rsidRPr="00736749">
              <w:rPr>
                <w:vertAlign w:val="superscript"/>
              </w:rPr>
              <w:t>rd</w:t>
            </w:r>
            <w:r w:rsidRPr="00736749">
              <w:t xml:space="preserve"> grade, and that ELs are making progress toward proficiency. The K-2 assessment should predict with some degree of accuracy how students will perform when they reach 3</w:t>
            </w:r>
            <w:r w:rsidRPr="00736749">
              <w:rPr>
                <w:vertAlign w:val="superscript"/>
              </w:rPr>
              <w:t>rd</w:t>
            </w:r>
            <w:r w:rsidRPr="00736749">
              <w:t xml:space="preserve"> grade and take the 3-8 assessment.</w:t>
            </w:r>
          </w:p>
        </w:tc>
        <w:tc>
          <w:tcPr>
            <w:tcW w:w="1470" w:type="dxa"/>
            <w:vAlign w:val="center"/>
          </w:tcPr>
          <w:p w:rsidR="002A3512" w:rsidRPr="00736749" w:rsidRDefault="002A3512" w:rsidP="002A3512">
            <w:pPr>
              <w:jc w:val="cente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62</w:t>
            </w:r>
          </w:p>
        </w:tc>
        <w:tc>
          <w:tcPr>
            <w:tcW w:w="2735" w:type="dxa"/>
            <w:vAlign w:val="center"/>
          </w:tcPr>
          <w:p w:rsidR="002A3512" w:rsidRPr="00736749" w:rsidRDefault="002A3512" w:rsidP="002A3512">
            <w:pPr>
              <w:rPr>
                <w:rFonts w:cstheme="minorHAnsi"/>
              </w:rPr>
            </w:pPr>
            <w:r w:rsidRPr="00736749">
              <w:rPr>
                <w:rFonts w:cstheme="minorHAnsi"/>
              </w:rPr>
              <w:t>Would the PED please provide the n-counts by grade level for the Spanish Language Arts enrollment?</w:t>
            </w:r>
          </w:p>
        </w:tc>
        <w:tc>
          <w:tcPr>
            <w:tcW w:w="7065" w:type="dxa"/>
            <w:vAlign w:val="center"/>
          </w:tcPr>
          <w:tbl>
            <w:tblPr>
              <w:tblW w:w="2085" w:type="dxa"/>
              <w:tblCellMar>
                <w:left w:w="0" w:type="dxa"/>
                <w:right w:w="0" w:type="dxa"/>
              </w:tblCellMar>
              <w:tblLook w:val="04A0" w:firstRow="1" w:lastRow="0" w:firstColumn="1" w:lastColumn="0" w:noHBand="0" w:noVBand="1"/>
            </w:tblPr>
            <w:tblGrid>
              <w:gridCol w:w="876"/>
              <w:gridCol w:w="1209"/>
            </w:tblGrid>
            <w:tr w:rsidR="002A3512" w:rsidRPr="00736749" w:rsidTr="00F51EAA">
              <w:trPr>
                <w:trHeight w:hRule="exact" w:val="360"/>
              </w:trPr>
              <w:tc>
                <w:tcPr>
                  <w:tcW w:w="876"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2A3512" w:rsidRPr="00736749" w:rsidRDefault="002A3512" w:rsidP="002A3512">
                  <w:pPr>
                    <w:rPr>
                      <w:b/>
                      <w:bCs/>
                      <w:color w:val="000000"/>
                    </w:rPr>
                  </w:pPr>
                  <w:r w:rsidRPr="00736749">
                    <w:rPr>
                      <w:b/>
                      <w:bCs/>
                      <w:color w:val="000000"/>
                    </w:rPr>
                    <w:t>Grade</w:t>
                  </w:r>
                </w:p>
              </w:tc>
              <w:tc>
                <w:tcPr>
                  <w:tcW w:w="1209"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2A3512" w:rsidRPr="00736749" w:rsidRDefault="002A3512" w:rsidP="002A3512">
                  <w:pPr>
                    <w:rPr>
                      <w:b/>
                      <w:bCs/>
                      <w:color w:val="000000"/>
                    </w:rPr>
                  </w:pPr>
                  <w:r w:rsidRPr="00736749">
                    <w:rPr>
                      <w:b/>
                      <w:bCs/>
                      <w:color w:val="000000"/>
                    </w:rPr>
                    <w:t># Students Tested</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3</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1099</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4</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756</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5</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236</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210</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7</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233</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8</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246</w:t>
                  </w:r>
                </w:p>
              </w:tc>
            </w:tr>
            <w:tr w:rsidR="002A3512" w:rsidRPr="00736749" w:rsidTr="00F51EAA">
              <w:trPr>
                <w:trHeight w:hRule="exact" w:val="360"/>
              </w:trPr>
              <w:tc>
                <w:tcPr>
                  <w:tcW w:w="8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11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right"/>
                  </w:pPr>
                  <w:r w:rsidRPr="00736749">
                    <w:t>529</w:t>
                  </w:r>
                </w:p>
              </w:tc>
            </w:tr>
          </w:tbl>
          <w:p w:rsidR="002A3512" w:rsidRPr="00736749" w:rsidRDefault="002A3512" w:rsidP="002A3512">
            <w:pPr>
              <w:rPr>
                <w:rFonts w:cstheme="minorHAnsi"/>
              </w:rPr>
            </w:pPr>
            <w:r w:rsidRPr="00736749">
              <w:rPr>
                <w:rFonts w:cstheme="minorHAnsi"/>
              </w:rPr>
              <w:t xml:space="preserve">The above numbers reflect the number of Spanish Reading assessments administered in Spring 2018. </w:t>
            </w:r>
          </w:p>
        </w:tc>
        <w:tc>
          <w:tcPr>
            <w:tcW w:w="1470" w:type="dxa"/>
            <w:vAlign w:val="center"/>
          </w:tcPr>
          <w:p w:rsidR="002A3512" w:rsidRPr="00736749" w:rsidRDefault="002A3512" w:rsidP="002A3512">
            <w:pPr>
              <w:jc w:val="cente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63</w:t>
            </w:r>
          </w:p>
        </w:tc>
        <w:tc>
          <w:tcPr>
            <w:tcW w:w="2735" w:type="dxa"/>
            <w:vAlign w:val="center"/>
          </w:tcPr>
          <w:p w:rsidR="002A3512" w:rsidRPr="00736749" w:rsidRDefault="002A3512" w:rsidP="002A3512">
            <w:pPr>
              <w:rPr>
                <w:rFonts w:cstheme="minorHAnsi"/>
              </w:rPr>
            </w:pPr>
            <w:r w:rsidRPr="00736749">
              <w:rPr>
                <w:rFonts w:cstheme="minorHAnsi"/>
              </w:rPr>
              <w:t>Does the Model Instructional Unit involve curriculum materials/development?</w:t>
            </w:r>
          </w:p>
        </w:tc>
        <w:tc>
          <w:tcPr>
            <w:tcW w:w="7065" w:type="dxa"/>
            <w:vAlign w:val="center"/>
          </w:tcPr>
          <w:p w:rsidR="002A3512" w:rsidRPr="00736749" w:rsidRDefault="002A3512" w:rsidP="002A3512">
            <w:pPr>
              <w:rPr>
                <w:rFonts w:cstheme="minorHAnsi"/>
              </w:rPr>
            </w:pPr>
            <w:r w:rsidRPr="00736749">
              <w:rPr>
                <w:rFonts w:cstheme="minorHAnsi"/>
              </w:rPr>
              <w:t>Yes</w:t>
            </w:r>
          </w:p>
        </w:tc>
        <w:tc>
          <w:tcPr>
            <w:tcW w:w="1470" w:type="dxa"/>
            <w:vAlign w:val="center"/>
          </w:tcPr>
          <w:p w:rsidR="002A3512" w:rsidRPr="00736749" w:rsidRDefault="002A3512" w:rsidP="002A3512">
            <w:pPr>
              <w:jc w:val="center"/>
              <w:rPr>
                <w:rFonts w:cstheme="minorHAnsi"/>
              </w:rPr>
            </w:pPr>
            <w:r w:rsidRPr="00736749">
              <w:rPr>
                <w:rFonts w:cstheme="minorHAnsi"/>
              </w:rPr>
              <w:t>IV.F</w:t>
            </w:r>
          </w:p>
        </w:tc>
        <w:tc>
          <w:tcPr>
            <w:tcW w:w="818" w:type="dxa"/>
            <w:vAlign w:val="center"/>
          </w:tcPr>
          <w:p w:rsidR="002A3512" w:rsidRPr="00736749" w:rsidRDefault="002A3512" w:rsidP="002A3512">
            <w:pPr>
              <w:jc w:val="center"/>
              <w:rPr>
                <w:rFonts w:cstheme="minorHAnsi"/>
              </w:rPr>
            </w:pPr>
            <w:r w:rsidRPr="00736749">
              <w:rPr>
                <w:rFonts w:cstheme="minorHAnsi"/>
              </w:rPr>
              <w:t>35</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64</w:t>
            </w:r>
          </w:p>
        </w:tc>
        <w:tc>
          <w:tcPr>
            <w:tcW w:w="2735" w:type="dxa"/>
            <w:vAlign w:val="center"/>
          </w:tcPr>
          <w:p w:rsidR="002A3512" w:rsidRPr="00736749" w:rsidRDefault="002A3512" w:rsidP="002A3512">
            <w:pPr>
              <w:pStyle w:val="CommentText"/>
              <w:rPr>
                <w:rFonts w:asciiTheme="minorHAnsi" w:eastAsiaTheme="minorEastAsia" w:hAnsiTheme="minorHAnsi" w:cstheme="minorHAnsi"/>
                <w:sz w:val="22"/>
                <w:szCs w:val="22"/>
              </w:rPr>
            </w:pPr>
            <w:r w:rsidRPr="00736749">
              <w:rPr>
                <w:rFonts w:asciiTheme="minorHAnsi" w:eastAsiaTheme="minorEastAsia" w:hAnsiTheme="minorHAnsi" w:cstheme="minorHAnsi"/>
                <w:sz w:val="22"/>
                <w:szCs w:val="22"/>
              </w:rPr>
              <w:t>Does the PED expect that the local K–12 platform be different than the summative platform? Could the local K–12 platform be designed as an extension of the summative platform?</w:t>
            </w:r>
          </w:p>
        </w:tc>
        <w:tc>
          <w:tcPr>
            <w:tcW w:w="7065" w:type="dxa"/>
            <w:vAlign w:val="center"/>
          </w:tcPr>
          <w:p w:rsidR="002A3512" w:rsidRPr="00736749" w:rsidRDefault="002A3512" w:rsidP="002A3512">
            <w:r w:rsidRPr="00736749">
              <w:rPr>
                <w:rFonts w:cstheme="minorHAnsi"/>
              </w:rPr>
              <w:t xml:space="preserve">The local K-12 platform should be the same as the summative platform.  The intention is for the student experience </w:t>
            </w:r>
            <w:r w:rsidRPr="00736749">
              <w:t>to be substantially similar to how they interact with the platform administering secure assessments.</w:t>
            </w:r>
          </w:p>
        </w:tc>
        <w:tc>
          <w:tcPr>
            <w:tcW w:w="1470" w:type="dxa"/>
            <w:vAlign w:val="center"/>
          </w:tcPr>
          <w:p w:rsidR="002A3512" w:rsidRPr="00736749" w:rsidRDefault="002A3512" w:rsidP="002A3512">
            <w:pPr>
              <w:jc w:val="center"/>
              <w:rPr>
                <w:rFonts w:cstheme="minorHAnsi"/>
              </w:rPr>
            </w:pPr>
            <w:r w:rsidRPr="00736749">
              <w:rPr>
                <w:rFonts w:cstheme="minorHAnsi"/>
              </w:rPr>
              <w:t>IV.A</w:t>
            </w:r>
          </w:p>
        </w:tc>
        <w:tc>
          <w:tcPr>
            <w:tcW w:w="818" w:type="dxa"/>
            <w:vAlign w:val="center"/>
          </w:tcPr>
          <w:p w:rsidR="002A3512" w:rsidRPr="00736749" w:rsidRDefault="002A3512" w:rsidP="002A3512">
            <w:pPr>
              <w:jc w:val="center"/>
              <w:rPr>
                <w:rFonts w:cstheme="minorHAnsi"/>
              </w:rPr>
            </w:pPr>
            <w:r w:rsidRPr="00736749">
              <w:rPr>
                <w:rFonts w:cstheme="minorHAnsi"/>
              </w:rPr>
              <w:t>24</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65</w:t>
            </w:r>
          </w:p>
        </w:tc>
        <w:tc>
          <w:tcPr>
            <w:tcW w:w="2735" w:type="dxa"/>
            <w:vAlign w:val="center"/>
          </w:tcPr>
          <w:p w:rsidR="002A3512" w:rsidRPr="00736749" w:rsidRDefault="002A3512" w:rsidP="002A3512">
            <w:pPr>
              <w:rPr>
                <w:rFonts w:cstheme="minorHAnsi"/>
              </w:rPr>
            </w:pPr>
            <w:r w:rsidRPr="00736749">
              <w:rPr>
                <w:rFonts w:cstheme="minorHAnsi"/>
              </w:rPr>
              <w:t>The RFP states, “Additionally, the prime contractor must receive approval, in writing, from the Agency awarding any resultant contract, before any subcontractor is used during the term of this agreement.”</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If a subcontractor is named in the proposal, and a contract is awarded, will that mean that written approval has been granted to use those subcontractors?</w:t>
            </w:r>
          </w:p>
        </w:tc>
        <w:tc>
          <w:tcPr>
            <w:tcW w:w="7065" w:type="dxa"/>
            <w:vAlign w:val="center"/>
          </w:tcPr>
          <w:p w:rsidR="002A3512" w:rsidRPr="00736749" w:rsidRDefault="002A3512" w:rsidP="002A3512">
            <w:pPr>
              <w:rPr>
                <w:rFonts w:cstheme="minorHAnsi"/>
              </w:rPr>
            </w:pPr>
            <w:r w:rsidRPr="00736749">
              <w:rPr>
                <w:rFonts w:cstheme="minorHAnsi"/>
              </w:rPr>
              <w:t>Yes, if that subcontractor is named for any awarded service group.</w:t>
            </w:r>
          </w:p>
        </w:tc>
        <w:tc>
          <w:tcPr>
            <w:tcW w:w="1470" w:type="dxa"/>
            <w:vAlign w:val="center"/>
          </w:tcPr>
          <w:p w:rsidR="002A3512" w:rsidRPr="00736749" w:rsidRDefault="002A3512" w:rsidP="002A3512">
            <w:pPr>
              <w:jc w:val="center"/>
              <w:rPr>
                <w:rFonts w:cstheme="minorHAnsi"/>
              </w:rPr>
            </w:pPr>
            <w:r w:rsidRPr="00736749">
              <w:rPr>
                <w:rFonts w:cstheme="minorHAnsi"/>
              </w:rPr>
              <w:t>II.C.4</w:t>
            </w:r>
          </w:p>
        </w:tc>
        <w:tc>
          <w:tcPr>
            <w:tcW w:w="818" w:type="dxa"/>
            <w:vAlign w:val="center"/>
          </w:tcPr>
          <w:p w:rsidR="002A3512" w:rsidRPr="00736749" w:rsidRDefault="002A3512" w:rsidP="002A3512">
            <w:pPr>
              <w:jc w:val="center"/>
              <w:rPr>
                <w:rFonts w:cstheme="minorHAnsi"/>
              </w:rPr>
            </w:pPr>
            <w:r w:rsidRPr="00736749">
              <w:rPr>
                <w:rFonts w:cstheme="minorHAnsi"/>
              </w:rPr>
              <w:t>15</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66</w:t>
            </w:r>
          </w:p>
        </w:tc>
        <w:tc>
          <w:tcPr>
            <w:tcW w:w="2735" w:type="dxa"/>
            <w:vAlign w:val="center"/>
          </w:tcPr>
          <w:p w:rsidR="002A3512" w:rsidRPr="00736749" w:rsidRDefault="002A3512" w:rsidP="002A3512">
            <w:pPr>
              <w:rPr>
                <w:rFonts w:cstheme="minorHAnsi"/>
              </w:rPr>
            </w:pPr>
            <w:r w:rsidRPr="00736749">
              <w:rPr>
                <w:rFonts w:cstheme="minorHAnsi"/>
              </w:rPr>
              <w:t>The RFP states, “The contract between an agency and a Contractor will follow the format specified by the Agency and contain the terms and conditions set forth in Sample Contract (APPENDIX C: Sample contract).”</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The Sample contract includes language options. Should the Offeror identify which option applies with its proposal response? If not, how will choices be determined?</w:t>
            </w:r>
          </w:p>
        </w:tc>
        <w:tc>
          <w:tcPr>
            <w:tcW w:w="7065" w:type="dxa"/>
            <w:vAlign w:val="center"/>
          </w:tcPr>
          <w:p w:rsidR="002A3512" w:rsidRPr="00736749" w:rsidRDefault="002A3512" w:rsidP="002A3512">
            <w:pPr>
              <w:rPr>
                <w:rFonts w:cstheme="minorHAnsi"/>
              </w:rPr>
            </w:pPr>
            <w:r w:rsidRPr="00736749">
              <w:rPr>
                <w:rFonts w:cstheme="minorHAnsi"/>
              </w:rPr>
              <w:t>The sample contract is provide</w:t>
            </w:r>
            <w:r w:rsidR="00B23225">
              <w:rPr>
                <w:rFonts w:cstheme="minorHAnsi"/>
              </w:rPr>
              <w:t>d</w:t>
            </w:r>
            <w:r w:rsidRPr="00736749">
              <w:rPr>
                <w:rFonts w:cstheme="minorHAnsi"/>
              </w:rPr>
              <w:t xml:space="preserve"> solely as an example. The language will be developed on the basis of the RFP and the proposal through contract negotiations.</w:t>
            </w:r>
          </w:p>
        </w:tc>
        <w:tc>
          <w:tcPr>
            <w:tcW w:w="1470" w:type="dxa"/>
            <w:vAlign w:val="center"/>
          </w:tcPr>
          <w:p w:rsidR="002A3512" w:rsidRPr="00736749" w:rsidRDefault="002A3512" w:rsidP="002A3512">
            <w:pPr>
              <w:jc w:val="center"/>
              <w:rPr>
                <w:rFonts w:cstheme="minorHAnsi"/>
              </w:rPr>
            </w:pPr>
            <w:r w:rsidRPr="00736749">
              <w:rPr>
                <w:rFonts w:cstheme="minorHAnsi"/>
              </w:rPr>
              <w:t>II.C.15</w:t>
            </w:r>
          </w:p>
        </w:tc>
        <w:tc>
          <w:tcPr>
            <w:tcW w:w="818" w:type="dxa"/>
            <w:vAlign w:val="center"/>
          </w:tcPr>
          <w:p w:rsidR="002A3512" w:rsidRPr="00736749" w:rsidRDefault="002A3512" w:rsidP="002A3512">
            <w:pPr>
              <w:jc w:val="center"/>
              <w:rPr>
                <w:rFonts w:cstheme="minorHAnsi"/>
              </w:rPr>
            </w:pPr>
            <w:r w:rsidRPr="00736749">
              <w:rPr>
                <w:rFonts w:cstheme="minorHAnsi"/>
              </w:rPr>
              <w:t>17</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67</w:t>
            </w:r>
          </w:p>
        </w:tc>
        <w:tc>
          <w:tcPr>
            <w:tcW w:w="2735" w:type="dxa"/>
            <w:vAlign w:val="center"/>
          </w:tcPr>
          <w:p w:rsidR="002A3512" w:rsidRPr="00736749" w:rsidRDefault="002A3512" w:rsidP="002A3512">
            <w:pPr>
              <w:rPr>
                <w:rFonts w:cstheme="minorHAnsi"/>
              </w:rPr>
            </w:pPr>
            <w:r w:rsidRPr="00736749">
              <w:rPr>
                <w:rFonts w:cstheme="minorHAnsi"/>
              </w:rPr>
              <w:t>Please confirm that the Contractor can share confidential information with a subcontractor or any other third-party named in the proposal, without needing to obtain Agency’s written permission, provided the confidential information is related to the work that the subcontractor or third party is performing.</w:t>
            </w:r>
          </w:p>
        </w:tc>
        <w:tc>
          <w:tcPr>
            <w:tcW w:w="7065" w:type="dxa"/>
            <w:vAlign w:val="center"/>
          </w:tcPr>
          <w:p w:rsidR="002A3512" w:rsidRPr="00736749" w:rsidRDefault="002A3512" w:rsidP="002A3512">
            <w:pPr>
              <w:rPr>
                <w:rFonts w:cstheme="minorHAnsi"/>
              </w:rPr>
            </w:pPr>
            <w:r w:rsidRPr="00736749">
              <w:rPr>
                <w:rFonts w:cstheme="minorHAnsi"/>
              </w:rPr>
              <w:t>This is correct, with the understanding that the prime contractor is fully responsible for the continued confidentiality of all confidential information shared with the third party and that the third party is bound by the confidentiality requirement.</w:t>
            </w:r>
          </w:p>
        </w:tc>
        <w:tc>
          <w:tcPr>
            <w:tcW w:w="1470" w:type="dxa"/>
            <w:vAlign w:val="center"/>
          </w:tcPr>
          <w:p w:rsidR="002A3512" w:rsidRPr="00736749" w:rsidRDefault="002A3512" w:rsidP="002A3512">
            <w:pPr>
              <w:jc w:val="center"/>
              <w:rPr>
                <w:rFonts w:cstheme="minorHAnsi"/>
              </w:rPr>
            </w:pPr>
            <w:r w:rsidRPr="00736749">
              <w:rPr>
                <w:rFonts w:cstheme="minorHAnsi"/>
              </w:rPr>
              <w:t>II.C.25</w:t>
            </w:r>
          </w:p>
        </w:tc>
        <w:tc>
          <w:tcPr>
            <w:tcW w:w="818" w:type="dxa"/>
            <w:vAlign w:val="center"/>
          </w:tcPr>
          <w:p w:rsidR="002A3512" w:rsidRPr="00736749" w:rsidRDefault="002A3512" w:rsidP="002A3512">
            <w:pPr>
              <w:jc w:val="center"/>
              <w:rPr>
                <w:rFonts w:cstheme="minorHAnsi"/>
              </w:rPr>
            </w:pPr>
            <w:r w:rsidRPr="00736749">
              <w:rPr>
                <w:rFonts w:cstheme="minorHAnsi"/>
              </w:rPr>
              <w:t>18</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68</w:t>
            </w:r>
          </w:p>
        </w:tc>
        <w:tc>
          <w:tcPr>
            <w:tcW w:w="2735" w:type="dxa"/>
            <w:vAlign w:val="center"/>
          </w:tcPr>
          <w:p w:rsidR="002A3512" w:rsidRPr="00736749" w:rsidRDefault="002A3512" w:rsidP="002A3512">
            <w:pPr>
              <w:rPr>
                <w:rFonts w:cstheme="minorHAnsi"/>
              </w:rPr>
            </w:pPr>
            <w:r w:rsidRPr="00736749">
              <w:rPr>
                <w:rFonts w:cstheme="minorHAnsi"/>
              </w:rPr>
              <w:t>The RFP states that the “Offeror must agree to advise all employees of the availability of State publicly financed health care overage by providing each employee with, as a minimum the following we site link to additional information.”</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Please confirm that this refers to employees that are residents of New Mexico and work in New Mexico—not employees that live in another state and work in New Mexico for at least 20 hours per week over a six-month period for the duration of contract.</w:t>
            </w:r>
          </w:p>
        </w:tc>
        <w:tc>
          <w:tcPr>
            <w:tcW w:w="7065" w:type="dxa"/>
            <w:vAlign w:val="center"/>
          </w:tcPr>
          <w:p w:rsidR="002A3512" w:rsidRPr="00736749" w:rsidRDefault="002A3512" w:rsidP="002A3512">
            <w:pPr>
              <w:rPr>
                <w:rFonts w:cstheme="minorHAnsi"/>
              </w:rPr>
            </w:pPr>
            <w:r w:rsidRPr="00736749">
              <w:rPr>
                <w:rFonts w:cstheme="minorHAnsi"/>
              </w:rPr>
              <w:t>This only applies to employees who work and/or reside in New Mexico.</w:t>
            </w:r>
          </w:p>
        </w:tc>
        <w:tc>
          <w:tcPr>
            <w:tcW w:w="1470" w:type="dxa"/>
            <w:vAlign w:val="center"/>
          </w:tcPr>
          <w:p w:rsidR="002A3512" w:rsidRPr="00736749" w:rsidRDefault="002A3512" w:rsidP="002A3512">
            <w:pPr>
              <w:jc w:val="center"/>
              <w:rPr>
                <w:rFonts w:cstheme="minorHAnsi"/>
              </w:rPr>
            </w:pPr>
            <w:r w:rsidRPr="00736749">
              <w:rPr>
                <w:rFonts w:cstheme="minorHAnsi"/>
              </w:rPr>
              <w:t>II.C.28</w:t>
            </w:r>
          </w:p>
        </w:tc>
        <w:tc>
          <w:tcPr>
            <w:tcW w:w="818" w:type="dxa"/>
            <w:vAlign w:val="center"/>
          </w:tcPr>
          <w:p w:rsidR="002A3512" w:rsidRPr="00736749" w:rsidRDefault="002A3512" w:rsidP="002A3512">
            <w:pPr>
              <w:jc w:val="center"/>
              <w:rPr>
                <w:rFonts w:cstheme="minorHAnsi"/>
              </w:rPr>
            </w:pPr>
            <w:r w:rsidRPr="00736749">
              <w:rPr>
                <w:rFonts w:cstheme="minorHAnsi"/>
              </w:rPr>
              <w:t>19</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69</w:t>
            </w:r>
          </w:p>
        </w:tc>
        <w:tc>
          <w:tcPr>
            <w:tcW w:w="2735" w:type="dxa"/>
            <w:vAlign w:val="center"/>
          </w:tcPr>
          <w:p w:rsidR="002A3512" w:rsidRPr="00736749" w:rsidRDefault="002A3512" w:rsidP="002A3512">
            <w:pPr>
              <w:rPr>
                <w:rFonts w:ascii="Arial" w:hAnsi="Arial" w:cs="Arial"/>
                <w:sz w:val="20"/>
                <w:szCs w:val="20"/>
              </w:rPr>
            </w:pPr>
            <w:r w:rsidRPr="00736749">
              <w:rPr>
                <w:rFonts w:cstheme="minorHAnsi"/>
              </w:rPr>
              <w:t>The RFP states, “One redacted original should be submitted and one (5) electronic copies of the proposal containing ONLY the Redacted Technical Proposal on a separate USB flash drive.”</w:t>
            </w:r>
            <w:r w:rsidRPr="00736749">
              <w:rPr>
                <w:rFonts w:cstheme="minorHAnsi"/>
              </w:rPr>
              <w:br/>
            </w:r>
            <w:r w:rsidRPr="00736749">
              <w:rPr>
                <w:rFonts w:cstheme="minorHAnsi"/>
              </w:rPr>
              <w:br/>
              <w:t>Should Offerors submit one (1) or five (5) redacted electronic copies (i.e., flash drives)?</w:t>
            </w:r>
          </w:p>
        </w:tc>
        <w:tc>
          <w:tcPr>
            <w:tcW w:w="7065" w:type="dxa"/>
            <w:vAlign w:val="center"/>
          </w:tcPr>
          <w:p w:rsidR="002A3512" w:rsidRPr="00736749" w:rsidRDefault="002A3512" w:rsidP="002A3512">
            <w:pPr>
              <w:rPr>
                <w:rFonts w:cstheme="minorHAnsi"/>
              </w:rPr>
            </w:pPr>
            <w:r w:rsidRPr="00736749">
              <w:rPr>
                <w:rFonts w:cstheme="minorHAnsi"/>
              </w:rPr>
              <w:t>Only one redacted electronic copy is required. Please see Amendment No. 2.</w:t>
            </w:r>
          </w:p>
        </w:tc>
        <w:tc>
          <w:tcPr>
            <w:tcW w:w="1470" w:type="dxa"/>
            <w:vAlign w:val="center"/>
          </w:tcPr>
          <w:p w:rsidR="002A3512" w:rsidRPr="00736749" w:rsidRDefault="002A3512" w:rsidP="002A3512">
            <w:pPr>
              <w:jc w:val="center"/>
              <w:rPr>
                <w:rFonts w:cstheme="minorHAnsi"/>
              </w:rPr>
            </w:pPr>
            <w:r w:rsidRPr="00736749">
              <w:rPr>
                <w:rFonts w:cstheme="minorHAnsi"/>
              </w:rPr>
              <w:t>III.B.1</w:t>
            </w:r>
          </w:p>
        </w:tc>
        <w:tc>
          <w:tcPr>
            <w:tcW w:w="818" w:type="dxa"/>
            <w:vAlign w:val="center"/>
          </w:tcPr>
          <w:p w:rsidR="002A3512" w:rsidRPr="00736749" w:rsidRDefault="002A3512" w:rsidP="002A3512">
            <w:pPr>
              <w:jc w:val="center"/>
              <w:rPr>
                <w:rFonts w:cstheme="minorHAnsi"/>
              </w:rPr>
            </w:pPr>
            <w:r w:rsidRPr="00736749">
              <w:rPr>
                <w:rFonts w:cstheme="minorHAnsi"/>
              </w:rPr>
              <w:t>22</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70</w:t>
            </w:r>
          </w:p>
        </w:tc>
        <w:tc>
          <w:tcPr>
            <w:tcW w:w="2735" w:type="dxa"/>
            <w:vAlign w:val="center"/>
          </w:tcPr>
          <w:p w:rsidR="002A3512" w:rsidRPr="00736749" w:rsidRDefault="002A3512" w:rsidP="002A3512">
            <w:pPr>
              <w:rPr>
                <w:rFonts w:cstheme="minorHAnsi"/>
              </w:rPr>
            </w:pPr>
            <w:r w:rsidRPr="00736749">
              <w:rPr>
                <w:rFonts w:cstheme="minorHAnsi"/>
              </w:rPr>
              <w:t>For the local K–12 platform listed in Table 11, there is requirements gathering (RG) in 2019–20. Would the PED please provide more information on the high-level intent for the platform in terms of what content it might be designed to deliver? For example, in the future, might any of the interims, or components such as SEL and formative assessment, be delivered on that platform? Would it be expected for Offerors to include an item bank such that educators could build their own interim or formative assessments? Would the data, reporting, or any other functionality be expected to integrate with the summative platform?</w:t>
            </w:r>
          </w:p>
        </w:tc>
        <w:tc>
          <w:tcPr>
            <w:tcW w:w="7065" w:type="dxa"/>
            <w:vAlign w:val="center"/>
          </w:tcPr>
          <w:p w:rsidR="002A3512" w:rsidRPr="00736749" w:rsidRDefault="002A3512" w:rsidP="002A3512">
            <w:pPr>
              <w:rPr>
                <w:rFonts w:cstheme="minorHAnsi"/>
              </w:rPr>
            </w:pPr>
            <w:r w:rsidRPr="00736749">
              <w:rPr>
                <w:rFonts w:cstheme="minorHAnsi"/>
              </w:rPr>
              <w:t>Yes, it could integrate.</w:t>
            </w:r>
          </w:p>
        </w:tc>
        <w:tc>
          <w:tcPr>
            <w:tcW w:w="1470" w:type="dxa"/>
            <w:vAlign w:val="center"/>
          </w:tcPr>
          <w:p w:rsidR="002A3512" w:rsidRPr="00736749" w:rsidRDefault="002A3512" w:rsidP="002A3512">
            <w:pPr>
              <w:jc w:val="center"/>
              <w:rPr>
                <w:rFonts w:cstheme="minorHAnsi"/>
              </w:rPr>
            </w:pPr>
            <w:r w:rsidRPr="00736749">
              <w:rPr>
                <w:rFonts w:cstheme="minorHAnsi"/>
              </w:rPr>
              <w:t xml:space="preserve">IV.A </w:t>
            </w:r>
          </w:p>
          <w:p w:rsidR="002A3512" w:rsidRPr="00736749" w:rsidRDefault="002A3512" w:rsidP="002A3512">
            <w:pPr>
              <w:jc w:val="center"/>
              <w:rPr>
                <w:rFonts w:cstheme="minorHAnsi"/>
              </w:rPr>
            </w:pPr>
            <w:r w:rsidRPr="00736749">
              <w:rPr>
                <w:rFonts w:cstheme="minorHAnsi"/>
              </w:rPr>
              <w:t>Table 11</w:t>
            </w:r>
          </w:p>
        </w:tc>
        <w:tc>
          <w:tcPr>
            <w:tcW w:w="818" w:type="dxa"/>
            <w:vAlign w:val="center"/>
          </w:tcPr>
          <w:p w:rsidR="002A3512" w:rsidRPr="00736749" w:rsidRDefault="002A3512" w:rsidP="002A3512">
            <w:pPr>
              <w:jc w:val="center"/>
              <w:rPr>
                <w:rFonts w:cstheme="minorHAnsi"/>
              </w:rPr>
            </w:pPr>
            <w:r w:rsidRPr="00736749">
              <w:rPr>
                <w:rFonts w:cstheme="minorHAnsi"/>
              </w:rPr>
              <w:t>25</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71</w:t>
            </w:r>
          </w:p>
        </w:tc>
        <w:tc>
          <w:tcPr>
            <w:tcW w:w="2735" w:type="dxa"/>
            <w:vAlign w:val="center"/>
          </w:tcPr>
          <w:p w:rsidR="002A3512" w:rsidRPr="00736749" w:rsidRDefault="002A3512" w:rsidP="002A3512">
            <w:pPr>
              <w:rPr>
                <w:rFonts w:cstheme="minorHAnsi"/>
              </w:rPr>
            </w:pPr>
            <w:r w:rsidRPr="00736749">
              <w:rPr>
                <w:rFonts w:cstheme="minorHAnsi"/>
              </w:rPr>
              <w:t>How many items are in the current New Mexico item bank that will need to be migrated to the new vendor?</w:t>
            </w:r>
          </w:p>
        </w:tc>
        <w:tc>
          <w:tcPr>
            <w:tcW w:w="7065" w:type="dxa"/>
            <w:vAlign w:val="center"/>
          </w:tcPr>
          <w:p w:rsidR="002A3512" w:rsidRPr="00736749" w:rsidRDefault="002A3512" w:rsidP="002A3512">
            <w:r w:rsidRPr="00736749">
              <w:t xml:space="preserve">Based on the projected TAMELA test design for </w:t>
            </w:r>
            <w:r w:rsidR="00ED1463">
              <w:t>Spring 2020</w:t>
            </w:r>
            <w:r w:rsidRPr="00736749">
              <w:t xml:space="preserve"> represented by the </w:t>
            </w:r>
            <w:r w:rsidRPr="00736749">
              <w:rPr>
                <w:b/>
              </w:rPr>
              <w:t>high-level blueprints</w:t>
            </w:r>
            <w:r w:rsidRPr="00736749">
              <w:t>, offer</w:t>
            </w:r>
            <w:r w:rsidR="00ED1463">
              <w:t>or</w:t>
            </w:r>
            <w:r w:rsidRPr="00736749">
              <w:t>s should be prepared to ingest at a minimum the following item counts to the support 5 licensed operational forms per grade for ELA and 5 forms per grade for Mathematics*:</w:t>
            </w:r>
          </w:p>
          <w:tbl>
            <w:tblPr>
              <w:tblStyle w:val="TableGrid"/>
              <w:tblW w:w="0" w:type="auto"/>
              <w:tblLook w:val="04A0" w:firstRow="1" w:lastRow="0" w:firstColumn="1" w:lastColumn="0" w:noHBand="0" w:noVBand="1"/>
            </w:tblPr>
            <w:tblGrid>
              <w:gridCol w:w="2033"/>
              <w:gridCol w:w="550"/>
              <w:gridCol w:w="577"/>
              <w:gridCol w:w="577"/>
              <w:gridCol w:w="576"/>
              <w:gridCol w:w="576"/>
              <w:gridCol w:w="576"/>
              <w:gridCol w:w="576"/>
              <w:gridCol w:w="576"/>
            </w:tblGrid>
            <w:tr w:rsidR="002A3512" w:rsidRPr="00736749" w:rsidTr="001A356D">
              <w:tc>
                <w:tcPr>
                  <w:tcW w:w="2033" w:type="dxa"/>
                  <w:shd w:val="clear" w:color="auto" w:fill="D9D9D9" w:themeFill="background1" w:themeFillShade="D9"/>
                  <w:vAlign w:val="bottom"/>
                </w:tcPr>
                <w:p w:rsidR="002A3512" w:rsidRPr="00736749" w:rsidRDefault="002A3512" w:rsidP="002A3512">
                  <w:pPr>
                    <w:rPr>
                      <w:b/>
                      <w:color w:val="000000"/>
                    </w:rPr>
                  </w:pPr>
                  <w:r w:rsidRPr="00736749">
                    <w:rPr>
                      <w:b/>
                      <w:color w:val="000000"/>
                    </w:rPr>
                    <w:t>ELA</w:t>
                  </w:r>
                </w:p>
              </w:tc>
              <w:tc>
                <w:tcPr>
                  <w:tcW w:w="550"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3</w:t>
                  </w:r>
                </w:p>
              </w:tc>
              <w:tc>
                <w:tcPr>
                  <w:tcW w:w="577"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4</w:t>
                  </w:r>
                </w:p>
              </w:tc>
              <w:tc>
                <w:tcPr>
                  <w:tcW w:w="577"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5</w:t>
                  </w:r>
                </w:p>
              </w:tc>
              <w:tc>
                <w:tcPr>
                  <w:tcW w:w="576"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6</w:t>
                  </w:r>
                </w:p>
              </w:tc>
              <w:tc>
                <w:tcPr>
                  <w:tcW w:w="576"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7</w:t>
                  </w:r>
                </w:p>
              </w:tc>
              <w:tc>
                <w:tcPr>
                  <w:tcW w:w="576"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8</w:t>
                  </w:r>
                </w:p>
              </w:tc>
              <w:tc>
                <w:tcPr>
                  <w:tcW w:w="576"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9</w:t>
                  </w:r>
                </w:p>
              </w:tc>
              <w:tc>
                <w:tcPr>
                  <w:tcW w:w="576"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10</w:t>
                  </w:r>
                </w:p>
              </w:tc>
            </w:tr>
            <w:tr w:rsidR="002A3512" w:rsidRPr="00736749" w:rsidTr="001A356D">
              <w:tc>
                <w:tcPr>
                  <w:tcW w:w="2033" w:type="dxa"/>
                  <w:vAlign w:val="bottom"/>
                </w:tcPr>
                <w:p w:rsidR="002A3512" w:rsidRPr="00736749" w:rsidRDefault="002A3512" w:rsidP="002A3512">
                  <w:pPr>
                    <w:rPr>
                      <w:color w:val="000000"/>
                    </w:rPr>
                  </w:pPr>
                  <w:r w:rsidRPr="00736749">
                    <w:rPr>
                      <w:color w:val="000000"/>
                    </w:rPr>
                    <w:t>SP20 Operational TAMELA Items</w:t>
                  </w:r>
                </w:p>
              </w:tc>
              <w:tc>
                <w:tcPr>
                  <w:tcW w:w="550" w:type="dxa"/>
                  <w:vAlign w:val="bottom"/>
                </w:tcPr>
                <w:p w:rsidR="002A3512" w:rsidRPr="00736749" w:rsidRDefault="002A3512" w:rsidP="002A3512">
                  <w:pPr>
                    <w:jc w:val="right"/>
                    <w:rPr>
                      <w:color w:val="000000"/>
                    </w:rPr>
                  </w:pPr>
                  <w:r w:rsidRPr="00736749">
                    <w:rPr>
                      <w:color w:val="000000"/>
                    </w:rPr>
                    <w:t>90</w:t>
                  </w:r>
                </w:p>
              </w:tc>
              <w:tc>
                <w:tcPr>
                  <w:tcW w:w="577" w:type="dxa"/>
                  <w:vAlign w:val="bottom"/>
                </w:tcPr>
                <w:p w:rsidR="002A3512" w:rsidRPr="00736749" w:rsidRDefault="002A3512" w:rsidP="002A3512">
                  <w:pPr>
                    <w:jc w:val="right"/>
                    <w:rPr>
                      <w:color w:val="000000"/>
                    </w:rPr>
                  </w:pPr>
                  <w:r w:rsidRPr="00736749">
                    <w:rPr>
                      <w:color w:val="000000"/>
                    </w:rPr>
                    <w:t>100</w:t>
                  </w:r>
                </w:p>
              </w:tc>
              <w:tc>
                <w:tcPr>
                  <w:tcW w:w="577" w:type="dxa"/>
                  <w:vAlign w:val="bottom"/>
                </w:tcPr>
                <w:p w:rsidR="002A3512" w:rsidRPr="00736749" w:rsidRDefault="002A3512" w:rsidP="002A3512">
                  <w:pPr>
                    <w:jc w:val="right"/>
                    <w:rPr>
                      <w:color w:val="000000"/>
                    </w:rPr>
                  </w:pPr>
                  <w:r w:rsidRPr="00736749">
                    <w:rPr>
                      <w:color w:val="000000"/>
                    </w:rPr>
                    <w:t>100</w:t>
                  </w:r>
                </w:p>
              </w:tc>
              <w:tc>
                <w:tcPr>
                  <w:tcW w:w="576" w:type="dxa"/>
                  <w:vAlign w:val="bottom"/>
                </w:tcPr>
                <w:p w:rsidR="002A3512" w:rsidRPr="00736749" w:rsidRDefault="002A3512" w:rsidP="002A3512">
                  <w:pPr>
                    <w:jc w:val="right"/>
                    <w:rPr>
                      <w:color w:val="000000"/>
                    </w:rPr>
                  </w:pPr>
                  <w:r w:rsidRPr="00736749">
                    <w:rPr>
                      <w:color w:val="000000"/>
                    </w:rPr>
                    <w:t>100</w:t>
                  </w:r>
                </w:p>
              </w:tc>
              <w:tc>
                <w:tcPr>
                  <w:tcW w:w="576" w:type="dxa"/>
                  <w:vAlign w:val="bottom"/>
                </w:tcPr>
                <w:p w:rsidR="002A3512" w:rsidRPr="00736749" w:rsidRDefault="002A3512" w:rsidP="002A3512">
                  <w:pPr>
                    <w:jc w:val="right"/>
                    <w:rPr>
                      <w:color w:val="000000"/>
                    </w:rPr>
                  </w:pPr>
                  <w:r w:rsidRPr="00736749">
                    <w:rPr>
                      <w:color w:val="000000"/>
                    </w:rPr>
                    <w:t>100</w:t>
                  </w:r>
                </w:p>
              </w:tc>
              <w:tc>
                <w:tcPr>
                  <w:tcW w:w="576" w:type="dxa"/>
                  <w:vAlign w:val="bottom"/>
                </w:tcPr>
                <w:p w:rsidR="002A3512" w:rsidRPr="00736749" w:rsidRDefault="002A3512" w:rsidP="002A3512">
                  <w:pPr>
                    <w:jc w:val="right"/>
                    <w:rPr>
                      <w:color w:val="000000"/>
                    </w:rPr>
                  </w:pPr>
                  <w:r w:rsidRPr="00736749">
                    <w:rPr>
                      <w:color w:val="000000"/>
                    </w:rPr>
                    <w:t>100</w:t>
                  </w:r>
                </w:p>
              </w:tc>
              <w:tc>
                <w:tcPr>
                  <w:tcW w:w="576" w:type="dxa"/>
                  <w:vAlign w:val="bottom"/>
                </w:tcPr>
                <w:p w:rsidR="002A3512" w:rsidRPr="00736749" w:rsidRDefault="002A3512" w:rsidP="002A3512">
                  <w:pPr>
                    <w:jc w:val="right"/>
                    <w:rPr>
                      <w:color w:val="000000"/>
                    </w:rPr>
                  </w:pPr>
                  <w:r w:rsidRPr="00736749">
                    <w:rPr>
                      <w:color w:val="000000"/>
                    </w:rPr>
                    <w:t>100</w:t>
                  </w:r>
                </w:p>
              </w:tc>
              <w:tc>
                <w:tcPr>
                  <w:tcW w:w="576" w:type="dxa"/>
                  <w:vAlign w:val="bottom"/>
                </w:tcPr>
                <w:p w:rsidR="002A3512" w:rsidRPr="00736749" w:rsidRDefault="002A3512" w:rsidP="002A3512">
                  <w:pPr>
                    <w:jc w:val="right"/>
                    <w:rPr>
                      <w:color w:val="000000"/>
                    </w:rPr>
                  </w:pPr>
                  <w:r w:rsidRPr="00736749">
                    <w:rPr>
                      <w:color w:val="000000"/>
                    </w:rPr>
                    <w:t>100</w:t>
                  </w:r>
                </w:p>
              </w:tc>
            </w:tr>
          </w:tbl>
          <w:p w:rsidR="002A3512" w:rsidRPr="00736749" w:rsidRDefault="002A3512" w:rsidP="002A3512"/>
          <w:tbl>
            <w:tblPr>
              <w:tblStyle w:val="TableGrid"/>
              <w:tblW w:w="6623" w:type="dxa"/>
              <w:tblLook w:val="04A0" w:firstRow="1" w:lastRow="0" w:firstColumn="1" w:lastColumn="0" w:noHBand="0" w:noVBand="1"/>
            </w:tblPr>
            <w:tblGrid>
              <w:gridCol w:w="1998"/>
              <w:gridCol w:w="551"/>
              <w:gridCol w:w="551"/>
              <w:gridCol w:w="558"/>
              <w:gridCol w:w="592"/>
              <w:gridCol w:w="586"/>
              <w:gridCol w:w="551"/>
              <w:gridCol w:w="620"/>
              <w:gridCol w:w="616"/>
            </w:tblGrid>
            <w:tr w:rsidR="002A3512" w:rsidRPr="00736749" w:rsidTr="001A356D">
              <w:tc>
                <w:tcPr>
                  <w:tcW w:w="2086" w:type="dxa"/>
                  <w:shd w:val="clear" w:color="auto" w:fill="D9D9D9" w:themeFill="background1" w:themeFillShade="D9"/>
                  <w:vAlign w:val="bottom"/>
                </w:tcPr>
                <w:p w:rsidR="002A3512" w:rsidRPr="00736749" w:rsidRDefault="002A3512" w:rsidP="002A3512">
                  <w:pPr>
                    <w:rPr>
                      <w:b/>
                      <w:color w:val="000000"/>
                    </w:rPr>
                  </w:pPr>
                  <w:r w:rsidRPr="00736749">
                    <w:rPr>
                      <w:b/>
                      <w:color w:val="000000"/>
                    </w:rPr>
                    <w:t>Math</w:t>
                  </w:r>
                </w:p>
              </w:tc>
              <w:tc>
                <w:tcPr>
                  <w:tcW w:w="535"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3</w:t>
                  </w:r>
                </w:p>
              </w:tc>
              <w:tc>
                <w:tcPr>
                  <w:tcW w:w="535"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4</w:t>
                  </w:r>
                </w:p>
              </w:tc>
              <w:tc>
                <w:tcPr>
                  <w:tcW w:w="559"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5</w:t>
                  </w:r>
                </w:p>
              </w:tc>
              <w:tc>
                <w:tcPr>
                  <w:tcW w:w="597"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6</w:t>
                  </w:r>
                </w:p>
              </w:tc>
              <w:tc>
                <w:tcPr>
                  <w:tcW w:w="590"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7</w:t>
                  </w:r>
                </w:p>
              </w:tc>
              <w:tc>
                <w:tcPr>
                  <w:tcW w:w="481" w:type="dxa"/>
                  <w:shd w:val="clear" w:color="auto" w:fill="D9D9D9" w:themeFill="background1" w:themeFillShade="D9"/>
                  <w:vAlign w:val="bottom"/>
                </w:tcPr>
                <w:p w:rsidR="002A3512" w:rsidRPr="00736749" w:rsidRDefault="002A3512" w:rsidP="002A3512">
                  <w:pPr>
                    <w:jc w:val="right"/>
                    <w:rPr>
                      <w:b/>
                      <w:color w:val="000000"/>
                    </w:rPr>
                  </w:pPr>
                  <w:r w:rsidRPr="00736749">
                    <w:rPr>
                      <w:b/>
                      <w:color w:val="000000"/>
                    </w:rPr>
                    <w:t>8</w:t>
                  </w:r>
                </w:p>
              </w:tc>
              <w:tc>
                <w:tcPr>
                  <w:tcW w:w="620" w:type="dxa"/>
                  <w:shd w:val="clear" w:color="auto" w:fill="D9D9D9" w:themeFill="background1" w:themeFillShade="D9"/>
                  <w:vAlign w:val="bottom"/>
                </w:tcPr>
                <w:p w:rsidR="002A3512" w:rsidRPr="00736749" w:rsidRDefault="002A3512" w:rsidP="002A3512">
                  <w:pPr>
                    <w:rPr>
                      <w:b/>
                      <w:color w:val="000000"/>
                    </w:rPr>
                  </w:pPr>
                  <w:r w:rsidRPr="00736749">
                    <w:rPr>
                      <w:b/>
                      <w:color w:val="000000"/>
                    </w:rPr>
                    <w:t>Alg1</w:t>
                  </w:r>
                </w:p>
              </w:tc>
              <w:tc>
                <w:tcPr>
                  <w:tcW w:w="620" w:type="dxa"/>
                  <w:shd w:val="clear" w:color="auto" w:fill="D9D9D9" w:themeFill="background1" w:themeFillShade="D9"/>
                  <w:vAlign w:val="bottom"/>
                </w:tcPr>
                <w:p w:rsidR="002A3512" w:rsidRPr="00736749" w:rsidRDefault="002A3512" w:rsidP="002A3512">
                  <w:pPr>
                    <w:rPr>
                      <w:b/>
                      <w:color w:val="000000"/>
                    </w:rPr>
                  </w:pPr>
                  <w:r w:rsidRPr="00736749">
                    <w:rPr>
                      <w:b/>
                      <w:color w:val="000000"/>
                    </w:rPr>
                    <w:t>Geo</w:t>
                  </w:r>
                </w:p>
              </w:tc>
            </w:tr>
            <w:tr w:rsidR="002A3512" w:rsidRPr="00736749" w:rsidTr="001A356D">
              <w:tc>
                <w:tcPr>
                  <w:tcW w:w="2086" w:type="dxa"/>
                  <w:vAlign w:val="bottom"/>
                </w:tcPr>
                <w:p w:rsidR="002A3512" w:rsidRPr="00736749" w:rsidRDefault="002A3512" w:rsidP="002A3512">
                  <w:pPr>
                    <w:rPr>
                      <w:color w:val="000000"/>
                    </w:rPr>
                  </w:pPr>
                  <w:r w:rsidRPr="00736749">
                    <w:rPr>
                      <w:color w:val="000000"/>
                    </w:rPr>
                    <w:t>SP20 Operational TAMELA Items</w:t>
                  </w:r>
                </w:p>
              </w:tc>
              <w:tc>
                <w:tcPr>
                  <w:tcW w:w="535" w:type="dxa"/>
                  <w:vAlign w:val="bottom"/>
                </w:tcPr>
                <w:p w:rsidR="002A3512" w:rsidRPr="00736749" w:rsidRDefault="002A3512" w:rsidP="002A3512">
                  <w:pPr>
                    <w:jc w:val="right"/>
                    <w:rPr>
                      <w:color w:val="000000"/>
                    </w:rPr>
                  </w:pPr>
                  <w:r w:rsidRPr="00736749">
                    <w:rPr>
                      <w:color w:val="000000"/>
                    </w:rPr>
                    <w:t>165</w:t>
                  </w:r>
                </w:p>
              </w:tc>
              <w:tc>
                <w:tcPr>
                  <w:tcW w:w="535" w:type="dxa"/>
                  <w:vAlign w:val="bottom"/>
                </w:tcPr>
                <w:p w:rsidR="002A3512" w:rsidRPr="00736749" w:rsidRDefault="002A3512" w:rsidP="002A3512">
                  <w:pPr>
                    <w:jc w:val="right"/>
                    <w:rPr>
                      <w:color w:val="000000"/>
                    </w:rPr>
                  </w:pPr>
                  <w:r w:rsidRPr="00736749">
                    <w:rPr>
                      <w:color w:val="000000"/>
                    </w:rPr>
                    <w:t>155</w:t>
                  </w:r>
                </w:p>
              </w:tc>
              <w:tc>
                <w:tcPr>
                  <w:tcW w:w="559" w:type="dxa"/>
                  <w:vAlign w:val="bottom"/>
                </w:tcPr>
                <w:p w:rsidR="002A3512" w:rsidRPr="00736749" w:rsidRDefault="002A3512" w:rsidP="002A3512">
                  <w:pPr>
                    <w:jc w:val="right"/>
                    <w:rPr>
                      <w:color w:val="000000"/>
                    </w:rPr>
                  </w:pPr>
                  <w:r w:rsidRPr="00736749">
                    <w:rPr>
                      <w:color w:val="000000"/>
                    </w:rPr>
                    <w:t>155</w:t>
                  </w:r>
                </w:p>
              </w:tc>
              <w:tc>
                <w:tcPr>
                  <w:tcW w:w="597" w:type="dxa"/>
                  <w:vAlign w:val="bottom"/>
                </w:tcPr>
                <w:p w:rsidR="002A3512" w:rsidRPr="00736749" w:rsidRDefault="002A3512" w:rsidP="002A3512">
                  <w:pPr>
                    <w:jc w:val="right"/>
                    <w:rPr>
                      <w:color w:val="000000"/>
                    </w:rPr>
                  </w:pPr>
                  <w:r w:rsidRPr="00736749">
                    <w:rPr>
                      <w:color w:val="000000"/>
                    </w:rPr>
                    <w:t>145</w:t>
                  </w:r>
                </w:p>
              </w:tc>
              <w:tc>
                <w:tcPr>
                  <w:tcW w:w="590" w:type="dxa"/>
                  <w:vAlign w:val="bottom"/>
                </w:tcPr>
                <w:p w:rsidR="002A3512" w:rsidRPr="00736749" w:rsidRDefault="002A3512" w:rsidP="002A3512">
                  <w:pPr>
                    <w:jc w:val="right"/>
                    <w:rPr>
                      <w:color w:val="000000"/>
                    </w:rPr>
                  </w:pPr>
                  <w:r w:rsidRPr="00736749">
                    <w:rPr>
                      <w:color w:val="000000"/>
                    </w:rPr>
                    <w:t>155</w:t>
                  </w:r>
                </w:p>
              </w:tc>
              <w:tc>
                <w:tcPr>
                  <w:tcW w:w="481" w:type="dxa"/>
                  <w:vAlign w:val="bottom"/>
                </w:tcPr>
                <w:p w:rsidR="002A3512" w:rsidRPr="00736749" w:rsidRDefault="002A3512" w:rsidP="002A3512">
                  <w:pPr>
                    <w:jc w:val="right"/>
                    <w:rPr>
                      <w:color w:val="000000"/>
                    </w:rPr>
                  </w:pPr>
                  <w:r w:rsidRPr="00736749">
                    <w:rPr>
                      <w:color w:val="000000"/>
                    </w:rPr>
                    <w:t>150</w:t>
                  </w:r>
                </w:p>
              </w:tc>
              <w:tc>
                <w:tcPr>
                  <w:tcW w:w="620" w:type="dxa"/>
                  <w:vAlign w:val="bottom"/>
                </w:tcPr>
                <w:p w:rsidR="002A3512" w:rsidRPr="00736749" w:rsidRDefault="002A3512" w:rsidP="002A3512">
                  <w:pPr>
                    <w:jc w:val="right"/>
                    <w:rPr>
                      <w:color w:val="000000"/>
                    </w:rPr>
                  </w:pPr>
                  <w:r w:rsidRPr="00736749">
                    <w:rPr>
                      <w:color w:val="000000"/>
                    </w:rPr>
                    <w:t>140</w:t>
                  </w:r>
                </w:p>
              </w:tc>
              <w:tc>
                <w:tcPr>
                  <w:tcW w:w="620" w:type="dxa"/>
                  <w:vAlign w:val="bottom"/>
                </w:tcPr>
                <w:p w:rsidR="002A3512" w:rsidRPr="00736749" w:rsidRDefault="002A3512" w:rsidP="002A3512">
                  <w:pPr>
                    <w:jc w:val="right"/>
                    <w:rPr>
                      <w:color w:val="000000"/>
                    </w:rPr>
                  </w:pPr>
                  <w:r w:rsidRPr="00736749">
                    <w:rPr>
                      <w:color w:val="000000"/>
                    </w:rPr>
                    <w:t>145</w:t>
                  </w:r>
                </w:p>
              </w:tc>
            </w:tr>
          </w:tbl>
          <w:p w:rsidR="002A3512" w:rsidRPr="00736749" w:rsidRDefault="002A3512" w:rsidP="002A3512">
            <w:r w:rsidRPr="00736749">
              <w:t xml:space="preserve">*Note that TAMELA is planning the reuse of two accommodated versions per subject area from the </w:t>
            </w:r>
            <w:r w:rsidR="005C6AC3">
              <w:t>Spring 2019</w:t>
            </w:r>
            <w:r w:rsidRPr="00736749">
              <w:t xml:space="preserve"> assessment. </w:t>
            </w:r>
          </w:p>
          <w:p w:rsidR="002A3512" w:rsidRPr="00736749" w:rsidRDefault="002A3512" w:rsidP="005C6AC3">
            <w:pPr>
              <w:rPr>
                <w:rFonts w:cstheme="minorHAnsi"/>
              </w:rPr>
            </w:pPr>
            <w:r w:rsidRPr="00736749">
              <w:t xml:space="preserve">Migrated item counts past </w:t>
            </w:r>
            <w:r w:rsidR="005C6AC3">
              <w:t>Spring 2020</w:t>
            </w:r>
            <w:r w:rsidRPr="00736749">
              <w:t xml:space="preserve"> will be dependent upon the</w:t>
            </w:r>
            <w:r w:rsidR="00A07D16">
              <w:t xml:space="preserve"> O</w:t>
            </w:r>
            <w:r w:rsidRPr="00736749">
              <w:t>ffer</w:t>
            </w:r>
            <w:r w:rsidR="00A07D16">
              <w:t>or</w:t>
            </w:r>
            <w:r w:rsidRPr="00736749">
              <w:t>’s TAMELA transition plan.</w:t>
            </w:r>
          </w:p>
        </w:tc>
        <w:tc>
          <w:tcPr>
            <w:tcW w:w="1470" w:type="dxa"/>
            <w:vAlign w:val="center"/>
          </w:tcPr>
          <w:p w:rsidR="002A3512" w:rsidRPr="00736749" w:rsidRDefault="002A3512" w:rsidP="002A3512">
            <w:pPr>
              <w:jc w:val="cente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72</w:t>
            </w:r>
          </w:p>
        </w:tc>
        <w:tc>
          <w:tcPr>
            <w:tcW w:w="2735" w:type="dxa"/>
            <w:vAlign w:val="center"/>
          </w:tcPr>
          <w:p w:rsidR="002A3512" w:rsidRPr="00736749" w:rsidRDefault="002A3512" w:rsidP="002A3512">
            <w:pPr>
              <w:rPr>
                <w:rFonts w:cstheme="minorHAnsi"/>
              </w:rPr>
            </w:pPr>
            <w:r w:rsidRPr="00736749">
              <w:rPr>
                <w:rFonts w:cstheme="minorHAnsi"/>
              </w:rPr>
              <w:t>How many forms per grade per content area, and how many items per form, are on the current TAMELA assessments?</w:t>
            </w:r>
          </w:p>
        </w:tc>
        <w:tc>
          <w:tcPr>
            <w:tcW w:w="7065" w:type="dxa"/>
            <w:vAlign w:val="center"/>
          </w:tcPr>
          <w:tbl>
            <w:tblPr>
              <w:tblStyle w:val="TableGrid"/>
              <w:tblW w:w="0" w:type="auto"/>
              <w:tblLook w:val="04A0" w:firstRow="1" w:lastRow="0" w:firstColumn="1" w:lastColumn="0" w:noHBand="0" w:noVBand="1"/>
            </w:tblPr>
            <w:tblGrid>
              <w:gridCol w:w="6849"/>
            </w:tblGrid>
            <w:tr w:rsidR="002A3512" w:rsidRPr="00736749" w:rsidTr="001A356D">
              <w:trPr>
                <w:cantSplit/>
              </w:trPr>
              <w:tc>
                <w:tcPr>
                  <w:tcW w:w="6546" w:type="dxa"/>
                </w:tcPr>
                <w:p w:rsidR="002A3512" w:rsidRPr="00736749" w:rsidRDefault="002A3512" w:rsidP="002A3512">
                  <w:r w:rsidRPr="00736749">
                    <w:t xml:space="preserve">The following are </w:t>
                  </w:r>
                  <w:r w:rsidRPr="00736749">
                    <w:rPr>
                      <w:b/>
                    </w:rPr>
                    <w:t>high-level blueprints</w:t>
                  </w:r>
                  <w:r w:rsidRPr="00736749">
                    <w:t xml:space="preserve"> that reflect general item counts for the </w:t>
                  </w:r>
                  <w:r w:rsidR="003E2256">
                    <w:t>Spring 2020</w:t>
                  </w:r>
                  <w:r w:rsidRPr="00736749">
                    <w:t xml:space="preserve"> TAMELA assessments.  Note that specific item counts may vary by form since the blueprints are based on a total number of points.</w:t>
                  </w:r>
                </w:p>
                <w:tbl>
                  <w:tblPr>
                    <w:tblStyle w:val="TableGrid"/>
                    <w:tblW w:w="0" w:type="auto"/>
                    <w:tblLook w:val="04A0" w:firstRow="1" w:lastRow="0" w:firstColumn="1" w:lastColumn="0" w:noHBand="0" w:noVBand="1"/>
                  </w:tblPr>
                  <w:tblGrid>
                    <w:gridCol w:w="2033"/>
                    <w:gridCol w:w="550"/>
                    <w:gridCol w:w="577"/>
                    <w:gridCol w:w="577"/>
                    <w:gridCol w:w="576"/>
                    <w:gridCol w:w="576"/>
                    <w:gridCol w:w="576"/>
                    <w:gridCol w:w="576"/>
                    <w:gridCol w:w="576"/>
                  </w:tblGrid>
                  <w:tr w:rsidR="002A3512" w:rsidRPr="00736749" w:rsidTr="001A356D">
                    <w:tc>
                      <w:tcPr>
                        <w:tcW w:w="2033" w:type="dxa"/>
                        <w:shd w:val="clear" w:color="auto" w:fill="D9D9D9" w:themeFill="background1" w:themeFillShade="D9"/>
                        <w:vAlign w:val="bottom"/>
                      </w:tcPr>
                      <w:p w:rsidR="002A3512" w:rsidRPr="00736749" w:rsidRDefault="002A3512" w:rsidP="002A3512">
                        <w:pPr>
                          <w:rPr>
                            <w:b/>
                            <w:color w:val="000000"/>
                          </w:rPr>
                        </w:pPr>
                        <w:r w:rsidRPr="00736749">
                          <w:rPr>
                            <w:b/>
                            <w:color w:val="000000"/>
                          </w:rPr>
                          <w:t>Subject</w:t>
                        </w:r>
                      </w:p>
                    </w:tc>
                    <w:tc>
                      <w:tcPr>
                        <w:tcW w:w="55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7"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7"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ELA</w:t>
                        </w:r>
                      </w:p>
                    </w:tc>
                  </w:tr>
                  <w:tr w:rsidR="002A3512" w:rsidRPr="00736749" w:rsidTr="001A356D">
                    <w:tc>
                      <w:tcPr>
                        <w:tcW w:w="2033" w:type="dxa"/>
                        <w:shd w:val="clear" w:color="auto" w:fill="D9D9D9" w:themeFill="background1" w:themeFillShade="D9"/>
                        <w:vAlign w:val="bottom"/>
                      </w:tcPr>
                      <w:p w:rsidR="002A3512" w:rsidRPr="00736749" w:rsidRDefault="002A3512" w:rsidP="002A3512">
                        <w:pPr>
                          <w:rPr>
                            <w:b/>
                            <w:color w:val="000000"/>
                          </w:rPr>
                        </w:pPr>
                        <w:r w:rsidRPr="00736749">
                          <w:rPr>
                            <w:b/>
                            <w:color w:val="000000"/>
                          </w:rPr>
                          <w:t>Grade</w:t>
                        </w:r>
                      </w:p>
                    </w:tc>
                    <w:tc>
                      <w:tcPr>
                        <w:tcW w:w="55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3</w:t>
                        </w:r>
                      </w:p>
                    </w:tc>
                    <w:tc>
                      <w:tcPr>
                        <w:tcW w:w="577"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4</w:t>
                        </w:r>
                      </w:p>
                    </w:tc>
                    <w:tc>
                      <w:tcPr>
                        <w:tcW w:w="577"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5</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6</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7</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8</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9</w:t>
                        </w:r>
                      </w:p>
                    </w:tc>
                    <w:tc>
                      <w:tcPr>
                        <w:tcW w:w="576"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10</w:t>
                        </w:r>
                      </w:p>
                    </w:tc>
                  </w:tr>
                  <w:tr w:rsidR="002A3512" w:rsidRPr="00736749" w:rsidTr="001A356D">
                    <w:tc>
                      <w:tcPr>
                        <w:tcW w:w="2033" w:type="dxa"/>
                        <w:vAlign w:val="bottom"/>
                      </w:tcPr>
                      <w:p w:rsidR="002A3512" w:rsidRPr="00736749" w:rsidRDefault="00B3031B" w:rsidP="002A3512">
                        <w:pPr>
                          <w:rPr>
                            <w:color w:val="000000"/>
                          </w:rPr>
                        </w:pPr>
                        <w:r>
                          <w:rPr>
                            <w:color w:val="000000"/>
                          </w:rPr>
                          <w:t>Spring 2020</w:t>
                        </w:r>
                        <w:r w:rsidR="002A3512" w:rsidRPr="00736749">
                          <w:rPr>
                            <w:color w:val="000000"/>
                          </w:rPr>
                          <w:t xml:space="preserve"> TAMELA Operational Items per Form</w:t>
                        </w:r>
                      </w:p>
                    </w:tc>
                    <w:tc>
                      <w:tcPr>
                        <w:tcW w:w="550" w:type="dxa"/>
                        <w:vAlign w:val="bottom"/>
                      </w:tcPr>
                      <w:p w:rsidR="002A3512" w:rsidRPr="00736749" w:rsidRDefault="002A3512" w:rsidP="002A3512">
                        <w:pPr>
                          <w:jc w:val="right"/>
                          <w:rPr>
                            <w:color w:val="000000"/>
                          </w:rPr>
                        </w:pPr>
                        <w:r w:rsidRPr="00736749">
                          <w:rPr>
                            <w:color w:val="000000"/>
                          </w:rPr>
                          <w:t>18</w:t>
                        </w:r>
                      </w:p>
                    </w:tc>
                    <w:tc>
                      <w:tcPr>
                        <w:tcW w:w="577" w:type="dxa"/>
                        <w:vAlign w:val="bottom"/>
                      </w:tcPr>
                      <w:p w:rsidR="002A3512" w:rsidRPr="00736749" w:rsidRDefault="002A3512" w:rsidP="002A3512">
                        <w:pPr>
                          <w:jc w:val="right"/>
                          <w:rPr>
                            <w:color w:val="000000"/>
                          </w:rPr>
                        </w:pPr>
                        <w:r w:rsidRPr="00736749">
                          <w:rPr>
                            <w:color w:val="000000"/>
                          </w:rPr>
                          <w:t>20</w:t>
                        </w:r>
                      </w:p>
                    </w:tc>
                    <w:tc>
                      <w:tcPr>
                        <w:tcW w:w="577" w:type="dxa"/>
                        <w:vAlign w:val="bottom"/>
                      </w:tcPr>
                      <w:p w:rsidR="002A3512" w:rsidRPr="00736749" w:rsidRDefault="002A3512" w:rsidP="002A3512">
                        <w:pPr>
                          <w:jc w:val="right"/>
                          <w:rPr>
                            <w:color w:val="000000"/>
                          </w:rPr>
                        </w:pPr>
                        <w:r w:rsidRPr="00736749">
                          <w:rPr>
                            <w:color w:val="000000"/>
                          </w:rPr>
                          <w:t>20</w:t>
                        </w:r>
                      </w:p>
                    </w:tc>
                    <w:tc>
                      <w:tcPr>
                        <w:tcW w:w="576" w:type="dxa"/>
                        <w:vAlign w:val="bottom"/>
                      </w:tcPr>
                      <w:p w:rsidR="002A3512" w:rsidRPr="00736749" w:rsidRDefault="002A3512" w:rsidP="002A3512">
                        <w:pPr>
                          <w:jc w:val="right"/>
                          <w:rPr>
                            <w:color w:val="000000"/>
                          </w:rPr>
                        </w:pPr>
                        <w:r w:rsidRPr="00736749">
                          <w:rPr>
                            <w:color w:val="000000"/>
                          </w:rPr>
                          <w:t>20</w:t>
                        </w:r>
                      </w:p>
                    </w:tc>
                    <w:tc>
                      <w:tcPr>
                        <w:tcW w:w="576" w:type="dxa"/>
                        <w:vAlign w:val="bottom"/>
                      </w:tcPr>
                      <w:p w:rsidR="002A3512" w:rsidRPr="00736749" w:rsidRDefault="002A3512" w:rsidP="002A3512">
                        <w:pPr>
                          <w:jc w:val="right"/>
                          <w:rPr>
                            <w:color w:val="000000"/>
                          </w:rPr>
                        </w:pPr>
                        <w:r w:rsidRPr="00736749">
                          <w:rPr>
                            <w:color w:val="000000"/>
                          </w:rPr>
                          <w:t>20</w:t>
                        </w:r>
                      </w:p>
                    </w:tc>
                    <w:tc>
                      <w:tcPr>
                        <w:tcW w:w="576" w:type="dxa"/>
                        <w:vAlign w:val="bottom"/>
                      </w:tcPr>
                      <w:p w:rsidR="002A3512" w:rsidRPr="00736749" w:rsidRDefault="002A3512" w:rsidP="002A3512">
                        <w:pPr>
                          <w:jc w:val="right"/>
                          <w:rPr>
                            <w:color w:val="000000"/>
                          </w:rPr>
                        </w:pPr>
                        <w:r w:rsidRPr="00736749">
                          <w:rPr>
                            <w:color w:val="000000"/>
                          </w:rPr>
                          <w:t>20</w:t>
                        </w:r>
                      </w:p>
                    </w:tc>
                    <w:tc>
                      <w:tcPr>
                        <w:tcW w:w="576" w:type="dxa"/>
                        <w:vAlign w:val="bottom"/>
                      </w:tcPr>
                      <w:p w:rsidR="002A3512" w:rsidRPr="00736749" w:rsidRDefault="002A3512" w:rsidP="002A3512">
                        <w:pPr>
                          <w:jc w:val="right"/>
                          <w:rPr>
                            <w:color w:val="000000"/>
                          </w:rPr>
                        </w:pPr>
                        <w:r w:rsidRPr="00736749">
                          <w:rPr>
                            <w:color w:val="000000"/>
                          </w:rPr>
                          <w:t>20</w:t>
                        </w:r>
                      </w:p>
                    </w:tc>
                    <w:tc>
                      <w:tcPr>
                        <w:tcW w:w="576" w:type="dxa"/>
                        <w:vAlign w:val="bottom"/>
                      </w:tcPr>
                      <w:p w:rsidR="002A3512" w:rsidRPr="00736749" w:rsidRDefault="002A3512" w:rsidP="002A3512">
                        <w:pPr>
                          <w:jc w:val="right"/>
                          <w:rPr>
                            <w:color w:val="000000"/>
                          </w:rPr>
                        </w:pPr>
                        <w:r w:rsidRPr="00736749">
                          <w:rPr>
                            <w:color w:val="000000"/>
                          </w:rPr>
                          <w:t>20</w:t>
                        </w:r>
                      </w:p>
                    </w:tc>
                  </w:tr>
                </w:tbl>
                <w:p w:rsidR="002A3512" w:rsidRPr="00736749" w:rsidRDefault="002A3512" w:rsidP="002A3512"/>
                <w:tbl>
                  <w:tblPr>
                    <w:tblStyle w:val="TableGrid"/>
                    <w:tblW w:w="6623" w:type="dxa"/>
                    <w:tblLook w:val="04A0" w:firstRow="1" w:lastRow="0" w:firstColumn="1" w:lastColumn="0" w:noHBand="0" w:noVBand="1"/>
                  </w:tblPr>
                  <w:tblGrid>
                    <w:gridCol w:w="2086"/>
                    <w:gridCol w:w="535"/>
                    <w:gridCol w:w="535"/>
                    <w:gridCol w:w="559"/>
                    <w:gridCol w:w="597"/>
                    <w:gridCol w:w="590"/>
                    <w:gridCol w:w="481"/>
                    <w:gridCol w:w="620"/>
                    <w:gridCol w:w="620"/>
                  </w:tblGrid>
                  <w:tr w:rsidR="002A3512" w:rsidRPr="00736749" w:rsidTr="001A356D">
                    <w:tc>
                      <w:tcPr>
                        <w:tcW w:w="2086" w:type="dxa"/>
                        <w:shd w:val="clear" w:color="auto" w:fill="D9D9D9" w:themeFill="background1" w:themeFillShade="D9"/>
                        <w:vAlign w:val="bottom"/>
                      </w:tcPr>
                      <w:p w:rsidR="002A3512" w:rsidRPr="00736749" w:rsidRDefault="002A3512" w:rsidP="002A3512">
                        <w:pPr>
                          <w:rPr>
                            <w:b/>
                            <w:color w:val="000000"/>
                          </w:rPr>
                        </w:pPr>
                        <w:r w:rsidRPr="00736749">
                          <w:rPr>
                            <w:b/>
                            <w:color w:val="000000"/>
                          </w:rPr>
                          <w:t>Subject</w:t>
                        </w:r>
                      </w:p>
                    </w:tc>
                    <w:tc>
                      <w:tcPr>
                        <w:tcW w:w="535"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M</w:t>
                        </w:r>
                      </w:p>
                    </w:tc>
                    <w:tc>
                      <w:tcPr>
                        <w:tcW w:w="535"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M</w:t>
                        </w:r>
                      </w:p>
                    </w:tc>
                    <w:tc>
                      <w:tcPr>
                        <w:tcW w:w="559"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M</w:t>
                        </w:r>
                      </w:p>
                    </w:tc>
                    <w:tc>
                      <w:tcPr>
                        <w:tcW w:w="597"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M</w:t>
                        </w:r>
                      </w:p>
                    </w:tc>
                    <w:tc>
                      <w:tcPr>
                        <w:tcW w:w="59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M</w:t>
                        </w:r>
                      </w:p>
                    </w:tc>
                    <w:tc>
                      <w:tcPr>
                        <w:tcW w:w="481"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M</w:t>
                        </w:r>
                      </w:p>
                    </w:tc>
                    <w:tc>
                      <w:tcPr>
                        <w:tcW w:w="62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Alg1</w:t>
                        </w:r>
                      </w:p>
                    </w:tc>
                    <w:tc>
                      <w:tcPr>
                        <w:tcW w:w="62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Geo</w:t>
                        </w:r>
                      </w:p>
                    </w:tc>
                  </w:tr>
                  <w:tr w:rsidR="002A3512" w:rsidRPr="00736749" w:rsidTr="001A356D">
                    <w:tc>
                      <w:tcPr>
                        <w:tcW w:w="2086" w:type="dxa"/>
                        <w:shd w:val="clear" w:color="auto" w:fill="D9D9D9" w:themeFill="background1" w:themeFillShade="D9"/>
                        <w:vAlign w:val="bottom"/>
                      </w:tcPr>
                      <w:p w:rsidR="002A3512" w:rsidRPr="00736749" w:rsidRDefault="002A3512" w:rsidP="002A3512">
                        <w:pPr>
                          <w:rPr>
                            <w:b/>
                            <w:color w:val="000000"/>
                          </w:rPr>
                        </w:pPr>
                        <w:r w:rsidRPr="00736749">
                          <w:rPr>
                            <w:b/>
                            <w:color w:val="000000"/>
                          </w:rPr>
                          <w:t>Grade</w:t>
                        </w:r>
                      </w:p>
                    </w:tc>
                    <w:tc>
                      <w:tcPr>
                        <w:tcW w:w="535"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3</w:t>
                        </w:r>
                      </w:p>
                    </w:tc>
                    <w:tc>
                      <w:tcPr>
                        <w:tcW w:w="535"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4</w:t>
                        </w:r>
                      </w:p>
                    </w:tc>
                    <w:tc>
                      <w:tcPr>
                        <w:tcW w:w="559"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5</w:t>
                        </w:r>
                      </w:p>
                    </w:tc>
                    <w:tc>
                      <w:tcPr>
                        <w:tcW w:w="597"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6</w:t>
                        </w:r>
                      </w:p>
                    </w:tc>
                    <w:tc>
                      <w:tcPr>
                        <w:tcW w:w="59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7</w:t>
                        </w:r>
                      </w:p>
                    </w:tc>
                    <w:tc>
                      <w:tcPr>
                        <w:tcW w:w="481"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8</w:t>
                        </w:r>
                      </w:p>
                    </w:tc>
                    <w:tc>
                      <w:tcPr>
                        <w:tcW w:w="62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HS</w:t>
                        </w:r>
                      </w:p>
                    </w:tc>
                    <w:tc>
                      <w:tcPr>
                        <w:tcW w:w="620" w:type="dxa"/>
                        <w:shd w:val="clear" w:color="auto" w:fill="D9D9D9" w:themeFill="background1" w:themeFillShade="D9"/>
                        <w:vAlign w:val="bottom"/>
                      </w:tcPr>
                      <w:p w:rsidR="002A3512" w:rsidRPr="00736749" w:rsidRDefault="002A3512" w:rsidP="002A3512">
                        <w:pPr>
                          <w:jc w:val="center"/>
                          <w:rPr>
                            <w:b/>
                            <w:color w:val="000000"/>
                          </w:rPr>
                        </w:pPr>
                        <w:r w:rsidRPr="00736749">
                          <w:rPr>
                            <w:b/>
                            <w:color w:val="000000"/>
                          </w:rPr>
                          <w:t>HS</w:t>
                        </w:r>
                      </w:p>
                    </w:tc>
                  </w:tr>
                  <w:tr w:rsidR="002A3512" w:rsidRPr="00736749" w:rsidTr="001A356D">
                    <w:tc>
                      <w:tcPr>
                        <w:tcW w:w="2086" w:type="dxa"/>
                        <w:vAlign w:val="bottom"/>
                      </w:tcPr>
                      <w:p w:rsidR="002A3512" w:rsidRPr="00736749" w:rsidRDefault="002A3512" w:rsidP="00B3031B">
                        <w:pPr>
                          <w:rPr>
                            <w:color w:val="000000"/>
                          </w:rPr>
                        </w:pPr>
                        <w:r w:rsidRPr="00736749">
                          <w:rPr>
                            <w:color w:val="000000"/>
                          </w:rPr>
                          <w:t>S</w:t>
                        </w:r>
                        <w:r w:rsidR="00B3031B">
                          <w:rPr>
                            <w:color w:val="000000"/>
                          </w:rPr>
                          <w:t>pring 2020</w:t>
                        </w:r>
                        <w:r w:rsidRPr="00736749">
                          <w:rPr>
                            <w:color w:val="000000"/>
                          </w:rPr>
                          <w:t xml:space="preserve"> TAMELA Operational Items per Form</w:t>
                        </w:r>
                      </w:p>
                    </w:tc>
                    <w:tc>
                      <w:tcPr>
                        <w:tcW w:w="535" w:type="dxa"/>
                        <w:vAlign w:val="bottom"/>
                      </w:tcPr>
                      <w:p w:rsidR="002A3512" w:rsidRPr="00736749" w:rsidRDefault="002A3512" w:rsidP="002A3512">
                        <w:pPr>
                          <w:jc w:val="right"/>
                          <w:rPr>
                            <w:color w:val="000000"/>
                          </w:rPr>
                        </w:pPr>
                        <w:r w:rsidRPr="00736749">
                          <w:rPr>
                            <w:color w:val="000000"/>
                          </w:rPr>
                          <w:t>33</w:t>
                        </w:r>
                      </w:p>
                    </w:tc>
                    <w:tc>
                      <w:tcPr>
                        <w:tcW w:w="535" w:type="dxa"/>
                        <w:vAlign w:val="bottom"/>
                      </w:tcPr>
                      <w:p w:rsidR="002A3512" w:rsidRPr="00736749" w:rsidRDefault="002A3512" w:rsidP="002A3512">
                        <w:pPr>
                          <w:jc w:val="right"/>
                          <w:rPr>
                            <w:color w:val="000000"/>
                          </w:rPr>
                        </w:pPr>
                        <w:r w:rsidRPr="00736749">
                          <w:rPr>
                            <w:color w:val="000000"/>
                          </w:rPr>
                          <w:t>31</w:t>
                        </w:r>
                      </w:p>
                    </w:tc>
                    <w:tc>
                      <w:tcPr>
                        <w:tcW w:w="559" w:type="dxa"/>
                        <w:vAlign w:val="bottom"/>
                      </w:tcPr>
                      <w:p w:rsidR="002A3512" w:rsidRPr="00736749" w:rsidRDefault="002A3512" w:rsidP="002A3512">
                        <w:pPr>
                          <w:jc w:val="right"/>
                          <w:rPr>
                            <w:color w:val="000000"/>
                          </w:rPr>
                        </w:pPr>
                        <w:r w:rsidRPr="00736749">
                          <w:rPr>
                            <w:color w:val="000000"/>
                          </w:rPr>
                          <w:t>31</w:t>
                        </w:r>
                      </w:p>
                    </w:tc>
                    <w:tc>
                      <w:tcPr>
                        <w:tcW w:w="597" w:type="dxa"/>
                        <w:vAlign w:val="bottom"/>
                      </w:tcPr>
                      <w:p w:rsidR="002A3512" w:rsidRPr="00736749" w:rsidRDefault="002A3512" w:rsidP="002A3512">
                        <w:pPr>
                          <w:jc w:val="right"/>
                          <w:rPr>
                            <w:color w:val="000000"/>
                          </w:rPr>
                        </w:pPr>
                        <w:r w:rsidRPr="00736749">
                          <w:rPr>
                            <w:color w:val="000000"/>
                          </w:rPr>
                          <w:t>29</w:t>
                        </w:r>
                      </w:p>
                    </w:tc>
                    <w:tc>
                      <w:tcPr>
                        <w:tcW w:w="590" w:type="dxa"/>
                        <w:vAlign w:val="bottom"/>
                      </w:tcPr>
                      <w:p w:rsidR="002A3512" w:rsidRPr="00736749" w:rsidRDefault="002A3512" w:rsidP="002A3512">
                        <w:pPr>
                          <w:jc w:val="right"/>
                          <w:rPr>
                            <w:color w:val="000000"/>
                          </w:rPr>
                        </w:pPr>
                        <w:r w:rsidRPr="00736749">
                          <w:rPr>
                            <w:color w:val="000000"/>
                          </w:rPr>
                          <w:t>31</w:t>
                        </w:r>
                      </w:p>
                    </w:tc>
                    <w:tc>
                      <w:tcPr>
                        <w:tcW w:w="481" w:type="dxa"/>
                        <w:vAlign w:val="bottom"/>
                      </w:tcPr>
                      <w:p w:rsidR="002A3512" w:rsidRPr="00736749" w:rsidRDefault="002A3512" w:rsidP="002A3512">
                        <w:pPr>
                          <w:jc w:val="right"/>
                          <w:rPr>
                            <w:color w:val="000000"/>
                          </w:rPr>
                        </w:pPr>
                        <w:r w:rsidRPr="00736749">
                          <w:rPr>
                            <w:color w:val="000000"/>
                          </w:rPr>
                          <w:t>30</w:t>
                        </w:r>
                      </w:p>
                    </w:tc>
                    <w:tc>
                      <w:tcPr>
                        <w:tcW w:w="620" w:type="dxa"/>
                        <w:vAlign w:val="bottom"/>
                      </w:tcPr>
                      <w:p w:rsidR="002A3512" w:rsidRPr="00736749" w:rsidRDefault="002A3512" w:rsidP="002A3512">
                        <w:pPr>
                          <w:jc w:val="right"/>
                          <w:rPr>
                            <w:color w:val="000000"/>
                          </w:rPr>
                        </w:pPr>
                        <w:r w:rsidRPr="00736749">
                          <w:rPr>
                            <w:color w:val="000000"/>
                          </w:rPr>
                          <w:t>28</w:t>
                        </w:r>
                      </w:p>
                    </w:tc>
                    <w:tc>
                      <w:tcPr>
                        <w:tcW w:w="620" w:type="dxa"/>
                        <w:vAlign w:val="bottom"/>
                      </w:tcPr>
                      <w:p w:rsidR="002A3512" w:rsidRPr="00736749" w:rsidRDefault="002A3512" w:rsidP="002A3512">
                        <w:pPr>
                          <w:jc w:val="right"/>
                          <w:rPr>
                            <w:color w:val="000000"/>
                          </w:rPr>
                        </w:pPr>
                        <w:r w:rsidRPr="00736749">
                          <w:rPr>
                            <w:color w:val="000000"/>
                          </w:rPr>
                          <w:t>29</w:t>
                        </w:r>
                      </w:p>
                    </w:tc>
                  </w:tr>
                </w:tbl>
                <w:p w:rsidR="002A3512" w:rsidRPr="00736749" w:rsidRDefault="002A3512" w:rsidP="002A3512"/>
                <w:p w:rsidR="002A3512" w:rsidRPr="00736749" w:rsidRDefault="002A3512" w:rsidP="002A3512">
                  <w:r w:rsidRPr="00736749">
                    <w:t>The operational forms per grade projected for the S</w:t>
                  </w:r>
                  <w:r w:rsidR="00FF5394">
                    <w:t>pring 2020</w:t>
                  </w:r>
                  <w:r w:rsidRPr="00736749">
                    <w:t xml:space="preserve"> TAMELA assessments are:</w:t>
                  </w:r>
                </w:p>
                <w:tbl>
                  <w:tblPr>
                    <w:tblStyle w:val="TableGrid"/>
                    <w:tblW w:w="0" w:type="auto"/>
                    <w:tblLook w:val="04A0" w:firstRow="1" w:lastRow="0" w:firstColumn="1" w:lastColumn="0" w:noHBand="0" w:noVBand="1"/>
                  </w:tblPr>
                  <w:tblGrid>
                    <w:gridCol w:w="2033"/>
                    <w:gridCol w:w="606"/>
                    <w:gridCol w:w="712"/>
                  </w:tblGrid>
                  <w:tr w:rsidR="002A3512" w:rsidRPr="00736749" w:rsidTr="001A356D">
                    <w:tc>
                      <w:tcPr>
                        <w:tcW w:w="2033" w:type="dxa"/>
                        <w:shd w:val="clear" w:color="auto" w:fill="D9D9D9" w:themeFill="background1" w:themeFillShade="D9"/>
                        <w:vAlign w:val="bottom"/>
                      </w:tcPr>
                      <w:p w:rsidR="002A3512" w:rsidRPr="00736749" w:rsidRDefault="002A3512" w:rsidP="002A3512">
                        <w:pPr>
                          <w:rPr>
                            <w:b/>
                            <w:color w:val="000000"/>
                          </w:rPr>
                        </w:pPr>
                      </w:p>
                    </w:tc>
                    <w:tc>
                      <w:tcPr>
                        <w:tcW w:w="606" w:type="dxa"/>
                        <w:shd w:val="clear" w:color="auto" w:fill="D9D9D9" w:themeFill="background1" w:themeFillShade="D9"/>
                        <w:vAlign w:val="bottom"/>
                      </w:tcPr>
                      <w:p w:rsidR="002A3512" w:rsidRPr="00736749" w:rsidRDefault="002A3512" w:rsidP="002A3512">
                        <w:pPr>
                          <w:rPr>
                            <w:b/>
                            <w:color w:val="000000"/>
                          </w:rPr>
                        </w:pPr>
                        <w:r w:rsidRPr="00736749">
                          <w:rPr>
                            <w:b/>
                            <w:color w:val="000000"/>
                          </w:rPr>
                          <w:t>ELA</w:t>
                        </w:r>
                      </w:p>
                    </w:tc>
                    <w:tc>
                      <w:tcPr>
                        <w:tcW w:w="712" w:type="dxa"/>
                        <w:shd w:val="clear" w:color="auto" w:fill="D9D9D9" w:themeFill="background1" w:themeFillShade="D9"/>
                        <w:vAlign w:val="bottom"/>
                      </w:tcPr>
                      <w:p w:rsidR="002A3512" w:rsidRPr="00736749" w:rsidRDefault="002A3512" w:rsidP="002A3512">
                        <w:pPr>
                          <w:rPr>
                            <w:b/>
                            <w:color w:val="000000"/>
                          </w:rPr>
                        </w:pPr>
                        <w:r w:rsidRPr="00736749">
                          <w:rPr>
                            <w:b/>
                            <w:color w:val="000000"/>
                          </w:rPr>
                          <w:t>Math</w:t>
                        </w:r>
                      </w:p>
                    </w:tc>
                  </w:tr>
                  <w:tr w:rsidR="002A3512" w:rsidRPr="00736749" w:rsidTr="001A356D">
                    <w:tc>
                      <w:tcPr>
                        <w:tcW w:w="2033" w:type="dxa"/>
                        <w:vAlign w:val="bottom"/>
                      </w:tcPr>
                      <w:p w:rsidR="002A3512" w:rsidRPr="00736749" w:rsidRDefault="002A3512" w:rsidP="002A3512">
                        <w:pPr>
                          <w:rPr>
                            <w:color w:val="000000"/>
                          </w:rPr>
                        </w:pPr>
                        <w:r w:rsidRPr="00736749">
                          <w:rPr>
                            <w:color w:val="000000"/>
                          </w:rPr>
                          <w:t>Non-Accomm_1</w:t>
                        </w:r>
                      </w:p>
                    </w:tc>
                    <w:tc>
                      <w:tcPr>
                        <w:tcW w:w="606" w:type="dxa"/>
                        <w:vAlign w:val="bottom"/>
                      </w:tcPr>
                      <w:p w:rsidR="002A3512" w:rsidRPr="00736749" w:rsidRDefault="002A3512" w:rsidP="002A3512">
                        <w:pPr>
                          <w:jc w:val="center"/>
                          <w:rPr>
                            <w:color w:val="000000"/>
                          </w:rPr>
                        </w:pPr>
                        <w:r w:rsidRPr="00736749">
                          <w:rPr>
                            <w:noProof/>
                            <w:color w:val="000000"/>
                          </w:rPr>
                          <w:drawing>
                            <wp:inline distT="0" distB="0" distL="0" distR="0" wp14:anchorId="5B7C1140" wp14:editId="41AEADE6">
                              <wp:extent cx="243068" cy="243068"/>
                              <wp:effectExtent l="0" t="0" r="5080" b="508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55431" cy="255431"/>
                                      </a:xfrm>
                                      <a:prstGeom prst="rect">
                                        <a:avLst/>
                                      </a:prstGeom>
                                    </pic:spPr>
                                  </pic:pic>
                                </a:graphicData>
                              </a:graphic>
                            </wp:inline>
                          </w:drawing>
                        </w:r>
                      </w:p>
                    </w:tc>
                    <w:tc>
                      <w:tcPr>
                        <w:tcW w:w="712" w:type="dxa"/>
                        <w:vAlign w:val="bottom"/>
                      </w:tcPr>
                      <w:p w:rsidR="002A3512" w:rsidRPr="00736749" w:rsidRDefault="002A3512" w:rsidP="002A3512">
                        <w:pPr>
                          <w:jc w:val="center"/>
                          <w:rPr>
                            <w:color w:val="000000"/>
                          </w:rPr>
                        </w:pPr>
                        <w:r w:rsidRPr="00736749">
                          <w:rPr>
                            <w:noProof/>
                            <w:color w:val="000000"/>
                          </w:rPr>
                          <w:drawing>
                            <wp:inline distT="0" distB="0" distL="0" distR="0" wp14:anchorId="65522EBD" wp14:editId="1CD7EEDD">
                              <wp:extent cx="243068" cy="243068"/>
                              <wp:effectExtent l="0" t="0" r="5080" b="508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55431" cy="255431"/>
                                      </a:xfrm>
                                      <a:prstGeom prst="rect">
                                        <a:avLst/>
                                      </a:prstGeom>
                                    </pic:spPr>
                                  </pic:pic>
                                </a:graphicData>
                              </a:graphic>
                            </wp:inline>
                          </w:drawing>
                        </w:r>
                      </w:p>
                    </w:tc>
                  </w:tr>
                  <w:tr w:rsidR="002A3512" w:rsidRPr="00736749" w:rsidTr="001A356D">
                    <w:tc>
                      <w:tcPr>
                        <w:tcW w:w="2033" w:type="dxa"/>
                        <w:vAlign w:val="bottom"/>
                      </w:tcPr>
                      <w:p w:rsidR="002A3512" w:rsidRPr="00736749" w:rsidRDefault="002A3512" w:rsidP="002A3512">
                        <w:pPr>
                          <w:rPr>
                            <w:color w:val="000000"/>
                          </w:rPr>
                        </w:pPr>
                        <w:r w:rsidRPr="00736749">
                          <w:rPr>
                            <w:color w:val="000000"/>
                          </w:rPr>
                          <w:t>Non-Accomm_2</w:t>
                        </w:r>
                      </w:p>
                    </w:tc>
                    <w:tc>
                      <w:tcPr>
                        <w:tcW w:w="606" w:type="dxa"/>
                        <w:vAlign w:val="bottom"/>
                      </w:tcPr>
                      <w:p w:rsidR="002A3512" w:rsidRPr="00736749" w:rsidRDefault="002A3512" w:rsidP="002A3512">
                        <w:pPr>
                          <w:jc w:val="center"/>
                          <w:rPr>
                            <w:color w:val="000000"/>
                          </w:rPr>
                        </w:pPr>
                        <w:r w:rsidRPr="00736749">
                          <w:rPr>
                            <w:noProof/>
                            <w:color w:val="000000"/>
                          </w:rPr>
                          <w:drawing>
                            <wp:inline distT="0" distB="0" distL="0" distR="0" wp14:anchorId="22F364D6" wp14:editId="6E702355">
                              <wp:extent cx="243068" cy="243068"/>
                              <wp:effectExtent l="0" t="0" r="5080" b="508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55431" cy="255431"/>
                                      </a:xfrm>
                                      <a:prstGeom prst="rect">
                                        <a:avLst/>
                                      </a:prstGeom>
                                    </pic:spPr>
                                  </pic:pic>
                                </a:graphicData>
                              </a:graphic>
                            </wp:inline>
                          </w:drawing>
                        </w:r>
                      </w:p>
                    </w:tc>
                    <w:tc>
                      <w:tcPr>
                        <w:tcW w:w="712" w:type="dxa"/>
                        <w:vAlign w:val="bottom"/>
                      </w:tcPr>
                      <w:p w:rsidR="002A3512" w:rsidRPr="00736749" w:rsidRDefault="002A3512" w:rsidP="002A3512">
                        <w:pPr>
                          <w:jc w:val="center"/>
                          <w:rPr>
                            <w:color w:val="000000"/>
                          </w:rPr>
                        </w:pPr>
                        <w:r w:rsidRPr="00736749">
                          <w:rPr>
                            <w:noProof/>
                            <w:color w:val="000000"/>
                          </w:rPr>
                          <w:drawing>
                            <wp:inline distT="0" distB="0" distL="0" distR="0" wp14:anchorId="5F08598E" wp14:editId="5E608928">
                              <wp:extent cx="243068" cy="243068"/>
                              <wp:effectExtent l="0" t="0" r="5080" b="508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55431" cy="255431"/>
                                      </a:xfrm>
                                      <a:prstGeom prst="rect">
                                        <a:avLst/>
                                      </a:prstGeom>
                                    </pic:spPr>
                                  </pic:pic>
                                </a:graphicData>
                              </a:graphic>
                            </wp:inline>
                          </w:drawing>
                        </w:r>
                      </w:p>
                    </w:tc>
                  </w:tr>
                  <w:tr w:rsidR="002A3512" w:rsidRPr="00736749" w:rsidTr="001A356D">
                    <w:tc>
                      <w:tcPr>
                        <w:tcW w:w="2033" w:type="dxa"/>
                        <w:vAlign w:val="bottom"/>
                      </w:tcPr>
                      <w:p w:rsidR="002A3512" w:rsidRPr="00736749" w:rsidRDefault="002A3512" w:rsidP="002A3512">
                        <w:pPr>
                          <w:rPr>
                            <w:color w:val="000000"/>
                          </w:rPr>
                        </w:pPr>
                        <w:r w:rsidRPr="00736749">
                          <w:rPr>
                            <w:color w:val="000000"/>
                          </w:rPr>
                          <w:t>Accomm_1*</w:t>
                        </w:r>
                      </w:p>
                    </w:tc>
                    <w:tc>
                      <w:tcPr>
                        <w:tcW w:w="606" w:type="dxa"/>
                      </w:tcPr>
                      <w:p w:rsidR="002A3512" w:rsidRPr="00736749" w:rsidRDefault="002A3512" w:rsidP="002A3512">
                        <w:pPr>
                          <w:jc w:val="center"/>
                        </w:pPr>
                        <w:r w:rsidRPr="00736749">
                          <w:rPr>
                            <w:noProof/>
                            <w:color w:val="000000"/>
                          </w:rPr>
                          <w:drawing>
                            <wp:inline distT="0" distB="0" distL="0" distR="0" wp14:anchorId="387AA4F0" wp14:editId="54166A1F">
                              <wp:extent cx="243068" cy="243068"/>
                              <wp:effectExtent l="0" t="0" r="5080" b="508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55431" cy="255431"/>
                                      </a:xfrm>
                                      <a:prstGeom prst="rect">
                                        <a:avLst/>
                                      </a:prstGeom>
                                    </pic:spPr>
                                  </pic:pic>
                                </a:graphicData>
                              </a:graphic>
                            </wp:inline>
                          </w:drawing>
                        </w:r>
                      </w:p>
                    </w:tc>
                    <w:tc>
                      <w:tcPr>
                        <w:tcW w:w="712" w:type="dxa"/>
                      </w:tcPr>
                      <w:p w:rsidR="002A3512" w:rsidRPr="00736749" w:rsidRDefault="002A3512" w:rsidP="002A3512">
                        <w:pPr>
                          <w:jc w:val="center"/>
                        </w:pPr>
                        <w:r w:rsidRPr="00736749">
                          <w:rPr>
                            <w:noProof/>
                            <w:color w:val="000000"/>
                          </w:rPr>
                          <w:drawing>
                            <wp:inline distT="0" distB="0" distL="0" distR="0" wp14:anchorId="7AF2066B" wp14:editId="31ED2AF0">
                              <wp:extent cx="243068" cy="243068"/>
                              <wp:effectExtent l="0" t="0" r="5080" b="508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55431" cy="255431"/>
                                      </a:xfrm>
                                      <a:prstGeom prst="rect">
                                        <a:avLst/>
                                      </a:prstGeom>
                                    </pic:spPr>
                                  </pic:pic>
                                </a:graphicData>
                              </a:graphic>
                            </wp:inline>
                          </w:drawing>
                        </w:r>
                      </w:p>
                    </w:tc>
                  </w:tr>
                </w:tbl>
                <w:p w:rsidR="002A3512" w:rsidRPr="00736749" w:rsidRDefault="002A3512" w:rsidP="002A3512">
                  <w:r w:rsidRPr="00736749">
                    <w:t>*Note that TAMELA is planning the reuse of two accommodated versions per subject area from the S</w:t>
                  </w:r>
                  <w:r w:rsidR="00632A49">
                    <w:t>pring 2019</w:t>
                  </w:r>
                  <w:r w:rsidRPr="00736749">
                    <w:t xml:space="preserve"> assessment. </w:t>
                  </w:r>
                </w:p>
                <w:p w:rsidR="002A3512" w:rsidRPr="00736749" w:rsidRDefault="002A3512" w:rsidP="002A3512"/>
              </w:tc>
            </w:tr>
          </w:tbl>
          <w:p w:rsidR="002A3512" w:rsidRPr="00736749" w:rsidRDefault="002A3512" w:rsidP="002A3512">
            <w:pPr>
              <w:rPr>
                <w:rFonts w:cstheme="minorHAnsi"/>
              </w:rPr>
            </w:pPr>
          </w:p>
        </w:tc>
        <w:tc>
          <w:tcPr>
            <w:tcW w:w="1470" w:type="dxa"/>
            <w:vAlign w:val="center"/>
          </w:tcPr>
          <w:p w:rsidR="002A3512" w:rsidRPr="00736749" w:rsidRDefault="002A3512" w:rsidP="002A3512">
            <w:pPr>
              <w:jc w:val="cente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73</w:t>
            </w:r>
          </w:p>
        </w:tc>
        <w:tc>
          <w:tcPr>
            <w:tcW w:w="2735" w:type="dxa"/>
            <w:vAlign w:val="center"/>
          </w:tcPr>
          <w:p w:rsidR="002A3512" w:rsidRPr="00736749" w:rsidRDefault="002A3512" w:rsidP="002A3512">
            <w:pPr>
              <w:rPr>
                <w:rFonts w:cstheme="minorHAnsi"/>
              </w:rPr>
            </w:pPr>
            <w:r w:rsidRPr="00736749">
              <w:rPr>
                <w:rFonts w:cstheme="minorHAnsi"/>
              </w:rPr>
              <w:t>In what format (e.g., XML, QTI) will the new vendor receive the items?</w:t>
            </w:r>
          </w:p>
        </w:tc>
        <w:tc>
          <w:tcPr>
            <w:tcW w:w="7065" w:type="dxa"/>
            <w:vAlign w:val="center"/>
          </w:tcPr>
          <w:p w:rsidR="002A3512" w:rsidRPr="00736749" w:rsidRDefault="002A3512" w:rsidP="002A3512">
            <w:pPr>
              <w:rPr>
                <w:rFonts w:cstheme="minorHAnsi"/>
              </w:rPr>
            </w:pPr>
            <w:r w:rsidRPr="00736749">
              <w:rPr>
                <w:rFonts w:eastAsia="ArialMT" w:cstheme="minorHAnsi"/>
                <w:color w:val="000000"/>
              </w:rPr>
              <w:t xml:space="preserve">QTI content packages provided by New Meridian will be validated against the IMS PARCC APIP profile. Details of the requirements are posted to the IMS Global site at </w:t>
            </w:r>
            <w:r w:rsidRPr="00736749">
              <w:rPr>
                <w:rFonts w:eastAsia="ArialMT" w:cstheme="minorHAnsi"/>
                <w:color w:val="1155CD"/>
              </w:rPr>
              <w:t>https://www.imsglobal.org/ims-parcc-apip-</w:t>
            </w:r>
            <w:proofErr w:type="gramStart"/>
            <w:r w:rsidRPr="00736749">
              <w:rPr>
                <w:rFonts w:eastAsia="ArialMT" w:cstheme="minorHAnsi"/>
                <w:color w:val="1155CD"/>
              </w:rPr>
              <w:t xml:space="preserve">profile </w:t>
            </w:r>
            <w:r w:rsidRPr="00736749">
              <w:rPr>
                <w:rFonts w:eastAsia="ArialMT" w:cstheme="minorHAnsi"/>
                <w:color w:val="000000"/>
              </w:rPr>
              <w:t>.</w:t>
            </w:r>
            <w:proofErr w:type="gramEnd"/>
            <w:r w:rsidRPr="00736749">
              <w:rPr>
                <w:rFonts w:eastAsia="ArialMT" w:cstheme="minorHAnsi"/>
                <w:color w:val="000000"/>
              </w:rPr>
              <w:t xml:space="preserve"> Content packages will include the IMS Global validation report for each QTI package.</w:t>
            </w:r>
          </w:p>
        </w:tc>
        <w:tc>
          <w:tcPr>
            <w:tcW w:w="1470" w:type="dxa"/>
            <w:vAlign w:val="center"/>
          </w:tcPr>
          <w:p w:rsidR="002A3512" w:rsidRPr="00736749" w:rsidRDefault="002A3512" w:rsidP="002A3512">
            <w:pPr>
              <w:jc w:val="cente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74</w:t>
            </w:r>
          </w:p>
        </w:tc>
        <w:tc>
          <w:tcPr>
            <w:tcW w:w="2735" w:type="dxa"/>
            <w:vAlign w:val="center"/>
          </w:tcPr>
          <w:p w:rsidR="002A3512" w:rsidRPr="00736749" w:rsidRDefault="002A3512" w:rsidP="002A3512">
            <w:pPr>
              <w:rPr>
                <w:rFonts w:cstheme="minorHAnsi"/>
              </w:rPr>
            </w:pPr>
            <w:r w:rsidRPr="00736749">
              <w:rPr>
                <w:rFonts w:cstheme="minorHAnsi"/>
              </w:rPr>
              <w:t xml:space="preserve">Regarding item transformation costs, who will be responsible for the costs of transforming New Meridian items exported in Year 1, where necessary? </w:t>
            </w:r>
          </w:p>
        </w:tc>
        <w:tc>
          <w:tcPr>
            <w:tcW w:w="7065" w:type="dxa"/>
            <w:vAlign w:val="center"/>
          </w:tcPr>
          <w:p w:rsidR="002A3512" w:rsidRPr="00736749" w:rsidRDefault="002A3512" w:rsidP="002A3512">
            <w:pPr>
              <w:jc w:val="center"/>
              <w:rPr>
                <w:rFonts w:cstheme="minorHAnsi"/>
              </w:rPr>
            </w:pPr>
            <w:r w:rsidRPr="00736749">
              <w:rPr>
                <w:rFonts w:cstheme="minorHAnsi"/>
              </w:rPr>
              <w:t>Awarded offeror would be responsible for this cost</w:t>
            </w:r>
          </w:p>
        </w:tc>
        <w:tc>
          <w:tcPr>
            <w:tcW w:w="1470" w:type="dxa"/>
            <w:vAlign w:val="center"/>
          </w:tcPr>
          <w:p w:rsidR="002A3512" w:rsidRPr="00736749" w:rsidRDefault="002A3512" w:rsidP="002A3512">
            <w:pPr>
              <w:jc w:val="cente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75</w:t>
            </w:r>
          </w:p>
        </w:tc>
        <w:tc>
          <w:tcPr>
            <w:tcW w:w="2735" w:type="dxa"/>
            <w:vAlign w:val="center"/>
          </w:tcPr>
          <w:p w:rsidR="002A3512" w:rsidRPr="00736749" w:rsidRDefault="002A3512" w:rsidP="002A3512">
            <w:pPr>
              <w:rPr>
                <w:rFonts w:cstheme="minorHAnsi"/>
              </w:rPr>
            </w:pPr>
            <w:r w:rsidRPr="00736749">
              <w:rPr>
                <w:rFonts w:cstheme="minorHAnsi"/>
              </w:rPr>
              <w:t>Page 29 states that “any contract(s) awarded based on this RFP will be an agreement solely between PED and the Contractor(s) to whom the contract(s) are awarded. No contracted services will be available for use by any other NM state government agency.”</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However, page 33 of Section IV.E.2 states, “With regard to the work performed on any contract resulting from this RFP, PED, GSD are together the sole client of all Contractor(s) (outside the business relationships among themselves on the resulting contract). All Contractor(s) must treat PED and GSD as its sole client as described.”</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Would the PED please clarify why Section IV.B states only PED, while Section IV.E.2 states that both PED and GSD are the sole client?</w:t>
            </w:r>
          </w:p>
        </w:tc>
        <w:tc>
          <w:tcPr>
            <w:tcW w:w="7065" w:type="dxa"/>
            <w:vAlign w:val="center"/>
          </w:tcPr>
          <w:p w:rsidR="002A3512" w:rsidRPr="00736749" w:rsidRDefault="002A3512" w:rsidP="002A3512">
            <w:pPr>
              <w:rPr>
                <w:rFonts w:cstheme="minorHAnsi"/>
              </w:rPr>
            </w:pPr>
            <w:r w:rsidRPr="00736749">
              <w:rPr>
                <w:rFonts w:cstheme="minorHAnsi"/>
              </w:rPr>
              <w:t>The General Services Department (GSD) serves as the official buyer for every contract made with any state agency, including the PED, but the contracted services are provided directly to the agency listed in the contract as THE AGENCY, in this case, the PED.</w:t>
            </w:r>
          </w:p>
        </w:tc>
        <w:tc>
          <w:tcPr>
            <w:tcW w:w="1470" w:type="dxa"/>
            <w:vAlign w:val="center"/>
          </w:tcPr>
          <w:p w:rsidR="002A3512" w:rsidRPr="00736749" w:rsidRDefault="002A3512" w:rsidP="002A3512">
            <w:pPr>
              <w:jc w:val="center"/>
              <w:rPr>
                <w:rFonts w:cstheme="minorHAnsi"/>
              </w:rPr>
            </w:pPr>
            <w:r w:rsidRPr="00736749">
              <w:rPr>
                <w:rFonts w:cstheme="minorHAnsi"/>
              </w:rPr>
              <w:t>IV.E.2</w:t>
            </w:r>
          </w:p>
        </w:tc>
        <w:tc>
          <w:tcPr>
            <w:tcW w:w="818" w:type="dxa"/>
            <w:vAlign w:val="center"/>
          </w:tcPr>
          <w:p w:rsidR="002A3512" w:rsidRPr="00736749" w:rsidRDefault="002A3512" w:rsidP="002A3512">
            <w:pPr>
              <w:jc w:val="center"/>
              <w:rPr>
                <w:rFonts w:cstheme="minorHAnsi"/>
              </w:rPr>
            </w:pPr>
            <w:r w:rsidRPr="00736749">
              <w:rPr>
                <w:rFonts w:cstheme="minorHAnsi"/>
              </w:rPr>
              <w:t>33</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76</w:t>
            </w:r>
          </w:p>
        </w:tc>
        <w:tc>
          <w:tcPr>
            <w:tcW w:w="2735" w:type="dxa"/>
          </w:tcPr>
          <w:p w:rsidR="002A3512" w:rsidRPr="00736749" w:rsidRDefault="002A3512" w:rsidP="002A3512">
            <w:pPr>
              <w:rPr>
                <w:rFonts w:cstheme="minorHAnsi"/>
              </w:rPr>
            </w:pPr>
            <w:r w:rsidRPr="00736749">
              <w:rPr>
                <w:rFonts w:cstheme="minorHAnsi"/>
              </w:rPr>
              <w:t>Will the PED provide the braille and large print student counts by grade level and content area?</w:t>
            </w:r>
          </w:p>
        </w:tc>
        <w:tc>
          <w:tcPr>
            <w:tcW w:w="7065" w:type="dxa"/>
            <w:vAlign w:val="center"/>
          </w:tcPr>
          <w:tbl>
            <w:tblPr>
              <w:tblW w:w="4019" w:type="dxa"/>
              <w:tblCellMar>
                <w:left w:w="0" w:type="dxa"/>
                <w:right w:w="0" w:type="dxa"/>
              </w:tblCellMar>
              <w:tblLook w:val="04A0" w:firstRow="1" w:lastRow="0" w:firstColumn="1" w:lastColumn="0" w:noHBand="0" w:noVBand="1"/>
            </w:tblPr>
            <w:tblGrid>
              <w:gridCol w:w="1601"/>
              <w:gridCol w:w="1209"/>
              <w:gridCol w:w="1209"/>
            </w:tblGrid>
            <w:tr w:rsidR="002A3512" w:rsidRPr="00736749" w:rsidTr="009D6311">
              <w:trPr>
                <w:trHeight w:hRule="exact" w:val="360"/>
              </w:trPr>
              <w:tc>
                <w:tcPr>
                  <w:tcW w:w="1601"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2A3512" w:rsidRPr="00736749" w:rsidRDefault="002A3512" w:rsidP="002A3512">
                  <w:pPr>
                    <w:jc w:val="center"/>
                    <w:rPr>
                      <w:b/>
                      <w:bCs/>
                      <w:color w:val="000000"/>
                    </w:rPr>
                  </w:pPr>
                  <w:r w:rsidRPr="00736749">
                    <w:rPr>
                      <w:b/>
                      <w:bCs/>
                      <w:color w:val="000000"/>
                    </w:rPr>
                    <w:t>Content/Grade Grade/</w:t>
                  </w:r>
                </w:p>
              </w:tc>
              <w:tc>
                <w:tcPr>
                  <w:tcW w:w="1209"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2A3512" w:rsidRPr="00736749" w:rsidRDefault="002A3512" w:rsidP="002A3512">
                  <w:pPr>
                    <w:jc w:val="center"/>
                    <w:rPr>
                      <w:b/>
                      <w:bCs/>
                      <w:color w:val="000000"/>
                    </w:rPr>
                  </w:pPr>
                  <w:r w:rsidRPr="00736749">
                    <w:rPr>
                      <w:b/>
                      <w:bCs/>
                      <w:color w:val="000000"/>
                    </w:rPr>
                    <w:t>Large Print</w:t>
                  </w:r>
                </w:p>
              </w:tc>
              <w:tc>
                <w:tcPr>
                  <w:tcW w:w="1209" w:type="dxa"/>
                  <w:tcBorders>
                    <w:top w:val="single" w:sz="8" w:space="0" w:color="auto"/>
                    <w:left w:val="nil"/>
                    <w:bottom w:val="single" w:sz="8" w:space="0" w:color="auto"/>
                    <w:right w:val="single" w:sz="8" w:space="0" w:color="auto"/>
                  </w:tcBorders>
                  <w:shd w:val="clear" w:color="auto" w:fill="D9E1F2"/>
                </w:tcPr>
                <w:p w:rsidR="002A3512" w:rsidRPr="00736749" w:rsidRDefault="002A3512" w:rsidP="002A3512">
                  <w:pPr>
                    <w:jc w:val="center"/>
                    <w:rPr>
                      <w:b/>
                      <w:bCs/>
                      <w:color w:val="000000"/>
                    </w:rPr>
                  </w:pPr>
                  <w:r w:rsidRPr="00736749">
                    <w:rPr>
                      <w:b/>
                      <w:bCs/>
                      <w:color w:val="000000"/>
                    </w:rPr>
                    <w:t>Braille</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center"/>
                  </w:pPr>
                  <w:r w:rsidRPr="00736749">
                    <w:t>ELA 3</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6</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3</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center"/>
                  </w:pPr>
                  <w:r w:rsidRPr="00736749">
                    <w:t>ELA 4</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7</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1</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center"/>
                  </w:pPr>
                  <w:r w:rsidRPr="00736749">
                    <w:t>ELA 5</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4</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3</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center"/>
                  </w:pPr>
                  <w:r w:rsidRPr="00736749">
                    <w:t>ELA 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8</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1</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center"/>
                  </w:pPr>
                  <w:r w:rsidRPr="00736749">
                    <w:t>ELA 7</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8</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2</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3512" w:rsidRPr="00736749" w:rsidRDefault="002A3512" w:rsidP="002A3512">
                  <w:pPr>
                    <w:jc w:val="center"/>
                  </w:pPr>
                  <w:r w:rsidRPr="00736749">
                    <w:t>ELA 8</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3</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6</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ELA 11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6</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1</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Math 3</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7</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3</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Math 4</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7</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1</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Math 5</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5</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2</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Math 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8</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1</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Math 7</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8</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2</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Math 8</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3</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3</w:t>
                  </w:r>
                </w:p>
              </w:tc>
            </w:tr>
            <w:tr w:rsidR="002A3512" w:rsidRPr="00736749" w:rsidTr="009D6311">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proofErr w:type="spellStart"/>
                  <w:r w:rsidRPr="00736749">
                    <w:t>Alg</w:t>
                  </w:r>
                  <w:proofErr w:type="spellEnd"/>
                  <w:r w:rsidRPr="00736749">
                    <w:t xml:space="preserve"> 2 &amp; Geo</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3512" w:rsidRPr="00736749" w:rsidRDefault="002A3512" w:rsidP="002A3512">
                  <w:pPr>
                    <w:jc w:val="center"/>
                  </w:pPr>
                  <w:r w:rsidRPr="00736749">
                    <w:t>10</w:t>
                  </w:r>
                </w:p>
              </w:tc>
              <w:tc>
                <w:tcPr>
                  <w:tcW w:w="1209" w:type="dxa"/>
                  <w:tcBorders>
                    <w:top w:val="nil"/>
                    <w:left w:val="nil"/>
                    <w:bottom w:val="single" w:sz="8" w:space="0" w:color="auto"/>
                    <w:right w:val="single" w:sz="8" w:space="0" w:color="auto"/>
                  </w:tcBorders>
                </w:tcPr>
                <w:p w:rsidR="002A3512" w:rsidRPr="00736749" w:rsidRDefault="002A3512" w:rsidP="002A3512">
                  <w:pPr>
                    <w:jc w:val="center"/>
                  </w:pPr>
                  <w:r w:rsidRPr="00736749">
                    <w:t>1</w:t>
                  </w:r>
                </w:p>
              </w:tc>
            </w:tr>
          </w:tbl>
          <w:p w:rsidR="002A3512" w:rsidRPr="00736749" w:rsidRDefault="002A3512" w:rsidP="002A3512">
            <w:pPr>
              <w:rPr>
                <w:rFonts w:cstheme="minorHAnsi"/>
              </w:rPr>
            </w:pPr>
            <w:r w:rsidRPr="00736749">
              <w:t>The above chart shows the number of assessments taken in the Spring 2018 administration.</w:t>
            </w:r>
          </w:p>
        </w:tc>
        <w:tc>
          <w:tcPr>
            <w:tcW w:w="1470" w:type="dxa"/>
            <w:vAlign w:val="center"/>
          </w:tcPr>
          <w:p w:rsidR="002A3512" w:rsidRPr="00736749" w:rsidRDefault="002A3512" w:rsidP="002A3512">
            <w:pPr>
              <w:rPr>
                <w:rFonts w:cstheme="minorHAnsi"/>
              </w:rPr>
            </w:pPr>
          </w:p>
        </w:tc>
        <w:tc>
          <w:tcPr>
            <w:tcW w:w="818" w:type="dxa"/>
            <w:vAlign w:val="center"/>
          </w:tcPr>
          <w:p w:rsidR="002A3512" w:rsidRPr="00736749" w:rsidRDefault="002A3512" w:rsidP="002A3512">
            <w:pPr>
              <w:jc w:val="center"/>
              <w:rPr>
                <w:rFonts w:cstheme="minorHAnsi"/>
              </w:rPr>
            </w:pP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77</w:t>
            </w:r>
          </w:p>
        </w:tc>
        <w:tc>
          <w:tcPr>
            <w:tcW w:w="2735" w:type="dxa"/>
            <w:vAlign w:val="center"/>
          </w:tcPr>
          <w:p w:rsidR="002A3512" w:rsidRPr="00736749" w:rsidRDefault="002A3512" w:rsidP="002A3512">
            <w:pPr>
              <w:rPr>
                <w:rFonts w:cstheme="minorHAnsi"/>
              </w:rPr>
            </w:pPr>
            <w:r w:rsidRPr="00736749">
              <w:rPr>
                <w:rFonts w:cstheme="minorHAnsi"/>
              </w:rPr>
              <w:t>Besides the grades 3–8 summative assessments, what other assessments require braille and large print paper forms?</w:t>
            </w:r>
          </w:p>
        </w:tc>
        <w:tc>
          <w:tcPr>
            <w:tcW w:w="7065" w:type="dxa"/>
            <w:vAlign w:val="center"/>
          </w:tcPr>
          <w:p w:rsidR="002A3512" w:rsidRPr="00736749" w:rsidRDefault="002A3512" w:rsidP="00431F93">
            <w:pPr>
              <w:rPr>
                <w:rFonts w:cstheme="minorHAnsi"/>
              </w:rPr>
            </w:pPr>
            <w:r w:rsidRPr="00736749">
              <w:rPr>
                <w:rFonts w:cstheme="minorHAnsi"/>
              </w:rPr>
              <w:t xml:space="preserve">All summative assessments should be available in </w:t>
            </w:r>
            <w:r w:rsidR="00431F93">
              <w:rPr>
                <w:rFonts w:cstheme="minorHAnsi"/>
              </w:rPr>
              <w:t>b</w:t>
            </w:r>
            <w:r w:rsidRPr="00736749">
              <w:rPr>
                <w:rFonts w:cstheme="minorHAnsi"/>
              </w:rPr>
              <w:t xml:space="preserve">raille and large print. </w:t>
            </w:r>
          </w:p>
        </w:tc>
        <w:tc>
          <w:tcPr>
            <w:tcW w:w="1470" w:type="dxa"/>
            <w:vAlign w:val="center"/>
          </w:tcPr>
          <w:p w:rsidR="002A3512" w:rsidRPr="00736749" w:rsidRDefault="002A3512" w:rsidP="002A3512">
            <w:pPr>
              <w:jc w:val="center"/>
              <w:rPr>
                <w:rFonts w:cstheme="minorHAnsi"/>
              </w:rPr>
            </w:pPr>
            <w:r w:rsidRPr="00736749">
              <w:rPr>
                <w:rFonts w:cstheme="minorHAnsi"/>
              </w:rPr>
              <w:t>IV.H.3</w:t>
            </w:r>
          </w:p>
        </w:tc>
        <w:tc>
          <w:tcPr>
            <w:tcW w:w="818" w:type="dxa"/>
            <w:vAlign w:val="center"/>
          </w:tcPr>
          <w:p w:rsidR="002A3512" w:rsidRPr="00736749" w:rsidRDefault="002A3512" w:rsidP="002A3512">
            <w:pPr>
              <w:jc w:val="center"/>
              <w:rPr>
                <w:rFonts w:cstheme="minorHAnsi"/>
              </w:rPr>
            </w:pPr>
            <w:r w:rsidRPr="00736749">
              <w:rPr>
                <w:rFonts w:cstheme="minorHAnsi"/>
              </w:rPr>
              <w:t>42</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78</w:t>
            </w:r>
          </w:p>
        </w:tc>
        <w:tc>
          <w:tcPr>
            <w:tcW w:w="2735" w:type="dxa"/>
            <w:vAlign w:val="center"/>
          </w:tcPr>
          <w:p w:rsidR="002A3512" w:rsidRPr="00736749" w:rsidRDefault="002A3512" w:rsidP="002A3512">
            <w:pPr>
              <w:rPr>
                <w:rFonts w:cstheme="minorHAnsi"/>
              </w:rPr>
            </w:pPr>
            <w:r w:rsidRPr="00736749">
              <w:rPr>
                <w:rFonts w:cstheme="minorHAnsi"/>
              </w:rPr>
              <w:t>Which accessibility features described in Table 17 apply to the Spanish Language Arts assessments?</w:t>
            </w:r>
          </w:p>
        </w:tc>
        <w:tc>
          <w:tcPr>
            <w:tcW w:w="7065" w:type="dxa"/>
            <w:vAlign w:val="center"/>
          </w:tcPr>
          <w:p w:rsidR="002A3512" w:rsidRPr="00736749" w:rsidRDefault="002A3512" w:rsidP="002A3512">
            <w:pPr>
              <w:rPr>
                <w:rFonts w:cstheme="minorHAnsi"/>
              </w:rPr>
            </w:pPr>
            <w:r w:rsidRPr="00736749">
              <w:rPr>
                <w:rFonts w:cstheme="minorHAnsi"/>
              </w:rPr>
              <w:t xml:space="preserve">All of them. PED understands there may be limitations on some features being applicable. </w:t>
            </w:r>
          </w:p>
        </w:tc>
        <w:tc>
          <w:tcPr>
            <w:tcW w:w="1470" w:type="dxa"/>
            <w:vAlign w:val="center"/>
          </w:tcPr>
          <w:p w:rsidR="002A3512" w:rsidRPr="00736749" w:rsidRDefault="002A3512" w:rsidP="002A3512">
            <w:pPr>
              <w:jc w:val="center"/>
              <w:rPr>
                <w:rFonts w:cstheme="minorHAnsi"/>
              </w:rPr>
            </w:pPr>
            <w:r w:rsidRPr="00736749">
              <w:rPr>
                <w:rFonts w:cstheme="minorHAnsi"/>
              </w:rPr>
              <w:t>IV.H.3</w:t>
            </w:r>
          </w:p>
        </w:tc>
        <w:tc>
          <w:tcPr>
            <w:tcW w:w="818" w:type="dxa"/>
            <w:vAlign w:val="center"/>
          </w:tcPr>
          <w:p w:rsidR="002A3512" w:rsidRPr="00736749" w:rsidRDefault="002A3512" w:rsidP="002A3512">
            <w:pPr>
              <w:jc w:val="center"/>
              <w:rPr>
                <w:rFonts w:cstheme="minorHAnsi"/>
              </w:rPr>
            </w:pPr>
            <w:r w:rsidRPr="00736749">
              <w:rPr>
                <w:rFonts w:cstheme="minorHAnsi"/>
              </w:rPr>
              <w:t>42</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79</w:t>
            </w:r>
          </w:p>
        </w:tc>
        <w:tc>
          <w:tcPr>
            <w:tcW w:w="2735" w:type="dxa"/>
            <w:vAlign w:val="center"/>
          </w:tcPr>
          <w:p w:rsidR="002A3512" w:rsidRPr="00736749" w:rsidRDefault="002A3512" w:rsidP="002A3512">
            <w:pPr>
              <w:rPr>
                <w:rFonts w:cstheme="minorHAnsi"/>
              </w:rPr>
            </w:pPr>
            <w:r w:rsidRPr="00736749">
              <w:rPr>
                <w:rFonts w:cstheme="minorHAnsi"/>
              </w:rPr>
              <w:t>Which, if any, of the accessibility features listed does the PED intend to be a requirement? For example, both ASL and closed captioning availability are part of this list. If available, does the PED also want the vendor to provide ASL and closed-captioning costs as part of the ELA and mathematics summative program base pricing?</w:t>
            </w:r>
          </w:p>
        </w:tc>
        <w:tc>
          <w:tcPr>
            <w:tcW w:w="7065" w:type="dxa"/>
            <w:vAlign w:val="center"/>
          </w:tcPr>
          <w:p w:rsidR="002A3512" w:rsidRPr="00736749" w:rsidRDefault="002A3512" w:rsidP="002A3512">
            <w:pPr>
              <w:rPr>
                <w:rFonts w:cstheme="minorHAnsi"/>
              </w:rPr>
            </w:pPr>
            <w:r w:rsidRPr="00736749">
              <w:rPr>
                <w:sz w:val="23"/>
                <w:szCs w:val="23"/>
              </w:rPr>
              <w:t xml:space="preserve">The current State academic assessments for the general student population have many existing accessibility features. It is of critical importance that the range of accessibility features not be significantly reduced. </w:t>
            </w:r>
            <w:r w:rsidRPr="00736749">
              <w:rPr>
                <w:rFonts w:cstheme="minorHAnsi"/>
              </w:rPr>
              <w:t xml:space="preserve">Yes, ASL video and closed captioning costs should be part of the ELA and mathematics summative program base pricing. </w:t>
            </w:r>
          </w:p>
        </w:tc>
        <w:tc>
          <w:tcPr>
            <w:tcW w:w="1470" w:type="dxa"/>
            <w:vAlign w:val="center"/>
          </w:tcPr>
          <w:p w:rsidR="002A3512" w:rsidRPr="00736749" w:rsidRDefault="002A3512" w:rsidP="002A3512">
            <w:pPr>
              <w:jc w:val="center"/>
              <w:rPr>
                <w:rFonts w:cstheme="minorHAnsi"/>
              </w:rPr>
            </w:pPr>
            <w:r w:rsidRPr="00736749">
              <w:rPr>
                <w:rFonts w:cstheme="minorHAnsi"/>
              </w:rPr>
              <w:t>IV.H.3</w:t>
            </w:r>
          </w:p>
        </w:tc>
        <w:tc>
          <w:tcPr>
            <w:tcW w:w="818" w:type="dxa"/>
            <w:vAlign w:val="center"/>
          </w:tcPr>
          <w:p w:rsidR="002A3512" w:rsidRPr="00736749" w:rsidRDefault="002A3512" w:rsidP="002A3512">
            <w:pPr>
              <w:jc w:val="center"/>
              <w:rPr>
                <w:rFonts w:cstheme="minorHAnsi"/>
              </w:rPr>
            </w:pPr>
            <w:r w:rsidRPr="00736749">
              <w:rPr>
                <w:rFonts w:cstheme="minorHAnsi"/>
              </w:rPr>
              <w:t>42</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80</w:t>
            </w:r>
          </w:p>
        </w:tc>
        <w:tc>
          <w:tcPr>
            <w:tcW w:w="2735" w:type="dxa"/>
            <w:vAlign w:val="center"/>
          </w:tcPr>
          <w:p w:rsidR="002A3512" w:rsidRPr="00736749" w:rsidRDefault="002A3512" w:rsidP="002A3512">
            <w:pPr>
              <w:rPr>
                <w:rFonts w:cstheme="minorHAnsi"/>
              </w:rPr>
            </w:pPr>
            <w:r w:rsidRPr="00736749">
              <w:rPr>
                <w:rFonts w:cstheme="minorHAnsi"/>
              </w:rPr>
              <w:t>Please confirm that the Offeror is not liable for disclosure of items or scores by New Mexico educators and PED staff.</w:t>
            </w:r>
          </w:p>
        </w:tc>
        <w:tc>
          <w:tcPr>
            <w:tcW w:w="7065" w:type="dxa"/>
            <w:vAlign w:val="center"/>
          </w:tcPr>
          <w:p w:rsidR="002A3512" w:rsidRPr="00736749" w:rsidRDefault="002A3512" w:rsidP="002A3512">
            <w:pPr>
              <w:rPr>
                <w:rFonts w:cstheme="minorHAnsi"/>
              </w:rPr>
            </w:pPr>
            <w:r w:rsidRPr="00736749">
              <w:rPr>
                <w:rFonts w:cstheme="minorHAnsi"/>
              </w:rPr>
              <w:t>The Offeror is not liable for disclosure of items or scores by New Mexico educators and PED staff.</w:t>
            </w:r>
          </w:p>
        </w:tc>
        <w:tc>
          <w:tcPr>
            <w:tcW w:w="1470" w:type="dxa"/>
            <w:vAlign w:val="center"/>
          </w:tcPr>
          <w:p w:rsidR="002A3512" w:rsidRPr="00736749" w:rsidRDefault="002A3512" w:rsidP="002A3512">
            <w:pPr>
              <w:jc w:val="center"/>
              <w:rPr>
                <w:rFonts w:cstheme="minorHAnsi"/>
              </w:rPr>
            </w:pPr>
            <w:r w:rsidRPr="00736749">
              <w:rPr>
                <w:rFonts w:cstheme="minorHAnsi"/>
              </w:rPr>
              <w:t>IV.S</w:t>
            </w:r>
          </w:p>
        </w:tc>
        <w:tc>
          <w:tcPr>
            <w:tcW w:w="818" w:type="dxa"/>
            <w:vAlign w:val="center"/>
          </w:tcPr>
          <w:p w:rsidR="002A3512" w:rsidRPr="00736749" w:rsidRDefault="002A3512" w:rsidP="002A3512">
            <w:pPr>
              <w:jc w:val="center"/>
              <w:rPr>
                <w:rFonts w:cstheme="minorHAnsi"/>
              </w:rPr>
            </w:pPr>
            <w:r w:rsidRPr="00736749">
              <w:rPr>
                <w:rFonts w:cstheme="minorHAnsi"/>
              </w:rPr>
              <w:t>76</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81</w:t>
            </w:r>
          </w:p>
        </w:tc>
        <w:tc>
          <w:tcPr>
            <w:tcW w:w="2735" w:type="dxa"/>
            <w:vAlign w:val="center"/>
          </w:tcPr>
          <w:p w:rsidR="002A3512" w:rsidRPr="00736749" w:rsidRDefault="002A3512" w:rsidP="002A3512">
            <w:pPr>
              <w:rPr>
                <w:rFonts w:cstheme="minorHAnsi"/>
              </w:rPr>
            </w:pPr>
            <w:r w:rsidRPr="00736749">
              <w:rPr>
                <w:rFonts w:cstheme="minorHAnsi"/>
              </w:rPr>
              <w:t xml:space="preserve">Bullet 5 of the RFP states, “Ensuring that copyright permissions will be owned by the PED.” In this context, what does “own” mean regarding third-party copyright permissions? </w:t>
            </w:r>
          </w:p>
          <w:p w:rsidR="002A3512" w:rsidRPr="00736749" w:rsidRDefault="002A3512" w:rsidP="002A3512">
            <w:pPr>
              <w:rPr>
                <w:rFonts w:cstheme="minorHAnsi"/>
              </w:rPr>
            </w:pPr>
          </w:p>
          <w:p w:rsidR="002A3512" w:rsidRPr="00736749" w:rsidRDefault="002A3512" w:rsidP="002A3512">
            <w:pPr>
              <w:rPr>
                <w:rFonts w:ascii="Arial" w:hAnsi="Arial" w:cs="Arial"/>
                <w:sz w:val="20"/>
                <w:szCs w:val="20"/>
              </w:rPr>
            </w:pPr>
            <w:r w:rsidRPr="00736749">
              <w:rPr>
                <w:rFonts w:cstheme="minorHAnsi"/>
              </w:rPr>
              <w:t xml:space="preserve">Bullet 6 of the RFP states, “Ensuring that copyright permission agreements will be sufficiently lengthy to ensure the ability to use items based on the stimuli for many cycles of testing.” How long </w:t>
            </w:r>
            <w:proofErr w:type="gramStart"/>
            <w:r w:rsidRPr="00736749">
              <w:rPr>
                <w:rFonts w:cstheme="minorHAnsi"/>
              </w:rPr>
              <w:t>should third-party-owned passages and stimuli permissions</w:t>
            </w:r>
            <w:proofErr w:type="gramEnd"/>
            <w:r w:rsidRPr="00736749">
              <w:rPr>
                <w:rFonts w:cstheme="minorHAnsi"/>
              </w:rPr>
              <w:t xml:space="preserve"> be secured for? </w:t>
            </w:r>
          </w:p>
        </w:tc>
        <w:tc>
          <w:tcPr>
            <w:tcW w:w="7065" w:type="dxa"/>
            <w:vAlign w:val="center"/>
          </w:tcPr>
          <w:p w:rsidR="002A3512" w:rsidRPr="00736749" w:rsidRDefault="002A3512" w:rsidP="002A3512">
            <w:r w:rsidRPr="00736749">
              <w:t>PED will hold the copyright permissions in addition to or rather than the contractor.</w:t>
            </w:r>
          </w:p>
          <w:p w:rsidR="002A3512" w:rsidRPr="00736749" w:rsidRDefault="002A3512" w:rsidP="002A3512"/>
          <w:p w:rsidR="002A3512" w:rsidRPr="00736749" w:rsidRDefault="002A3512" w:rsidP="002A3512">
            <w:pPr>
              <w:rPr>
                <w:rFonts w:cstheme="minorHAnsi"/>
              </w:rPr>
            </w:pPr>
            <w:r w:rsidRPr="00736749">
              <w:t>10 Years.</w:t>
            </w:r>
          </w:p>
        </w:tc>
        <w:tc>
          <w:tcPr>
            <w:tcW w:w="1470" w:type="dxa"/>
            <w:vAlign w:val="center"/>
          </w:tcPr>
          <w:p w:rsidR="002A3512" w:rsidRPr="00736749" w:rsidRDefault="002A3512" w:rsidP="002A3512">
            <w:pPr>
              <w:jc w:val="center"/>
              <w:rPr>
                <w:rFonts w:cstheme="minorHAnsi"/>
              </w:rPr>
            </w:pPr>
            <w:r w:rsidRPr="00736749">
              <w:rPr>
                <w:rFonts w:cstheme="minorHAnsi"/>
              </w:rPr>
              <w:t>IV.S.8</w:t>
            </w:r>
          </w:p>
        </w:tc>
        <w:tc>
          <w:tcPr>
            <w:tcW w:w="818" w:type="dxa"/>
            <w:vAlign w:val="center"/>
          </w:tcPr>
          <w:p w:rsidR="002A3512" w:rsidRPr="00736749" w:rsidRDefault="002A3512" w:rsidP="002A3512">
            <w:pPr>
              <w:jc w:val="center"/>
              <w:rPr>
                <w:rFonts w:cstheme="minorHAnsi"/>
              </w:rPr>
            </w:pPr>
            <w:r w:rsidRPr="00736749">
              <w:rPr>
                <w:rFonts w:cstheme="minorHAnsi"/>
              </w:rPr>
              <w:t>77</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82</w:t>
            </w:r>
          </w:p>
        </w:tc>
        <w:tc>
          <w:tcPr>
            <w:tcW w:w="2735" w:type="dxa"/>
            <w:vAlign w:val="center"/>
          </w:tcPr>
          <w:p w:rsidR="002A3512" w:rsidRPr="00736749" w:rsidRDefault="002A3512" w:rsidP="002A3512">
            <w:pPr>
              <w:rPr>
                <w:rFonts w:cstheme="minorHAnsi"/>
              </w:rPr>
            </w:pPr>
            <w:r w:rsidRPr="00736749">
              <w:rPr>
                <w:rFonts w:cstheme="minorHAnsi"/>
              </w:rPr>
              <w:t xml:space="preserve">Please </w:t>
            </w:r>
            <w:proofErr w:type="gramStart"/>
            <w:r w:rsidRPr="00736749">
              <w:rPr>
                <w:rFonts w:cstheme="minorHAnsi"/>
              </w:rPr>
              <w:t>advise</w:t>
            </w:r>
            <w:proofErr w:type="gramEnd"/>
            <w:r w:rsidRPr="00736749">
              <w:rPr>
                <w:rFonts w:cstheme="minorHAnsi"/>
              </w:rPr>
              <w:t xml:space="preserve"> how long the PED anticipates needing to use Leased (licensed) items and third-party-owned passages and stimuli for which permissions are obtained. </w:t>
            </w:r>
          </w:p>
        </w:tc>
        <w:tc>
          <w:tcPr>
            <w:tcW w:w="7065" w:type="dxa"/>
            <w:vAlign w:val="center"/>
          </w:tcPr>
          <w:p w:rsidR="002A3512" w:rsidRPr="00736749" w:rsidRDefault="00DC74F7" w:rsidP="002A3512">
            <w:pPr>
              <w:rPr>
                <w:rFonts w:cstheme="minorHAnsi"/>
              </w:rPr>
            </w:pPr>
            <w:r w:rsidRPr="00736749">
              <w:rPr>
                <w:rFonts w:cstheme="minorHAnsi"/>
              </w:rPr>
              <w:t>PED anticipates using licensed items through school year 2022-23.</w:t>
            </w:r>
            <w:r w:rsidR="002A3512" w:rsidRPr="00736749">
              <w:rPr>
                <w:rFonts w:cstheme="minorHAnsi"/>
              </w:rPr>
              <w:t xml:space="preserve"> </w:t>
            </w:r>
          </w:p>
          <w:p w:rsidR="002A3512" w:rsidRPr="00736749" w:rsidRDefault="00DC74F7" w:rsidP="00DC74F7">
            <w:pPr>
              <w:rPr>
                <w:rFonts w:cstheme="minorHAnsi"/>
              </w:rPr>
            </w:pPr>
            <w:r w:rsidRPr="00736749">
              <w:rPr>
                <w:rFonts w:cstheme="minorHAnsi"/>
              </w:rPr>
              <w:t xml:space="preserve">PED requests to have permission for the use of </w:t>
            </w:r>
            <w:r w:rsidR="002A3512" w:rsidRPr="00736749">
              <w:rPr>
                <w:rFonts w:cstheme="minorHAnsi"/>
              </w:rPr>
              <w:t>third-party &amp; stimuli</w:t>
            </w:r>
            <w:r w:rsidRPr="00736749">
              <w:rPr>
                <w:rFonts w:cstheme="minorHAnsi"/>
              </w:rPr>
              <w:t xml:space="preserve"> items for a period of</w:t>
            </w:r>
            <w:r w:rsidR="002A3512" w:rsidRPr="00736749">
              <w:rPr>
                <w:rFonts w:cstheme="minorHAnsi"/>
              </w:rPr>
              <w:t xml:space="preserve"> 10 years</w:t>
            </w:r>
            <w:r w:rsidRPr="00736749">
              <w:rPr>
                <w:rFonts w:cstheme="minorHAnsi"/>
              </w:rPr>
              <w:t>.</w:t>
            </w:r>
          </w:p>
        </w:tc>
        <w:tc>
          <w:tcPr>
            <w:tcW w:w="1470" w:type="dxa"/>
            <w:vAlign w:val="center"/>
          </w:tcPr>
          <w:p w:rsidR="002A3512" w:rsidRPr="00736749" w:rsidRDefault="00DC74F7" w:rsidP="002A3512">
            <w:pPr>
              <w:jc w:val="center"/>
              <w:rPr>
                <w:rFonts w:cstheme="minorHAnsi"/>
              </w:rPr>
            </w:pPr>
            <w:r w:rsidRPr="00736749">
              <w:rPr>
                <w:rFonts w:cstheme="minorHAnsi"/>
              </w:rPr>
              <w:t>IV.A</w:t>
            </w:r>
          </w:p>
        </w:tc>
        <w:tc>
          <w:tcPr>
            <w:tcW w:w="818" w:type="dxa"/>
            <w:vAlign w:val="center"/>
          </w:tcPr>
          <w:p w:rsidR="002A3512" w:rsidRPr="00736749" w:rsidRDefault="00DC74F7" w:rsidP="002A3512">
            <w:pPr>
              <w:jc w:val="center"/>
              <w:rPr>
                <w:rFonts w:cstheme="minorHAnsi"/>
              </w:rPr>
            </w:pPr>
            <w:r w:rsidRPr="00736749">
              <w:rPr>
                <w:rFonts w:cstheme="minorHAnsi"/>
              </w:rPr>
              <w:t>25</w:t>
            </w:r>
          </w:p>
          <w:p w:rsidR="00DC74F7" w:rsidRPr="00736749" w:rsidRDefault="00DC74F7" w:rsidP="002A3512">
            <w:pPr>
              <w:jc w:val="center"/>
              <w:rPr>
                <w:rFonts w:cstheme="minorHAnsi"/>
              </w:rPr>
            </w:pPr>
            <w:r w:rsidRPr="00736749">
              <w:rPr>
                <w:rFonts w:cstheme="minorHAnsi"/>
              </w:rPr>
              <w:t>Table 11</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83</w:t>
            </w:r>
          </w:p>
        </w:tc>
        <w:tc>
          <w:tcPr>
            <w:tcW w:w="2735" w:type="dxa"/>
            <w:vAlign w:val="center"/>
          </w:tcPr>
          <w:p w:rsidR="002A3512" w:rsidRPr="00736749" w:rsidRDefault="002A3512" w:rsidP="002A3512">
            <w:pPr>
              <w:rPr>
                <w:rFonts w:cstheme="minorHAnsi"/>
              </w:rPr>
            </w:pPr>
            <w:r w:rsidRPr="00736749">
              <w:rPr>
                <w:rFonts w:cstheme="minorHAnsi"/>
              </w:rPr>
              <w:t>The RFP states, “The evidence must include all studies by third parties addressing alignment to standards that deviate only minimally form the CCSS for Evaluation Committee review.”</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 xml:space="preserve">What is the timeframe for these studies? Does this refer to all studies by third parties within the past year? </w:t>
            </w:r>
          </w:p>
        </w:tc>
        <w:tc>
          <w:tcPr>
            <w:tcW w:w="7065" w:type="dxa"/>
            <w:vAlign w:val="center"/>
          </w:tcPr>
          <w:p w:rsidR="002A3512" w:rsidRPr="00736749" w:rsidRDefault="002A3512" w:rsidP="002A3512">
            <w:pPr>
              <w:rPr>
                <w:rFonts w:cstheme="minorHAnsi"/>
              </w:rPr>
            </w:pPr>
            <w:r w:rsidRPr="00736749">
              <w:rPr>
                <w:rFonts w:cstheme="minorHAnsi"/>
              </w:rPr>
              <w:t>The timeframe includes all third-party alignment studies that were conducted on the assessment as it currently exists (i.e., those studies that are still applicable regardless of when the study was conducted).</w:t>
            </w:r>
          </w:p>
        </w:tc>
        <w:tc>
          <w:tcPr>
            <w:tcW w:w="1470" w:type="dxa"/>
            <w:vAlign w:val="center"/>
          </w:tcPr>
          <w:p w:rsidR="002A3512" w:rsidRPr="00736749" w:rsidRDefault="002A3512" w:rsidP="002A3512">
            <w:pPr>
              <w:jc w:val="center"/>
              <w:rPr>
                <w:rFonts w:cstheme="minorHAnsi"/>
              </w:rPr>
            </w:pPr>
            <w:r w:rsidRPr="00736749">
              <w:rPr>
                <w:rFonts w:cstheme="minorHAnsi"/>
              </w:rPr>
              <w:t>IV.U.1</w:t>
            </w:r>
          </w:p>
        </w:tc>
        <w:tc>
          <w:tcPr>
            <w:tcW w:w="818" w:type="dxa"/>
            <w:vAlign w:val="center"/>
          </w:tcPr>
          <w:p w:rsidR="002A3512" w:rsidRPr="00736749" w:rsidRDefault="002A3512" w:rsidP="002A3512">
            <w:pPr>
              <w:jc w:val="center"/>
              <w:rPr>
                <w:rFonts w:cstheme="minorHAnsi"/>
              </w:rPr>
            </w:pPr>
            <w:r w:rsidRPr="00736749">
              <w:rPr>
                <w:rFonts w:cstheme="minorHAnsi"/>
              </w:rPr>
              <w:t>91</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84</w:t>
            </w:r>
          </w:p>
        </w:tc>
        <w:tc>
          <w:tcPr>
            <w:tcW w:w="2735" w:type="dxa"/>
            <w:vAlign w:val="center"/>
          </w:tcPr>
          <w:p w:rsidR="002A3512" w:rsidRPr="00736749" w:rsidRDefault="002A3512" w:rsidP="002A3512">
            <w:pPr>
              <w:spacing w:after="120"/>
              <w:rPr>
                <w:rFonts w:ascii="Arial" w:hAnsi="Arial" w:cs="Arial"/>
                <w:sz w:val="20"/>
                <w:szCs w:val="20"/>
              </w:rPr>
            </w:pPr>
            <w:r w:rsidRPr="00736749">
              <w:rPr>
                <w:rFonts w:cstheme="minorHAnsi"/>
              </w:rPr>
              <w:t>Does the PED require the vendor to print and ship any assessment manuals to districts and schools, or will these materials be PDF documents downloadable from the online system?</w:t>
            </w:r>
          </w:p>
        </w:tc>
        <w:tc>
          <w:tcPr>
            <w:tcW w:w="7065" w:type="dxa"/>
            <w:vAlign w:val="center"/>
          </w:tcPr>
          <w:p w:rsidR="002A3512" w:rsidRPr="00736749" w:rsidRDefault="002A3512" w:rsidP="002A3512">
            <w:pPr>
              <w:rPr>
                <w:rFonts w:cstheme="minorHAnsi"/>
              </w:rPr>
            </w:pPr>
            <w:r w:rsidRPr="00736749">
              <w:t>DTC manuals and Test Administrator manuals should be printed and shipped, at a minimum.</w:t>
            </w:r>
          </w:p>
        </w:tc>
        <w:tc>
          <w:tcPr>
            <w:tcW w:w="1470" w:type="dxa"/>
            <w:vAlign w:val="center"/>
          </w:tcPr>
          <w:p w:rsidR="002A3512" w:rsidRPr="00736749" w:rsidRDefault="002A3512" w:rsidP="002A3512">
            <w:pPr>
              <w:jc w:val="center"/>
              <w:rPr>
                <w:rFonts w:cstheme="minorHAnsi"/>
              </w:rPr>
            </w:pPr>
            <w:r w:rsidRPr="00736749">
              <w:rPr>
                <w:rFonts w:cstheme="minorHAnsi"/>
              </w:rPr>
              <w:t>IV.V.4</w:t>
            </w:r>
          </w:p>
        </w:tc>
        <w:tc>
          <w:tcPr>
            <w:tcW w:w="818" w:type="dxa"/>
            <w:vAlign w:val="center"/>
          </w:tcPr>
          <w:p w:rsidR="002A3512" w:rsidRPr="00736749" w:rsidRDefault="002A3512" w:rsidP="002A3512">
            <w:pPr>
              <w:jc w:val="center"/>
              <w:rPr>
                <w:rFonts w:cstheme="minorHAnsi"/>
              </w:rPr>
            </w:pPr>
            <w:r w:rsidRPr="00736749">
              <w:rPr>
                <w:rFonts w:cstheme="minorHAnsi"/>
              </w:rPr>
              <w:t>93</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85</w:t>
            </w:r>
          </w:p>
        </w:tc>
        <w:tc>
          <w:tcPr>
            <w:tcW w:w="2735" w:type="dxa"/>
            <w:vAlign w:val="center"/>
          </w:tcPr>
          <w:p w:rsidR="002A3512" w:rsidRPr="00736749" w:rsidRDefault="002A3512" w:rsidP="002A3512">
            <w:pPr>
              <w:spacing w:after="120"/>
              <w:rPr>
                <w:rFonts w:cstheme="minorHAnsi"/>
              </w:rPr>
            </w:pPr>
            <w:r w:rsidRPr="00736749">
              <w:rPr>
                <w:rFonts w:cstheme="minorHAnsi"/>
              </w:rPr>
              <w:t>Does the PED have preferences regarding the type of manuals offered?</w:t>
            </w:r>
          </w:p>
        </w:tc>
        <w:tc>
          <w:tcPr>
            <w:tcW w:w="7065" w:type="dxa"/>
            <w:vAlign w:val="center"/>
          </w:tcPr>
          <w:p w:rsidR="002A3512" w:rsidRPr="00736749" w:rsidRDefault="002A3512" w:rsidP="002A3512">
            <w:pPr>
              <w:pStyle w:val="Default"/>
              <w:rPr>
                <w:rFonts w:asciiTheme="minorHAnsi" w:hAnsiTheme="minorHAnsi" w:cstheme="minorHAnsi"/>
                <w:color w:val="auto"/>
                <w:sz w:val="22"/>
                <w:szCs w:val="22"/>
              </w:rPr>
            </w:pPr>
            <w:r w:rsidRPr="00736749">
              <w:rPr>
                <w:rFonts w:asciiTheme="minorHAnsi" w:hAnsiTheme="minorHAnsi" w:cstheme="minorHAnsi"/>
                <w:color w:val="auto"/>
                <w:sz w:val="22"/>
                <w:szCs w:val="22"/>
              </w:rPr>
              <w:t>Manuals shou</w:t>
            </w:r>
            <w:r w:rsidR="00BF64D0">
              <w:rPr>
                <w:rFonts w:asciiTheme="minorHAnsi" w:hAnsiTheme="minorHAnsi" w:cstheme="minorHAnsi"/>
                <w:color w:val="auto"/>
                <w:sz w:val="22"/>
                <w:szCs w:val="22"/>
              </w:rPr>
              <w:t>ld address all of the following; at a minimum:</w:t>
            </w:r>
            <w:r w:rsidRPr="00736749">
              <w:rPr>
                <w:rFonts w:asciiTheme="minorHAnsi" w:hAnsiTheme="minorHAnsi" w:cstheme="minorHAnsi"/>
                <w:color w:val="auto"/>
                <w:sz w:val="22"/>
                <w:szCs w:val="22"/>
              </w:rPr>
              <w:t xml:space="preserve"> </w:t>
            </w:r>
          </w:p>
          <w:p w:rsidR="002A3512" w:rsidRPr="00736749" w:rsidRDefault="002A3512" w:rsidP="002A3512">
            <w:pPr>
              <w:pStyle w:val="Default"/>
              <w:numPr>
                <w:ilvl w:val="0"/>
                <w:numId w:val="15"/>
              </w:numPr>
              <w:spacing w:after="44"/>
              <w:ind w:left="363"/>
              <w:rPr>
                <w:rFonts w:asciiTheme="minorHAnsi" w:hAnsiTheme="minorHAnsi" w:cstheme="minorHAnsi"/>
                <w:color w:val="auto"/>
                <w:sz w:val="22"/>
                <w:szCs w:val="22"/>
              </w:rPr>
            </w:pPr>
            <w:r w:rsidRPr="00736749">
              <w:rPr>
                <w:rFonts w:asciiTheme="minorHAnsi" w:hAnsiTheme="minorHAnsi" w:cstheme="minorHAnsi"/>
                <w:color w:val="auto"/>
                <w:sz w:val="22"/>
                <w:szCs w:val="22"/>
              </w:rPr>
              <w:t xml:space="preserve">Early preparation (e.g., IT infrastructure, IEP designations, registration, requesting accessibility features) </w:t>
            </w:r>
          </w:p>
          <w:p w:rsidR="002A3512" w:rsidRPr="00736749" w:rsidRDefault="002A3512" w:rsidP="002A3512">
            <w:pPr>
              <w:pStyle w:val="Default"/>
              <w:numPr>
                <w:ilvl w:val="0"/>
                <w:numId w:val="15"/>
              </w:numPr>
              <w:spacing w:after="44"/>
              <w:ind w:left="363"/>
              <w:rPr>
                <w:rFonts w:asciiTheme="minorHAnsi" w:hAnsiTheme="minorHAnsi" w:cstheme="minorHAnsi"/>
                <w:color w:val="auto"/>
                <w:sz w:val="22"/>
                <w:szCs w:val="22"/>
              </w:rPr>
            </w:pPr>
            <w:r w:rsidRPr="00736749">
              <w:rPr>
                <w:rFonts w:asciiTheme="minorHAnsi" w:hAnsiTheme="minorHAnsi" w:cstheme="minorHAnsi"/>
                <w:color w:val="auto"/>
                <w:sz w:val="22"/>
                <w:szCs w:val="22"/>
              </w:rPr>
              <w:t xml:space="preserve">Near term preparation (e.g., IT preparations, preparing the testing environment) </w:t>
            </w:r>
          </w:p>
          <w:p w:rsidR="002A3512" w:rsidRPr="00736749" w:rsidRDefault="002A3512" w:rsidP="002A3512">
            <w:pPr>
              <w:pStyle w:val="Default"/>
              <w:numPr>
                <w:ilvl w:val="0"/>
                <w:numId w:val="15"/>
              </w:numPr>
              <w:spacing w:after="44"/>
              <w:ind w:left="363"/>
              <w:rPr>
                <w:rFonts w:asciiTheme="minorHAnsi" w:hAnsiTheme="minorHAnsi" w:cstheme="minorHAnsi"/>
                <w:color w:val="auto"/>
                <w:sz w:val="22"/>
                <w:szCs w:val="22"/>
              </w:rPr>
            </w:pPr>
            <w:r w:rsidRPr="00736749">
              <w:rPr>
                <w:rFonts w:asciiTheme="minorHAnsi" w:hAnsiTheme="minorHAnsi" w:cstheme="minorHAnsi"/>
                <w:color w:val="auto"/>
                <w:sz w:val="22"/>
                <w:szCs w:val="22"/>
              </w:rPr>
              <w:t xml:space="preserve">Test security (e.g., chain of custody, security agreements, monitoring administration, reporting violations) </w:t>
            </w:r>
          </w:p>
          <w:p w:rsidR="002A3512" w:rsidRPr="00736749" w:rsidRDefault="002A3512" w:rsidP="002A3512">
            <w:pPr>
              <w:pStyle w:val="Default"/>
              <w:numPr>
                <w:ilvl w:val="0"/>
                <w:numId w:val="15"/>
              </w:numPr>
              <w:spacing w:after="44"/>
              <w:ind w:left="363"/>
              <w:rPr>
                <w:rFonts w:asciiTheme="minorHAnsi" w:hAnsiTheme="minorHAnsi" w:cstheme="minorHAnsi"/>
                <w:color w:val="auto"/>
                <w:sz w:val="22"/>
                <w:szCs w:val="22"/>
              </w:rPr>
            </w:pPr>
            <w:r w:rsidRPr="00736749">
              <w:rPr>
                <w:rFonts w:asciiTheme="minorHAnsi" w:hAnsiTheme="minorHAnsi" w:cstheme="minorHAnsi"/>
                <w:color w:val="auto"/>
                <w:sz w:val="22"/>
                <w:szCs w:val="22"/>
              </w:rPr>
              <w:t xml:space="preserve">Assessment integrity (e.g., appropriate and inappropriate behavior before, during, and after testing) </w:t>
            </w:r>
          </w:p>
          <w:p w:rsidR="002A3512" w:rsidRPr="00736749" w:rsidRDefault="002A3512" w:rsidP="002A3512">
            <w:pPr>
              <w:pStyle w:val="Default"/>
              <w:numPr>
                <w:ilvl w:val="0"/>
                <w:numId w:val="15"/>
              </w:numPr>
              <w:spacing w:after="44"/>
              <w:ind w:left="363"/>
              <w:rPr>
                <w:rFonts w:asciiTheme="minorHAnsi" w:hAnsiTheme="minorHAnsi" w:cstheme="minorHAnsi"/>
                <w:color w:val="auto"/>
                <w:sz w:val="22"/>
                <w:szCs w:val="22"/>
              </w:rPr>
            </w:pPr>
            <w:r w:rsidRPr="00736749">
              <w:rPr>
                <w:rFonts w:asciiTheme="minorHAnsi" w:hAnsiTheme="minorHAnsi" w:cstheme="minorHAnsi"/>
                <w:color w:val="auto"/>
                <w:sz w:val="22"/>
                <w:szCs w:val="22"/>
              </w:rPr>
              <w:t xml:space="preserve">Test administration (e.g., IT management, progress monitoring, error reporting) </w:t>
            </w:r>
          </w:p>
          <w:p w:rsidR="002A3512" w:rsidRPr="00736749" w:rsidRDefault="002A3512" w:rsidP="002A3512">
            <w:pPr>
              <w:pStyle w:val="Default"/>
              <w:numPr>
                <w:ilvl w:val="0"/>
                <w:numId w:val="15"/>
              </w:numPr>
              <w:spacing w:after="44"/>
              <w:ind w:left="363"/>
              <w:rPr>
                <w:rFonts w:asciiTheme="minorHAnsi" w:hAnsiTheme="minorHAnsi" w:cstheme="minorHAnsi"/>
                <w:color w:val="auto"/>
                <w:sz w:val="22"/>
                <w:szCs w:val="22"/>
              </w:rPr>
            </w:pPr>
            <w:r w:rsidRPr="00736749">
              <w:rPr>
                <w:rFonts w:asciiTheme="minorHAnsi" w:hAnsiTheme="minorHAnsi" w:cstheme="minorHAnsi"/>
                <w:color w:val="auto"/>
                <w:sz w:val="22"/>
                <w:szCs w:val="22"/>
              </w:rPr>
              <w:t xml:space="preserve">Help desk and FAQs </w:t>
            </w:r>
          </w:p>
          <w:p w:rsidR="002A3512" w:rsidRDefault="00BF64D0" w:rsidP="002A3512">
            <w:pPr>
              <w:pStyle w:val="Default"/>
              <w:numPr>
                <w:ilvl w:val="0"/>
                <w:numId w:val="15"/>
              </w:numPr>
              <w:ind w:left="363"/>
              <w:rPr>
                <w:rFonts w:asciiTheme="minorHAnsi" w:hAnsiTheme="minorHAnsi" w:cstheme="minorHAnsi"/>
                <w:color w:val="auto"/>
                <w:sz w:val="22"/>
                <w:szCs w:val="22"/>
              </w:rPr>
            </w:pPr>
            <w:r>
              <w:rPr>
                <w:rFonts w:asciiTheme="minorHAnsi" w:hAnsiTheme="minorHAnsi" w:cstheme="minorHAnsi"/>
                <w:color w:val="auto"/>
                <w:sz w:val="22"/>
                <w:szCs w:val="22"/>
              </w:rPr>
              <w:t>Crisis management</w:t>
            </w:r>
          </w:p>
          <w:p w:rsidR="00BF64D0" w:rsidRPr="00736749" w:rsidRDefault="00BF64D0" w:rsidP="002A3512">
            <w:pPr>
              <w:pStyle w:val="Default"/>
              <w:numPr>
                <w:ilvl w:val="0"/>
                <w:numId w:val="15"/>
              </w:numPr>
              <w:ind w:left="363"/>
              <w:rPr>
                <w:rFonts w:asciiTheme="minorHAnsi" w:hAnsiTheme="minorHAnsi" w:cstheme="minorHAnsi"/>
                <w:color w:val="auto"/>
                <w:sz w:val="22"/>
                <w:szCs w:val="22"/>
              </w:rPr>
            </w:pPr>
            <w:r>
              <w:rPr>
                <w:rFonts w:asciiTheme="minorHAnsi" w:hAnsiTheme="minorHAnsi" w:cstheme="minorHAnsi"/>
                <w:color w:val="auto"/>
                <w:sz w:val="22"/>
                <w:szCs w:val="22"/>
              </w:rPr>
              <w:t xml:space="preserve">Post-test procedures: packing, shipping, and disposal of paper-based </w:t>
            </w:r>
            <w:proofErr w:type="spellStart"/>
            <w:r>
              <w:rPr>
                <w:rFonts w:asciiTheme="minorHAnsi" w:hAnsiTheme="minorHAnsi" w:cstheme="minorHAnsi"/>
                <w:color w:val="auto"/>
                <w:sz w:val="22"/>
                <w:szCs w:val="22"/>
              </w:rPr>
              <w:t>scorables</w:t>
            </w:r>
            <w:proofErr w:type="spellEnd"/>
            <w:r>
              <w:rPr>
                <w:rFonts w:asciiTheme="minorHAnsi" w:hAnsiTheme="minorHAnsi" w:cstheme="minorHAnsi"/>
                <w:color w:val="auto"/>
                <w:sz w:val="22"/>
                <w:szCs w:val="22"/>
              </w:rPr>
              <w:t xml:space="preserve"> and non-</w:t>
            </w:r>
            <w:proofErr w:type="spellStart"/>
            <w:r>
              <w:rPr>
                <w:rFonts w:asciiTheme="minorHAnsi" w:hAnsiTheme="minorHAnsi" w:cstheme="minorHAnsi"/>
                <w:color w:val="auto"/>
                <w:sz w:val="22"/>
                <w:szCs w:val="22"/>
              </w:rPr>
              <w:t>scorables</w:t>
            </w:r>
            <w:proofErr w:type="spellEnd"/>
            <w:r>
              <w:rPr>
                <w:rFonts w:asciiTheme="minorHAnsi" w:hAnsiTheme="minorHAnsi" w:cstheme="minorHAnsi"/>
                <w:color w:val="auto"/>
                <w:sz w:val="22"/>
                <w:szCs w:val="22"/>
              </w:rPr>
              <w:t xml:space="preserve"> (including non-secure materials, scratch paper, etc.)</w:t>
            </w:r>
          </w:p>
          <w:p w:rsidR="002A3512" w:rsidRPr="00736749" w:rsidRDefault="002A3512" w:rsidP="002A3512">
            <w:pPr>
              <w:rPr>
                <w:rFonts w:cstheme="minorHAnsi"/>
              </w:rPr>
            </w:pPr>
          </w:p>
        </w:tc>
        <w:tc>
          <w:tcPr>
            <w:tcW w:w="1470" w:type="dxa"/>
            <w:vAlign w:val="center"/>
          </w:tcPr>
          <w:p w:rsidR="002A3512" w:rsidRPr="00736749" w:rsidRDefault="002A3512" w:rsidP="002A3512">
            <w:pPr>
              <w:jc w:val="center"/>
              <w:rPr>
                <w:rFonts w:cstheme="minorHAnsi"/>
              </w:rPr>
            </w:pPr>
            <w:r w:rsidRPr="00736749">
              <w:rPr>
                <w:rFonts w:cstheme="minorHAnsi"/>
              </w:rPr>
              <w:t>IV.V.4</w:t>
            </w:r>
          </w:p>
        </w:tc>
        <w:tc>
          <w:tcPr>
            <w:tcW w:w="818" w:type="dxa"/>
            <w:vAlign w:val="center"/>
          </w:tcPr>
          <w:p w:rsidR="002A3512" w:rsidRPr="00736749" w:rsidRDefault="002A3512" w:rsidP="002A3512">
            <w:pPr>
              <w:jc w:val="center"/>
              <w:rPr>
                <w:rFonts w:cstheme="minorHAnsi"/>
              </w:rPr>
            </w:pPr>
            <w:r w:rsidRPr="00736749">
              <w:rPr>
                <w:rFonts w:cstheme="minorHAnsi"/>
              </w:rPr>
              <w:t>93</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86</w:t>
            </w:r>
          </w:p>
        </w:tc>
        <w:tc>
          <w:tcPr>
            <w:tcW w:w="2735" w:type="dxa"/>
            <w:vAlign w:val="center"/>
          </w:tcPr>
          <w:p w:rsidR="002A3512" w:rsidRPr="00736749" w:rsidRDefault="002A3512" w:rsidP="002A3512">
            <w:pPr>
              <w:spacing w:after="120"/>
              <w:rPr>
                <w:rFonts w:cstheme="minorHAnsi"/>
              </w:rPr>
            </w:pPr>
            <w:r w:rsidRPr="00736749">
              <w:rPr>
                <w:rFonts w:cstheme="minorHAnsi"/>
              </w:rPr>
              <w:t>The RFP states, “Offeror must grant the external evaluator free access to observe all aspects of standard setting, standards validation, and/or standards projections, including being notified of and invited to all public meetings, stakeholder meetings and any ad hoc or planned private meetings among Offeror staff or between Offeror staff and PED staff that take place in conjunction with the work.”</w:t>
            </w:r>
          </w:p>
          <w:p w:rsidR="002A3512" w:rsidRPr="00736749" w:rsidRDefault="002A3512" w:rsidP="002A3512">
            <w:pPr>
              <w:spacing w:after="120"/>
              <w:rPr>
                <w:rFonts w:cstheme="minorHAnsi"/>
              </w:rPr>
            </w:pPr>
            <w:r w:rsidRPr="00736749">
              <w:rPr>
                <w:rFonts w:cstheme="minorHAnsi"/>
              </w:rPr>
              <w:t>Please confirm that the external evaluator will sign a Contractor’s NDA prior to attending any meetings.</w:t>
            </w:r>
          </w:p>
        </w:tc>
        <w:tc>
          <w:tcPr>
            <w:tcW w:w="7065" w:type="dxa"/>
            <w:vAlign w:val="center"/>
          </w:tcPr>
          <w:p w:rsidR="002A3512" w:rsidRPr="00736749" w:rsidRDefault="002A3512" w:rsidP="002A3512">
            <w:pPr>
              <w:rPr>
                <w:rFonts w:cstheme="minorHAnsi"/>
              </w:rPr>
            </w:pPr>
            <w:r w:rsidRPr="00736749">
              <w:rPr>
                <w:rFonts w:cstheme="minorHAnsi"/>
              </w:rPr>
              <w:t xml:space="preserve">Yes, the external evaluator will be required to sign a Contractor’s NDA prior to attending any meetings. </w:t>
            </w:r>
          </w:p>
        </w:tc>
        <w:tc>
          <w:tcPr>
            <w:tcW w:w="1470" w:type="dxa"/>
            <w:vAlign w:val="center"/>
          </w:tcPr>
          <w:p w:rsidR="002A3512" w:rsidRPr="00736749" w:rsidRDefault="002A3512" w:rsidP="002A3512">
            <w:pPr>
              <w:jc w:val="center"/>
              <w:rPr>
                <w:rFonts w:cstheme="minorHAnsi"/>
              </w:rPr>
            </w:pPr>
            <w:r w:rsidRPr="00736749">
              <w:rPr>
                <w:rFonts w:cstheme="minorHAnsi"/>
              </w:rPr>
              <w:t>IV.Z.7</w:t>
            </w:r>
          </w:p>
        </w:tc>
        <w:tc>
          <w:tcPr>
            <w:tcW w:w="818" w:type="dxa"/>
            <w:vAlign w:val="center"/>
          </w:tcPr>
          <w:p w:rsidR="002A3512" w:rsidRPr="00736749" w:rsidRDefault="002A3512" w:rsidP="002A3512">
            <w:pPr>
              <w:jc w:val="center"/>
              <w:rPr>
                <w:rFonts w:cstheme="minorHAnsi"/>
              </w:rPr>
            </w:pPr>
            <w:r w:rsidRPr="00736749">
              <w:rPr>
                <w:rFonts w:cstheme="minorHAnsi"/>
              </w:rPr>
              <w:t>110</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87</w:t>
            </w:r>
          </w:p>
        </w:tc>
        <w:tc>
          <w:tcPr>
            <w:tcW w:w="2735" w:type="dxa"/>
            <w:vAlign w:val="center"/>
          </w:tcPr>
          <w:p w:rsidR="002A3512" w:rsidRPr="00736749" w:rsidRDefault="002A3512" w:rsidP="002A3512">
            <w:pPr>
              <w:spacing w:after="120"/>
              <w:rPr>
                <w:rFonts w:cstheme="minorHAnsi"/>
              </w:rPr>
            </w:pPr>
            <w:r w:rsidRPr="00736749">
              <w:rPr>
                <w:rFonts w:cstheme="minorHAnsi"/>
              </w:rPr>
              <w:t>Please confirm if the vendor needs to print and ship the summative and/or interim reports to schools for distribution to parents. If print reports are required to be shipped, does the PED require the reports in black and white or in color?</w:t>
            </w:r>
          </w:p>
        </w:tc>
        <w:tc>
          <w:tcPr>
            <w:tcW w:w="7065" w:type="dxa"/>
            <w:vAlign w:val="center"/>
          </w:tcPr>
          <w:p w:rsidR="002A3512" w:rsidRPr="00736749" w:rsidRDefault="002A3512" w:rsidP="002A3512">
            <w:r w:rsidRPr="00736749">
              <w:t>Yes, the vendor needs to print and ship the summative</w:t>
            </w:r>
            <w:r w:rsidR="00476125">
              <w:t xml:space="preserve"> reports</w:t>
            </w:r>
            <w:r w:rsidRPr="00736749">
              <w:t xml:space="preserve"> to schools for distribution to parents. The reports should be in color.</w:t>
            </w:r>
          </w:p>
          <w:p w:rsidR="002A3512" w:rsidRPr="00736749" w:rsidRDefault="002A3512" w:rsidP="002A3512">
            <w:r w:rsidRPr="00736749">
              <w:t>OR</w:t>
            </w:r>
          </w:p>
          <w:p w:rsidR="002A3512" w:rsidRPr="00736749" w:rsidRDefault="002A3512" w:rsidP="002A3512">
            <w:r w:rsidRPr="00736749">
              <w:rPr>
                <w:rFonts w:cstheme="minorHAnsi"/>
              </w:rPr>
              <w:t xml:space="preserve">Summative ISRs must be printed and shipped hard copy to districts/schools. Districts can also print additional copies of summative ISRs for their use. Interim reports should include a printable option for LEA use, which could also extend to sharing with parents. Both Summative and Interim results should be </w:t>
            </w:r>
            <w:r w:rsidR="00CA4591">
              <w:rPr>
                <w:rFonts w:cstheme="minorHAnsi"/>
              </w:rPr>
              <w:t>available via a secure</w:t>
            </w:r>
            <w:r w:rsidRPr="00736749">
              <w:rPr>
                <w:rFonts w:cstheme="minorHAnsi"/>
              </w:rPr>
              <w:t xml:space="preserve"> online portal/data dashboard. See Amendment No. 2.</w:t>
            </w:r>
          </w:p>
          <w:p w:rsidR="002A3512" w:rsidRPr="00736749" w:rsidRDefault="002A3512" w:rsidP="002A3512"/>
          <w:p w:rsidR="002A3512" w:rsidRPr="00736749" w:rsidRDefault="002A3512" w:rsidP="002A3512">
            <w:pPr>
              <w:rPr>
                <w:rFonts w:cstheme="minorHAnsi"/>
              </w:rPr>
            </w:pPr>
          </w:p>
        </w:tc>
        <w:tc>
          <w:tcPr>
            <w:tcW w:w="1470" w:type="dxa"/>
            <w:vAlign w:val="center"/>
          </w:tcPr>
          <w:p w:rsidR="002A3512" w:rsidRPr="00736749" w:rsidRDefault="002A3512" w:rsidP="002A3512">
            <w:pPr>
              <w:jc w:val="center"/>
              <w:rPr>
                <w:rFonts w:cstheme="minorHAnsi"/>
              </w:rPr>
            </w:pPr>
            <w:r w:rsidRPr="00736749">
              <w:rPr>
                <w:rFonts w:cstheme="minorHAnsi"/>
              </w:rPr>
              <w:t>IV.AA.4</w:t>
            </w:r>
          </w:p>
          <w:p w:rsidR="002A3512" w:rsidRPr="00736749" w:rsidRDefault="002A3512" w:rsidP="002A3512">
            <w:pPr>
              <w:jc w:val="center"/>
              <w:rPr>
                <w:rFonts w:cstheme="minorHAnsi"/>
              </w:rPr>
            </w:pPr>
            <w:r w:rsidRPr="00736749">
              <w:rPr>
                <w:rFonts w:cstheme="minorHAnsi"/>
              </w:rPr>
              <w:t>IV.AA.8</w:t>
            </w:r>
          </w:p>
        </w:tc>
        <w:tc>
          <w:tcPr>
            <w:tcW w:w="818" w:type="dxa"/>
            <w:vAlign w:val="center"/>
          </w:tcPr>
          <w:p w:rsidR="002A3512" w:rsidRPr="00736749" w:rsidRDefault="002A3512" w:rsidP="002A3512">
            <w:pPr>
              <w:jc w:val="center"/>
              <w:rPr>
                <w:rFonts w:cstheme="minorHAnsi"/>
              </w:rPr>
            </w:pPr>
            <w:r w:rsidRPr="00736749">
              <w:rPr>
                <w:rFonts w:cstheme="minorHAnsi"/>
              </w:rPr>
              <w:t>111-113</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88</w:t>
            </w:r>
          </w:p>
        </w:tc>
        <w:tc>
          <w:tcPr>
            <w:tcW w:w="2735" w:type="dxa"/>
            <w:vAlign w:val="center"/>
          </w:tcPr>
          <w:p w:rsidR="002A3512" w:rsidRPr="00736749" w:rsidRDefault="002A3512" w:rsidP="002A3512">
            <w:pPr>
              <w:spacing w:after="120"/>
              <w:rPr>
                <w:rFonts w:cstheme="minorHAnsi"/>
              </w:rPr>
            </w:pPr>
            <w:r w:rsidRPr="00736749">
              <w:rPr>
                <w:rFonts w:cstheme="minorHAnsi"/>
              </w:rPr>
              <w:t>Does this requirement imply that vendors should provide a separate parent/student portal? If so, what information should students and parents be able to access through that portal?</w:t>
            </w:r>
          </w:p>
        </w:tc>
        <w:tc>
          <w:tcPr>
            <w:tcW w:w="7065" w:type="dxa"/>
            <w:vAlign w:val="center"/>
          </w:tcPr>
          <w:p w:rsidR="002A3512" w:rsidRPr="00736749" w:rsidRDefault="002A3512" w:rsidP="002A3512">
            <w:pPr>
              <w:rPr>
                <w:rFonts w:cstheme="minorHAnsi"/>
              </w:rPr>
            </w:pPr>
            <w:r w:rsidRPr="00736749">
              <w:rPr>
                <w:rFonts w:cstheme="minorHAnsi"/>
              </w:rPr>
              <w:t>Yes.  Portal content of summative and interim results should include but is not limited to:</w:t>
            </w:r>
          </w:p>
          <w:p w:rsidR="002A3512" w:rsidRPr="00736749" w:rsidRDefault="002A3512" w:rsidP="002A3512">
            <w:pPr>
              <w:pStyle w:val="ListParagraph"/>
              <w:numPr>
                <w:ilvl w:val="0"/>
                <w:numId w:val="13"/>
              </w:numPr>
              <w:spacing w:after="0" w:line="240" w:lineRule="auto"/>
              <w:rPr>
                <w:rFonts w:cstheme="minorHAnsi"/>
              </w:rPr>
            </w:pPr>
            <w:r w:rsidRPr="00736749">
              <w:rPr>
                <w:rFonts w:cstheme="minorHAnsi"/>
              </w:rPr>
              <w:t>Student performance level</w:t>
            </w:r>
          </w:p>
          <w:p w:rsidR="002A3512" w:rsidRPr="00736749" w:rsidRDefault="002A3512" w:rsidP="002A3512">
            <w:pPr>
              <w:pStyle w:val="ListParagraph"/>
              <w:numPr>
                <w:ilvl w:val="0"/>
                <w:numId w:val="13"/>
              </w:numPr>
              <w:spacing w:after="0" w:line="240" w:lineRule="auto"/>
              <w:rPr>
                <w:rFonts w:cstheme="minorHAnsi"/>
              </w:rPr>
            </w:pPr>
            <w:r w:rsidRPr="00736749">
              <w:rPr>
                <w:rFonts w:cstheme="minorHAnsi"/>
              </w:rPr>
              <w:t>Comparisons to other students in school, district, and state</w:t>
            </w:r>
          </w:p>
          <w:p w:rsidR="002A3512" w:rsidRPr="00736749" w:rsidRDefault="002A3512" w:rsidP="002A3512">
            <w:pPr>
              <w:pStyle w:val="ListParagraph"/>
              <w:numPr>
                <w:ilvl w:val="0"/>
                <w:numId w:val="13"/>
              </w:numPr>
              <w:spacing w:after="0" w:line="240" w:lineRule="auto"/>
              <w:rPr>
                <w:rFonts w:cstheme="minorHAnsi"/>
              </w:rPr>
            </w:pPr>
            <w:r w:rsidRPr="00736749">
              <w:rPr>
                <w:rFonts w:cstheme="minorHAnsi"/>
              </w:rPr>
              <w:t>How far student is from a given performance level</w:t>
            </w:r>
          </w:p>
          <w:p w:rsidR="002A3512" w:rsidRPr="00736749" w:rsidRDefault="002A3512" w:rsidP="002A3512">
            <w:pPr>
              <w:pStyle w:val="ListParagraph"/>
              <w:numPr>
                <w:ilvl w:val="0"/>
                <w:numId w:val="13"/>
              </w:numPr>
              <w:spacing w:after="0" w:line="240" w:lineRule="auto"/>
              <w:rPr>
                <w:rFonts w:cstheme="minorHAnsi"/>
              </w:rPr>
            </w:pPr>
            <w:r w:rsidRPr="00736749">
              <w:rPr>
                <w:rFonts w:cstheme="minorHAnsi"/>
              </w:rPr>
              <w:t xml:space="preserve">Identified skills or concept to target for improvement </w:t>
            </w:r>
          </w:p>
          <w:p w:rsidR="002A3512" w:rsidRPr="00736749" w:rsidRDefault="002A3512" w:rsidP="002A3512">
            <w:pPr>
              <w:pStyle w:val="ListParagraph"/>
              <w:numPr>
                <w:ilvl w:val="0"/>
                <w:numId w:val="13"/>
              </w:numPr>
              <w:spacing w:after="0" w:line="240" w:lineRule="auto"/>
              <w:rPr>
                <w:rFonts w:cstheme="minorHAnsi"/>
              </w:rPr>
            </w:pPr>
            <w:r w:rsidRPr="00736749">
              <w:rPr>
                <w:rFonts w:cstheme="minorHAnsi"/>
              </w:rPr>
              <w:t xml:space="preserve">Performance over time/growth data </w:t>
            </w:r>
          </w:p>
          <w:p w:rsidR="002A3512" w:rsidRPr="00736749" w:rsidRDefault="002A3512" w:rsidP="002A3512">
            <w:pPr>
              <w:rPr>
                <w:rFonts w:cstheme="minorHAnsi"/>
              </w:rPr>
            </w:pPr>
            <w:r w:rsidRPr="00736749">
              <w:rPr>
                <w:rFonts w:cstheme="minorHAnsi"/>
              </w:rPr>
              <w:t xml:space="preserve"> </w:t>
            </w:r>
          </w:p>
        </w:tc>
        <w:tc>
          <w:tcPr>
            <w:tcW w:w="1470" w:type="dxa"/>
            <w:vAlign w:val="center"/>
          </w:tcPr>
          <w:p w:rsidR="002A3512" w:rsidRPr="00736749" w:rsidRDefault="002A3512" w:rsidP="002A3512">
            <w:pPr>
              <w:jc w:val="center"/>
              <w:rPr>
                <w:rFonts w:cstheme="minorHAnsi"/>
              </w:rPr>
            </w:pPr>
            <w:r w:rsidRPr="00736749">
              <w:rPr>
                <w:rFonts w:cstheme="minorHAnsi"/>
              </w:rPr>
              <w:t>IV.AA.3</w:t>
            </w:r>
          </w:p>
        </w:tc>
        <w:tc>
          <w:tcPr>
            <w:tcW w:w="818" w:type="dxa"/>
            <w:vAlign w:val="center"/>
          </w:tcPr>
          <w:p w:rsidR="002A3512" w:rsidRPr="00736749" w:rsidRDefault="002A3512" w:rsidP="002A3512">
            <w:pPr>
              <w:jc w:val="center"/>
              <w:rPr>
                <w:rFonts w:cstheme="minorHAnsi"/>
              </w:rPr>
            </w:pPr>
            <w:r w:rsidRPr="00736749">
              <w:rPr>
                <w:rFonts w:cstheme="minorHAnsi"/>
              </w:rPr>
              <w:t>111</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89</w:t>
            </w:r>
          </w:p>
        </w:tc>
        <w:tc>
          <w:tcPr>
            <w:tcW w:w="2735" w:type="dxa"/>
            <w:vAlign w:val="center"/>
          </w:tcPr>
          <w:p w:rsidR="002A3512" w:rsidRPr="00736749" w:rsidRDefault="002A3512" w:rsidP="002A3512">
            <w:pPr>
              <w:rPr>
                <w:rFonts w:cstheme="minorHAnsi"/>
              </w:rPr>
            </w:pPr>
            <w:r w:rsidRPr="00736749">
              <w:rPr>
                <w:rFonts w:cstheme="minorHAnsi"/>
              </w:rPr>
              <w:t>The following statements regarding curriculum materials and professional learning resources appear to be identical: “Provide access to curriculum materials, a plan for adapting them for New Mexico (including an outline of all components of the curriculum materials and the associated content of the curriculum) and a timeline for handing off the curriculum materials to the Contractor responsible for delivery infrastructure and stakeholder support as described in section I.F.1.”</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The RFP also states: “Provide access to professional learning resources, a plan for adapting them for New Mexico (including an outline of all components of the professional learning resources and the associated content of the curriculum), and a timeline for handing off the professional learning resources to the Contractor responsible for delivery infrastructure and stakeholder support as described in section I.F.1.”</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Would the PED please clarify the difference between these two statements?</w:t>
            </w:r>
          </w:p>
        </w:tc>
        <w:tc>
          <w:tcPr>
            <w:tcW w:w="7065" w:type="dxa"/>
            <w:vAlign w:val="center"/>
          </w:tcPr>
          <w:p w:rsidR="002A3512" w:rsidRPr="00736749" w:rsidRDefault="002A3512" w:rsidP="002A3512">
            <w:pPr>
              <w:rPr>
                <w:rFonts w:cstheme="minorHAnsi"/>
              </w:rPr>
            </w:pPr>
            <w:r w:rsidRPr="00736749">
              <w:rPr>
                <w:rFonts w:cstheme="minorHAnsi"/>
              </w:rPr>
              <w:t>These are inadvertent duplicates subsections of section IV.EE.2. Please respond to only the first. The second may be deleted.</w:t>
            </w:r>
          </w:p>
        </w:tc>
        <w:tc>
          <w:tcPr>
            <w:tcW w:w="1470" w:type="dxa"/>
            <w:vAlign w:val="center"/>
          </w:tcPr>
          <w:p w:rsidR="002A3512" w:rsidRPr="00736749" w:rsidRDefault="002A3512" w:rsidP="002A3512">
            <w:pPr>
              <w:jc w:val="center"/>
              <w:rPr>
                <w:rFonts w:cstheme="minorHAnsi"/>
              </w:rPr>
            </w:pPr>
            <w:r w:rsidRPr="00736749">
              <w:rPr>
                <w:rFonts w:cstheme="minorHAnsi"/>
              </w:rPr>
              <w:t>IV.EE.2</w:t>
            </w:r>
          </w:p>
        </w:tc>
        <w:tc>
          <w:tcPr>
            <w:tcW w:w="818" w:type="dxa"/>
            <w:vAlign w:val="center"/>
          </w:tcPr>
          <w:p w:rsidR="002A3512" w:rsidRPr="00736749" w:rsidRDefault="002A3512" w:rsidP="002A3512">
            <w:pPr>
              <w:jc w:val="center"/>
              <w:rPr>
                <w:rFonts w:cstheme="minorHAnsi"/>
              </w:rPr>
            </w:pPr>
            <w:r w:rsidRPr="00736749">
              <w:rPr>
                <w:rFonts w:cstheme="minorHAnsi"/>
              </w:rPr>
              <w:t>118</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90</w:t>
            </w:r>
          </w:p>
        </w:tc>
        <w:tc>
          <w:tcPr>
            <w:tcW w:w="2735" w:type="dxa"/>
            <w:vAlign w:val="center"/>
          </w:tcPr>
          <w:p w:rsidR="002A3512" w:rsidRPr="00736749" w:rsidRDefault="002A3512" w:rsidP="002A3512">
            <w:pPr>
              <w:rPr>
                <w:rFonts w:cstheme="minorHAnsi"/>
              </w:rPr>
            </w:pPr>
            <w:r w:rsidRPr="00736749">
              <w:rPr>
                <w:rFonts w:cstheme="minorHAnsi"/>
              </w:rPr>
              <w:t>The RFP states, “Offerors must have the ability to secure a Performance Surety Bond.”</w:t>
            </w:r>
          </w:p>
          <w:p w:rsidR="002A3512" w:rsidRPr="00736749" w:rsidRDefault="002A3512" w:rsidP="002A3512">
            <w:pPr>
              <w:rPr>
                <w:rFonts w:cstheme="minorHAnsi"/>
              </w:rPr>
            </w:pPr>
            <w:r w:rsidRPr="00736749">
              <w:rPr>
                <w:rFonts w:cstheme="minorHAnsi"/>
              </w:rPr>
              <w:t>How is the amount of the bond calculated? Would the PED provide an estimate for the carrying costs associated with securing a bond?</w:t>
            </w:r>
          </w:p>
        </w:tc>
        <w:tc>
          <w:tcPr>
            <w:tcW w:w="7065" w:type="dxa"/>
            <w:vAlign w:val="center"/>
          </w:tcPr>
          <w:p w:rsidR="002A3512" w:rsidRPr="00736749" w:rsidRDefault="002A3512" w:rsidP="002A3512">
            <w:pPr>
              <w:rPr>
                <w:rFonts w:cstheme="minorHAnsi"/>
              </w:rPr>
            </w:pPr>
            <w:r w:rsidRPr="00736749">
              <w:t>We cannot provide an amount that will be required. Offeror needs to confirm that one can be secured if needed.</w:t>
            </w:r>
          </w:p>
        </w:tc>
        <w:tc>
          <w:tcPr>
            <w:tcW w:w="1470" w:type="dxa"/>
            <w:vAlign w:val="center"/>
          </w:tcPr>
          <w:p w:rsidR="002A3512" w:rsidRPr="00736749" w:rsidRDefault="002A3512" w:rsidP="002A3512">
            <w:pPr>
              <w:jc w:val="center"/>
              <w:rPr>
                <w:rFonts w:cstheme="minorHAnsi"/>
              </w:rPr>
            </w:pPr>
            <w:r w:rsidRPr="00736749">
              <w:rPr>
                <w:rFonts w:cstheme="minorHAnsi"/>
              </w:rPr>
              <w:t>VI.B</w:t>
            </w:r>
          </w:p>
        </w:tc>
        <w:tc>
          <w:tcPr>
            <w:tcW w:w="818" w:type="dxa"/>
            <w:vAlign w:val="center"/>
          </w:tcPr>
          <w:p w:rsidR="002A3512" w:rsidRPr="00736749" w:rsidRDefault="002A3512" w:rsidP="002A3512">
            <w:pPr>
              <w:jc w:val="center"/>
              <w:rPr>
                <w:rFonts w:cstheme="minorHAnsi"/>
              </w:rPr>
            </w:pPr>
            <w:r w:rsidRPr="00736749">
              <w:rPr>
                <w:rFonts w:cstheme="minorHAnsi"/>
              </w:rPr>
              <w:t>127</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91</w:t>
            </w:r>
          </w:p>
        </w:tc>
        <w:tc>
          <w:tcPr>
            <w:tcW w:w="2735" w:type="dxa"/>
          </w:tcPr>
          <w:p w:rsidR="002A3512" w:rsidRPr="00736749" w:rsidRDefault="002A3512" w:rsidP="002A3512">
            <w:pPr>
              <w:rPr>
                <w:rFonts w:cstheme="minorHAnsi"/>
              </w:rPr>
            </w:pPr>
            <w:r w:rsidRPr="00736749">
              <w:rPr>
                <w:rFonts w:cstheme="minorHAnsi"/>
              </w:rPr>
              <w:t>What is the anticipated transition period when the contract expires?</w:t>
            </w:r>
          </w:p>
        </w:tc>
        <w:tc>
          <w:tcPr>
            <w:tcW w:w="7065" w:type="dxa"/>
            <w:vAlign w:val="center"/>
          </w:tcPr>
          <w:p w:rsidR="002A3512" w:rsidRPr="00736749" w:rsidRDefault="002A3512" w:rsidP="002A3512">
            <w:pPr>
              <w:rPr>
                <w:rFonts w:cstheme="minorHAnsi"/>
              </w:rPr>
            </w:pPr>
            <w:r w:rsidRPr="00736749">
              <w:rPr>
                <w:rFonts w:cstheme="minorHAnsi"/>
              </w:rPr>
              <w:t>3-6 months</w:t>
            </w:r>
          </w:p>
        </w:tc>
        <w:tc>
          <w:tcPr>
            <w:tcW w:w="1470" w:type="dxa"/>
            <w:vAlign w:val="center"/>
          </w:tcPr>
          <w:p w:rsidR="002A3512" w:rsidRPr="00736749" w:rsidRDefault="002A3512" w:rsidP="002A3512">
            <w:pPr>
              <w:jc w:val="center"/>
              <w:rPr>
                <w:rFonts w:cstheme="minorHAnsi"/>
              </w:rPr>
            </w:pPr>
            <w:r w:rsidRPr="00736749">
              <w:rPr>
                <w:rFonts w:cstheme="minorHAnsi"/>
              </w:rPr>
              <w:t>Article 7 – Termination Management, number 6</w:t>
            </w:r>
          </w:p>
        </w:tc>
        <w:tc>
          <w:tcPr>
            <w:tcW w:w="818" w:type="dxa"/>
            <w:vAlign w:val="center"/>
          </w:tcPr>
          <w:p w:rsidR="002A3512" w:rsidRPr="00736749" w:rsidRDefault="002A3512" w:rsidP="002A3512">
            <w:pPr>
              <w:jc w:val="center"/>
              <w:rPr>
                <w:rFonts w:cstheme="minorHAnsi"/>
              </w:rPr>
            </w:pPr>
            <w:r w:rsidRPr="00736749">
              <w:rPr>
                <w:rFonts w:cstheme="minorHAnsi"/>
              </w:rPr>
              <w:t>138</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92</w:t>
            </w:r>
          </w:p>
        </w:tc>
        <w:tc>
          <w:tcPr>
            <w:tcW w:w="2735" w:type="dxa"/>
            <w:vAlign w:val="center"/>
          </w:tcPr>
          <w:p w:rsidR="002A3512" w:rsidRPr="00736749" w:rsidRDefault="002A3512" w:rsidP="002A3512">
            <w:pPr>
              <w:rPr>
                <w:rFonts w:cstheme="minorHAnsi"/>
              </w:rPr>
            </w:pPr>
            <w:r w:rsidRPr="00736749">
              <w:rPr>
                <w:rFonts w:cstheme="minorHAnsi"/>
              </w:rPr>
              <w:t>Does the Offeror’s obligation exclude third-party claims arising out of negligent acts or omissions of the Procuring Agency, the State of New Mexico, Public Education Department and General Services Department and its employees?</w:t>
            </w:r>
          </w:p>
        </w:tc>
        <w:tc>
          <w:tcPr>
            <w:tcW w:w="7065" w:type="dxa"/>
            <w:vAlign w:val="center"/>
          </w:tcPr>
          <w:p w:rsidR="002A3512" w:rsidRPr="00736749" w:rsidRDefault="002A3512" w:rsidP="002A3512">
            <w:pPr>
              <w:rPr>
                <w:rFonts w:cstheme="minorHAnsi"/>
              </w:rPr>
            </w:pPr>
            <w:r w:rsidRPr="00736749">
              <w:t>Yes, if the third party claim arises out of negligent actions of the state the offeror’s obligation would be nullified.</w:t>
            </w:r>
          </w:p>
        </w:tc>
        <w:tc>
          <w:tcPr>
            <w:tcW w:w="1470" w:type="dxa"/>
            <w:vAlign w:val="center"/>
          </w:tcPr>
          <w:p w:rsidR="002A3512" w:rsidRPr="00736749" w:rsidRDefault="00DC74F7" w:rsidP="002A3512">
            <w:pPr>
              <w:jc w:val="center"/>
              <w:rPr>
                <w:rFonts w:cstheme="minorHAnsi"/>
              </w:rPr>
            </w:pPr>
            <w:r w:rsidRPr="00736749">
              <w:rPr>
                <w:rFonts w:cstheme="minorHAnsi"/>
              </w:rPr>
              <w:t>Article 8</w:t>
            </w:r>
          </w:p>
        </w:tc>
        <w:tc>
          <w:tcPr>
            <w:tcW w:w="818" w:type="dxa"/>
            <w:vAlign w:val="center"/>
          </w:tcPr>
          <w:p w:rsidR="002A3512" w:rsidRPr="00736749" w:rsidRDefault="00DC74F7" w:rsidP="002A3512">
            <w:pPr>
              <w:jc w:val="center"/>
              <w:rPr>
                <w:rFonts w:cstheme="minorHAnsi"/>
              </w:rPr>
            </w:pPr>
            <w:r w:rsidRPr="00736749">
              <w:rPr>
                <w:rFonts w:cstheme="minorHAnsi"/>
              </w:rPr>
              <w:t>139</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t>93</w:t>
            </w:r>
          </w:p>
        </w:tc>
        <w:tc>
          <w:tcPr>
            <w:tcW w:w="2735" w:type="dxa"/>
            <w:vAlign w:val="center"/>
          </w:tcPr>
          <w:p w:rsidR="002A3512" w:rsidRPr="00736749" w:rsidRDefault="002A3512" w:rsidP="002A3512">
            <w:pPr>
              <w:rPr>
                <w:rFonts w:cstheme="minorHAnsi"/>
              </w:rPr>
            </w:pPr>
            <w:r w:rsidRPr="00736749">
              <w:rPr>
                <w:rFonts w:cstheme="minorHAnsi"/>
              </w:rPr>
              <w:t>Will all contracted vendors be asked to sign a Contractor’s NDA?</w:t>
            </w:r>
          </w:p>
        </w:tc>
        <w:tc>
          <w:tcPr>
            <w:tcW w:w="7065" w:type="dxa"/>
            <w:vAlign w:val="center"/>
          </w:tcPr>
          <w:p w:rsidR="002A3512" w:rsidRPr="00736749" w:rsidRDefault="002A3512" w:rsidP="002A3512">
            <w:pPr>
              <w:rPr>
                <w:rFonts w:cstheme="minorHAnsi"/>
              </w:rPr>
            </w:pPr>
            <w:r w:rsidRPr="00736749">
              <w:rPr>
                <w:rFonts w:cstheme="minorHAnsi"/>
              </w:rPr>
              <w:t>Yes, all contracted vendors will be asked to sign the Contractor’s NDA.</w:t>
            </w:r>
          </w:p>
        </w:tc>
        <w:tc>
          <w:tcPr>
            <w:tcW w:w="1470" w:type="dxa"/>
            <w:vAlign w:val="center"/>
          </w:tcPr>
          <w:p w:rsidR="002A3512" w:rsidRPr="00736749" w:rsidRDefault="002A3512" w:rsidP="002A3512">
            <w:pPr>
              <w:jc w:val="center"/>
              <w:rPr>
                <w:rFonts w:cstheme="minorHAnsi"/>
              </w:rPr>
            </w:pPr>
            <w:r w:rsidRPr="00736749">
              <w:rPr>
                <w:rFonts w:cstheme="minorHAnsi"/>
              </w:rPr>
              <w:t>Article 15 – Independent Verification and Validation</w:t>
            </w:r>
          </w:p>
        </w:tc>
        <w:tc>
          <w:tcPr>
            <w:tcW w:w="818" w:type="dxa"/>
            <w:vAlign w:val="center"/>
          </w:tcPr>
          <w:p w:rsidR="002A3512" w:rsidRPr="00736749" w:rsidRDefault="002A3512" w:rsidP="002A3512">
            <w:pPr>
              <w:jc w:val="center"/>
              <w:rPr>
                <w:rFonts w:cstheme="minorHAnsi"/>
              </w:rPr>
            </w:pPr>
            <w:r w:rsidRPr="00736749">
              <w:rPr>
                <w:rFonts w:cstheme="minorHAnsi"/>
              </w:rPr>
              <w:t>141</w:t>
            </w:r>
          </w:p>
        </w:tc>
      </w:tr>
      <w:tr w:rsidR="002A3512" w:rsidRPr="00736749" w:rsidTr="00847156">
        <w:trPr>
          <w:cantSplit/>
        </w:trPr>
        <w:tc>
          <w:tcPr>
            <w:tcW w:w="1228" w:type="dxa"/>
            <w:vAlign w:val="center"/>
          </w:tcPr>
          <w:p w:rsidR="002A3512" w:rsidRPr="00736749" w:rsidRDefault="002A3512" w:rsidP="002A3512">
            <w:pPr>
              <w:jc w:val="center"/>
              <w:rPr>
                <w:rFonts w:cstheme="minorHAnsi"/>
              </w:rPr>
            </w:pPr>
            <w:r w:rsidRPr="00736749">
              <w:rPr>
                <w:rFonts w:cstheme="minorHAnsi"/>
              </w:rPr>
              <w:lastRenderedPageBreak/>
              <w:t>94</w:t>
            </w:r>
          </w:p>
        </w:tc>
        <w:tc>
          <w:tcPr>
            <w:tcW w:w="2735" w:type="dxa"/>
            <w:vAlign w:val="center"/>
          </w:tcPr>
          <w:p w:rsidR="002A3512" w:rsidRPr="00736749" w:rsidRDefault="002A3512" w:rsidP="002A3512">
            <w:pPr>
              <w:rPr>
                <w:rFonts w:cstheme="minorHAnsi"/>
              </w:rPr>
            </w:pPr>
            <w:r w:rsidRPr="00736749">
              <w:rPr>
                <w:rFonts w:cstheme="minorHAnsi"/>
              </w:rPr>
              <w:t xml:space="preserve">Regarding 26.A, please confirm that the PE250 form is required if a company has 250 employees, regardless if any of them reside in New Mexico. </w:t>
            </w:r>
          </w:p>
          <w:p w:rsidR="002A3512" w:rsidRPr="00736749" w:rsidRDefault="002A3512" w:rsidP="002A3512">
            <w:pPr>
              <w:rPr>
                <w:rFonts w:cstheme="minorHAnsi"/>
              </w:rPr>
            </w:pPr>
          </w:p>
          <w:p w:rsidR="002A3512" w:rsidRPr="00736749" w:rsidRDefault="002A3512" w:rsidP="002A3512">
            <w:pPr>
              <w:rPr>
                <w:rFonts w:cstheme="minorHAnsi"/>
              </w:rPr>
            </w:pPr>
            <w:r w:rsidRPr="00736749">
              <w:rPr>
                <w:rFonts w:cstheme="minorHAnsi"/>
              </w:rPr>
              <w:t>Regarding 26.B, please advise what the size requirement is for a subcontractor to meet. Is this number specific to employees that reside in New Mexico?</w:t>
            </w:r>
          </w:p>
        </w:tc>
        <w:tc>
          <w:tcPr>
            <w:tcW w:w="7065" w:type="dxa"/>
            <w:vAlign w:val="center"/>
          </w:tcPr>
          <w:p w:rsidR="002A3512" w:rsidRPr="00736749" w:rsidRDefault="002A3512" w:rsidP="002A3512">
            <w:pPr>
              <w:rPr>
                <w:rFonts w:cstheme="minorHAnsi"/>
              </w:rPr>
            </w:pPr>
            <w:r w:rsidRPr="00736749">
              <w:rPr>
                <w:rFonts w:cstheme="minorHAnsi"/>
              </w:rPr>
              <w:t>The PE250 form is not needed by subcontractors unless that subcontractor has New Mexico employees.</w:t>
            </w:r>
          </w:p>
        </w:tc>
        <w:tc>
          <w:tcPr>
            <w:tcW w:w="1470" w:type="dxa"/>
            <w:vAlign w:val="center"/>
          </w:tcPr>
          <w:p w:rsidR="002A3512" w:rsidRPr="00736749" w:rsidRDefault="00DC74F7" w:rsidP="002A3512">
            <w:pPr>
              <w:jc w:val="center"/>
              <w:rPr>
                <w:rFonts w:cstheme="minorHAnsi"/>
              </w:rPr>
            </w:pPr>
            <w:r w:rsidRPr="00736749">
              <w:rPr>
                <w:rFonts w:cstheme="minorHAnsi"/>
              </w:rPr>
              <w:t>Article 27</w:t>
            </w:r>
          </w:p>
        </w:tc>
        <w:tc>
          <w:tcPr>
            <w:tcW w:w="818" w:type="dxa"/>
            <w:vAlign w:val="center"/>
          </w:tcPr>
          <w:p w:rsidR="002A3512" w:rsidRPr="00736749" w:rsidRDefault="00DC74F7" w:rsidP="002A3512">
            <w:pPr>
              <w:jc w:val="center"/>
              <w:rPr>
                <w:rFonts w:cstheme="minorHAnsi"/>
              </w:rPr>
            </w:pPr>
            <w:r w:rsidRPr="00736749">
              <w:rPr>
                <w:rFonts w:cstheme="minorHAnsi"/>
              </w:rPr>
              <w:t>143</w:t>
            </w:r>
          </w:p>
        </w:tc>
      </w:tr>
      <w:tr w:rsidR="002A3512" w:rsidRPr="00736749" w:rsidTr="00847156">
        <w:trPr>
          <w:cantSplit/>
        </w:trPr>
        <w:tc>
          <w:tcPr>
            <w:tcW w:w="1228" w:type="dxa"/>
            <w:vAlign w:val="center"/>
          </w:tcPr>
          <w:p w:rsidR="002A3512" w:rsidRPr="00736749" w:rsidRDefault="002A3512" w:rsidP="002A3512">
            <w:pPr>
              <w:jc w:val="center"/>
            </w:pPr>
            <w:r w:rsidRPr="00736749">
              <w:t>95</w:t>
            </w:r>
          </w:p>
        </w:tc>
        <w:tc>
          <w:tcPr>
            <w:tcW w:w="2735" w:type="dxa"/>
          </w:tcPr>
          <w:p w:rsidR="002A3512" w:rsidRPr="00736749" w:rsidRDefault="002A3512" w:rsidP="002A3512">
            <w:pPr>
              <w:rPr>
                <w:rFonts w:ascii="Roboto" w:hAnsi="Roboto"/>
                <w:sz w:val="20"/>
                <w:szCs w:val="20"/>
              </w:rPr>
            </w:pPr>
            <w:r w:rsidRPr="00736749">
              <w:t>PED has indicated that Off-the-shelf products that meet the requirements are acceptable solutions.  However, numerous requirements for C1 and C2 are dedicated to the development of new assessments, such as IV.S.10 Item Writing Workshops.  Is it acceptable to explain the development processes, research, etc. that an existing off-the-shelf assessment vendor followed?</w:t>
            </w:r>
          </w:p>
        </w:tc>
        <w:tc>
          <w:tcPr>
            <w:tcW w:w="7065" w:type="dxa"/>
            <w:vAlign w:val="center"/>
          </w:tcPr>
          <w:p w:rsidR="002A3512" w:rsidRPr="00736749" w:rsidRDefault="002A3512" w:rsidP="002A3512">
            <w:pPr>
              <w:rPr>
                <w:sz w:val="20"/>
                <w:szCs w:val="20"/>
              </w:rPr>
            </w:pPr>
            <w:r w:rsidRPr="00736749">
              <w:t>Yes, as long as they meet the requirements, including requirements for cultural responsiveness.</w:t>
            </w:r>
          </w:p>
        </w:tc>
        <w:tc>
          <w:tcPr>
            <w:tcW w:w="1470" w:type="dxa"/>
            <w:vAlign w:val="center"/>
          </w:tcPr>
          <w:p w:rsidR="002A3512" w:rsidRPr="00736749" w:rsidRDefault="002A3512" w:rsidP="002A3512">
            <w:pPr>
              <w:jc w:val="center"/>
              <w:rPr>
                <w:sz w:val="20"/>
                <w:szCs w:val="20"/>
              </w:rPr>
            </w:pPr>
            <w:r w:rsidRPr="00736749">
              <w:rPr>
                <w:sz w:val="20"/>
                <w:szCs w:val="20"/>
              </w:rPr>
              <w:t>IV.J</w:t>
            </w:r>
          </w:p>
        </w:tc>
        <w:tc>
          <w:tcPr>
            <w:tcW w:w="818" w:type="dxa"/>
            <w:vAlign w:val="center"/>
          </w:tcPr>
          <w:p w:rsidR="002A3512" w:rsidRPr="00736749" w:rsidRDefault="002A3512" w:rsidP="002A3512">
            <w:pPr>
              <w:jc w:val="center"/>
              <w:rPr>
                <w:sz w:val="20"/>
                <w:szCs w:val="20"/>
              </w:rPr>
            </w:pPr>
            <w:r w:rsidRPr="00736749">
              <w:rPr>
                <w:sz w:val="20"/>
                <w:szCs w:val="20"/>
              </w:rPr>
              <w:t>54</w:t>
            </w:r>
          </w:p>
        </w:tc>
      </w:tr>
      <w:tr w:rsidR="002A3512" w:rsidRPr="00736749" w:rsidTr="00847156">
        <w:trPr>
          <w:cantSplit/>
        </w:trPr>
        <w:tc>
          <w:tcPr>
            <w:tcW w:w="1228" w:type="dxa"/>
            <w:vAlign w:val="center"/>
          </w:tcPr>
          <w:p w:rsidR="002A3512" w:rsidRPr="00736749" w:rsidRDefault="002A3512" w:rsidP="002A3512">
            <w:pPr>
              <w:jc w:val="center"/>
            </w:pPr>
            <w:r w:rsidRPr="00736749">
              <w:lastRenderedPageBreak/>
              <w:t>96</w:t>
            </w:r>
          </w:p>
        </w:tc>
        <w:tc>
          <w:tcPr>
            <w:tcW w:w="2735" w:type="dxa"/>
          </w:tcPr>
          <w:p w:rsidR="002A3512" w:rsidRPr="00736749" w:rsidRDefault="002A3512" w:rsidP="002A3512">
            <w:pPr>
              <w:rPr>
                <w:rFonts w:ascii="Roboto" w:hAnsi="Roboto"/>
                <w:sz w:val="20"/>
                <w:szCs w:val="20"/>
              </w:rPr>
            </w:pPr>
            <w:r w:rsidRPr="00736749">
              <w:t>What does “customizable” mean to the NM PED? What is the minimal amount of customization that would be acceptable to the department?</w:t>
            </w:r>
          </w:p>
        </w:tc>
        <w:tc>
          <w:tcPr>
            <w:tcW w:w="7065" w:type="dxa"/>
            <w:vAlign w:val="center"/>
          </w:tcPr>
          <w:p w:rsidR="002A3512" w:rsidRPr="00736749" w:rsidRDefault="002A3512" w:rsidP="002A3512">
            <w:r w:rsidRPr="00736749">
              <w:t>The amount of customization is negotiable and to be determined.</w:t>
            </w:r>
          </w:p>
        </w:tc>
        <w:tc>
          <w:tcPr>
            <w:tcW w:w="1470" w:type="dxa"/>
            <w:vAlign w:val="center"/>
          </w:tcPr>
          <w:p w:rsidR="002A3512" w:rsidRPr="00736749" w:rsidRDefault="002A3512" w:rsidP="002A3512">
            <w:pPr>
              <w:jc w:val="center"/>
              <w:rPr>
                <w:sz w:val="20"/>
                <w:szCs w:val="20"/>
              </w:rPr>
            </w:pPr>
            <w:r w:rsidRPr="00736749">
              <w:rPr>
                <w:sz w:val="20"/>
                <w:szCs w:val="20"/>
              </w:rPr>
              <w:t>IV.J</w:t>
            </w:r>
          </w:p>
        </w:tc>
        <w:tc>
          <w:tcPr>
            <w:tcW w:w="818" w:type="dxa"/>
            <w:vAlign w:val="center"/>
          </w:tcPr>
          <w:p w:rsidR="002A3512" w:rsidRPr="00736749" w:rsidRDefault="002A3512" w:rsidP="002A3512">
            <w:pPr>
              <w:jc w:val="center"/>
              <w:rPr>
                <w:sz w:val="20"/>
                <w:szCs w:val="20"/>
              </w:rPr>
            </w:pPr>
            <w:r w:rsidRPr="00736749">
              <w:rPr>
                <w:sz w:val="20"/>
                <w:szCs w:val="20"/>
              </w:rPr>
              <w:t>54</w:t>
            </w:r>
          </w:p>
        </w:tc>
      </w:tr>
      <w:tr w:rsidR="002A3512" w:rsidRPr="00736749" w:rsidTr="00847156">
        <w:trPr>
          <w:cantSplit/>
        </w:trPr>
        <w:tc>
          <w:tcPr>
            <w:tcW w:w="1228" w:type="dxa"/>
            <w:vAlign w:val="center"/>
          </w:tcPr>
          <w:p w:rsidR="002A3512" w:rsidRPr="00736749" w:rsidRDefault="002A3512" w:rsidP="002A3512">
            <w:pPr>
              <w:jc w:val="center"/>
            </w:pPr>
            <w:r w:rsidRPr="00736749">
              <w:t>97</w:t>
            </w:r>
          </w:p>
        </w:tc>
        <w:tc>
          <w:tcPr>
            <w:tcW w:w="2735" w:type="dxa"/>
          </w:tcPr>
          <w:p w:rsidR="002A3512" w:rsidRPr="00736749" w:rsidRDefault="002A3512" w:rsidP="002A3512">
            <w:pPr>
              <w:pStyle w:val="TableText"/>
              <w:rPr>
                <w:rFonts w:asciiTheme="minorHAnsi" w:hAnsiTheme="minorHAnsi" w:cstheme="minorHAnsi"/>
                <w:sz w:val="22"/>
                <w:szCs w:val="22"/>
              </w:rPr>
            </w:pPr>
            <w:r w:rsidRPr="00736749">
              <w:rPr>
                <w:rFonts w:asciiTheme="minorHAnsi" w:hAnsiTheme="minorHAnsi" w:cstheme="minorHAnsi"/>
                <w:sz w:val="22"/>
                <w:szCs w:val="22"/>
              </w:rPr>
              <w:t>Will the state consider an existing off-the-shelf interim assessment that can prove sufficient coverage of CCSS without the use of constructed response items?</w:t>
            </w:r>
          </w:p>
        </w:tc>
        <w:tc>
          <w:tcPr>
            <w:tcW w:w="7065" w:type="dxa"/>
            <w:vAlign w:val="center"/>
          </w:tcPr>
          <w:p w:rsidR="002A3512" w:rsidRPr="00736749" w:rsidRDefault="00D06055" w:rsidP="002A3512">
            <w:r>
              <w:t xml:space="preserve">Yes, </w:t>
            </w:r>
            <w:r>
              <w:rPr>
                <w:color w:val="000000"/>
              </w:rPr>
              <w:t>so long as evidence is provided that there is sufficient coverage of NMCCSS.</w:t>
            </w:r>
          </w:p>
        </w:tc>
        <w:tc>
          <w:tcPr>
            <w:tcW w:w="1470" w:type="dxa"/>
            <w:vAlign w:val="center"/>
          </w:tcPr>
          <w:p w:rsidR="002A3512" w:rsidRPr="00736749" w:rsidRDefault="002A3512" w:rsidP="002A3512">
            <w:pPr>
              <w:jc w:val="center"/>
              <w:rPr>
                <w:sz w:val="20"/>
                <w:szCs w:val="20"/>
              </w:rPr>
            </w:pPr>
            <w:r w:rsidRPr="00736749">
              <w:rPr>
                <w:sz w:val="20"/>
                <w:szCs w:val="20"/>
              </w:rPr>
              <w:t>IV.S.10</w:t>
            </w:r>
          </w:p>
        </w:tc>
        <w:tc>
          <w:tcPr>
            <w:tcW w:w="818" w:type="dxa"/>
            <w:vAlign w:val="center"/>
          </w:tcPr>
          <w:p w:rsidR="002A3512" w:rsidRPr="00736749" w:rsidRDefault="002A3512" w:rsidP="002A3512">
            <w:pPr>
              <w:jc w:val="center"/>
              <w:rPr>
                <w:sz w:val="20"/>
                <w:szCs w:val="20"/>
              </w:rPr>
            </w:pPr>
            <w:r w:rsidRPr="00736749">
              <w:rPr>
                <w:sz w:val="20"/>
                <w:szCs w:val="20"/>
              </w:rPr>
              <w:t>80</w:t>
            </w:r>
          </w:p>
        </w:tc>
      </w:tr>
      <w:tr w:rsidR="002A3512" w:rsidRPr="00736749" w:rsidTr="00847156">
        <w:trPr>
          <w:cantSplit/>
        </w:trPr>
        <w:tc>
          <w:tcPr>
            <w:tcW w:w="1228" w:type="dxa"/>
            <w:vAlign w:val="center"/>
          </w:tcPr>
          <w:p w:rsidR="002A3512" w:rsidRPr="00736749" w:rsidRDefault="002A3512" w:rsidP="002A3512">
            <w:pPr>
              <w:jc w:val="center"/>
            </w:pPr>
            <w:r w:rsidRPr="00736749">
              <w:t>98</w:t>
            </w:r>
          </w:p>
        </w:tc>
        <w:tc>
          <w:tcPr>
            <w:tcW w:w="2735" w:type="dxa"/>
          </w:tcPr>
          <w:p w:rsidR="002A3512" w:rsidRPr="00736749" w:rsidRDefault="002A3512" w:rsidP="002A3512">
            <w:pPr>
              <w:rPr>
                <w:rFonts w:ascii="Roboto" w:hAnsi="Roboto"/>
                <w:sz w:val="20"/>
                <w:szCs w:val="20"/>
              </w:rPr>
            </w:pPr>
            <w:r w:rsidRPr="00736749">
              <w:t>Would PED please clarify the differences between the interim and formative assessments in the vision statement? If they are two different assessment systems, are vendors expected to support the formative assessments?</w:t>
            </w:r>
          </w:p>
        </w:tc>
        <w:tc>
          <w:tcPr>
            <w:tcW w:w="7065" w:type="dxa"/>
            <w:vAlign w:val="center"/>
          </w:tcPr>
          <w:p w:rsidR="00CF133A" w:rsidRDefault="00D06055" w:rsidP="00CF133A">
            <w:r>
              <w:t>The RFP solicits Offeror</w:t>
            </w:r>
            <w:r w:rsidR="00CF133A">
              <w:t xml:space="preserve">s for the creation of interim assessments, not formative assessments. Formative assessment is a process that is carried out by local educators to fit the unique needs of their specific group of students. </w:t>
            </w:r>
          </w:p>
          <w:p w:rsidR="00C67F8D" w:rsidRPr="00C67F8D" w:rsidRDefault="00CF133A" w:rsidP="00CF133A">
            <w:pPr>
              <w:rPr>
                <w:rFonts w:ascii="Calibri" w:eastAsiaTheme="minorHAnsi" w:hAnsi="Calibri"/>
              </w:rPr>
            </w:pPr>
            <w:r>
              <w:t>The RFP is asking for an Offeror to provide assessment literacy resources that includes understanding of formative processes for purposes of professional development.  The RFP is not asking for offeror(s) to develop formative tools or resources.</w:t>
            </w:r>
          </w:p>
        </w:tc>
        <w:tc>
          <w:tcPr>
            <w:tcW w:w="1470" w:type="dxa"/>
            <w:vAlign w:val="center"/>
          </w:tcPr>
          <w:p w:rsidR="002A3512" w:rsidRPr="00736749" w:rsidRDefault="002A3512" w:rsidP="002A3512">
            <w:pPr>
              <w:jc w:val="center"/>
              <w:rPr>
                <w:sz w:val="20"/>
                <w:szCs w:val="20"/>
              </w:rPr>
            </w:pPr>
            <w:r w:rsidRPr="00736749">
              <w:rPr>
                <w:sz w:val="20"/>
                <w:szCs w:val="20"/>
              </w:rPr>
              <w:t>IV.F</w:t>
            </w:r>
          </w:p>
        </w:tc>
        <w:tc>
          <w:tcPr>
            <w:tcW w:w="818" w:type="dxa"/>
            <w:vAlign w:val="center"/>
          </w:tcPr>
          <w:p w:rsidR="002A3512" w:rsidRPr="00736749" w:rsidRDefault="002A3512" w:rsidP="002A3512">
            <w:pPr>
              <w:jc w:val="center"/>
              <w:rPr>
                <w:sz w:val="20"/>
                <w:szCs w:val="20"/>
              </w:rPr>
            </w:pPr>
            <w:r w:rsidRPr="00736749">
              <w:rPr>
                <w:sz w:val="20"/>
                <w:szCs w:val="20"/>
              </w:rPr>
              <w:t>35-36</w:t>
            </w:r>
          </w:p>
        </w:tc>
      </w:tr>
      <w:tr w:rsidR="002A3512" w:rsidRPr="00736749" w:rsidTr="00847156">
        <w:trPr>
          <w:cantSplit/>
        </w:trPr>
        <w:tc>
          <w:tcPr>
            <w:tcW w:w="1228" w:type="dxa"/>
            <w:vAlign w:val="center"/>
          </w:tcPr>
          <w:p w:rsidR="002A3512" w:rsidRPr="00736749" w:rsidRDefault="002A3512" w:rsidP="002A3512">
            <w:pPr>
              <w:jc w:val="center"/>
            </w:pPr>
            <w:r w:rsidRPr="00736749">
              <w:t>99</w:t>
            </w:r>
          </w:p>
        </w:tc>
        <w:tc>
          <w:tcPr>
            <w:tcW w:w="2735" w:type="dxa"/>
          </w:tcPr>
          <w:p w:rsidR="002A3512" w:rsidRPr="00736749" w:rsidRDefault="002A3512" w:rsidP="002A3512">
            <w:pPr>
              <w:keepLines/>
              <w:spacing w:after="160"/>
            </w:pPr>
            <w:r w:rsidRPr="00736749">
              <w:t>Page 30, IV.D. Corporate capacity and qualifications: Are the corporate capacity and qualifications to be completed by organizations other than the prime? </w:t>
            </w:r>
          </w:p>
        </w:tc>
        <w:tc>
          <w:tcPr>
            <w:tcW w:w="7065" w:type="dxa"/>
            <w:vAlign w:val="center"/>
          </w:tcPr>
          <w:p w:rsidR="002A3512" w:rsidRPr="00736749" w:rsidRDefault="002A3512" w:rsidP="002A3512">
            <w:pPr>
              <w:rPr>
                <w:sz w:val="20"/>
                <w:szCs w:val="20"/>
              </w:rPr>
            </w:pPr>
            <w:r w:rsidRPr="00736749">
              <w:t>Yes. Subcontractors must be able to demonstrate their corporate capacity and qualifications for the work for which they are bid.</w:t>
            </w:r>
          </w:p>
        </w:tc>
        <w:tc>
          <w:tcPr>
            <w:tcW w:w="1470" w:type="dxa"/>
            <w:vAlign w:val="center"/>
          </w:tcPr>
          <w:p w:rsidR="002A3512" w:rsidRPr="00736749" w:rsidRDefault="002A3512" w:rsidP="002A3512">
            <w:pPr>
              <w:jc w:val="center"/>
              <w:rPr>
                <w:sz w:val="20"/>
                <w:szCs w:val="20"/>
              </w:rPr>
            </w:pPr>
            <w:r w:rsidRPr="00736749">
              <w:rPr>
                <w:sz w:val="20"/>
                <w:szCs w:val="20"/>
              </w:rPr>
              <w:t>IV.D</w:t>
            </w:r>
          </w:p>
        </w:tc>
        <w:tc>
          <w:tcPr>
            <w:tcW w:w="818" w:type="dxa"/>
            <w:vAlign w:val="center"/>
          </w:tcPr>
          <w:p w:rsidR="002A3512" w:rsidRPr="00736749" w:rsidRDefault="002A3512" w:rsidP="002A3512">
            <w:pPr>
              <w:jc w:val="center"/>
              <w:rPr>
                <w:sz w:val="20"/>
                <w:szCs w:val="20"/>
              </w:rPr>
            </w:pPr>
            <w:r w:rsidRPr="00736749">
              <w:rPr>
                <w:sz w:val="20"/>
                <w:szCs w:val="20"/>
              </w:rPr>
              <w:t>30</w:t>
            </w:r>
          </w:p>
        </w:tc>
      </w:tr>
      <w:tr w:rsidR="002A3512" w:rsidRPr="00736749" w:rsidTr="00847156">
        <w:trPr>
          <w:cantSplit/>
        </w:trPr>
        <w:tc>
          <w:tcPr>
            <w:tcW w:w="1228" w:type="dxa"/>
            <w:vAlign w:val="center"/>
          </w:tcPr>
          <w:p w:rsidR="002A3512" w:rsidRPr="00736749" w:rsidRDefault="002A3512" w:rsidP="002A3512">
            <w:pPr>
              <w:jc w:val="center"/>
            </w:pPr>
            <w:r w:rsidRPr="00736749">
              <w:lastRenderedPageBreak/>
              <w:t>100</w:t>
            </w:r>
          </w:p>
        </w:tc>
        <w:tc>
          <w:tcPr>
            <w:tcW w:w="2735" w:type="dxa"/>
          </w:tcPr>
          <w:p w:rsidR="002A3512" w:rsidRPr="00736749" w:rsidRDefault="002A3512" w:rsidP="002A3512">
            <w:pPr>
              <w:keepLines/>
              <w:spacing w:after="160"/>
            </w:pPr>
            <w:r w:rsidRPr="00736749">
              <w:t>Page 30, IV.D.2. Organizational references from similar projects: Should subcontractors also provide the requested business references?</w:t>
            </w:r>
          </w:p>
        </w:tc>
        <w:tc>
          <w:tcPr>
            <w:tcW w:w="7065" w:type="dxa"/>
            <w:vAlign w:val="center"/>
          </w:tcPr>
          <w:p w:rsidR="002A3512" w:rsidRPr="00736749" w:rsidRDefault="002A3512" w:rsidP="002A3512">
            <w:r w:rsidRPr="00736749">
              <w:t xml:space="preserve">A minimum of three references are required for the Offeror. </w:t>
            </w:r>
          </w:p>
        </w:tc>
        <w:tc>
          <w:tcPr>
            <w:tcW w:w="1470" w:type="dxa"/>
            <w:vAlign w:val="center"/>
          </w:tcPr>
          <w:p w:rsidR="002A3512" w:rsidRPr="00736749" w:rsidRDefault="002A3512" w:rsidP="002A3512">
            <w:pPr>
              <w:jc w:val="center"/>
            </w:pPr>
            <w:r w:rsidRPr="00736749">
              <w:t>Appendix E</w:t>
            </w:r>
          </w:p>
        </w:tc>
        <w:tc>
          <w:tcPr>
            <w:tcW w:w="818" w:type="dxa"/>
            <w:vAlign w:val="center"/>
          </w:tcPr>
          <w:p w:rsidR="002A3512" w:rsidRPr="00736749" w:rsidRDefault="002A3512" w:rsidP="002A3512">
            <w:pPr>
              <w:jc w:val="center"/>
            </w:pPr>
            <w:r w:rsidRPr="00736749">
              <w:t>153</w:t>
            </w:r>
          </w:p>
        </w:tc>
      </w:tr>
      <w:tr w:rsidR="002A3512" w:rsidRPr="00736749" w:rsidTr="00847156">
        <w:trPr>
          <w:cantSplit/>
        </w:trPr>
        <w:tc>
          <w:tcPr>
            <w:tcW w:w="1228" w:type="dxa"/>
            <w:vAlign w:val="center"/>
          </w:tcPr>
          <w:p w:rsidR="002A3512" w:rsidRPr="00736749" w:rsidRDefault="002A3512" w:rsidP="002A3512">
            <w:pPr>
              <w:jc w:val="center"/>
            </w:pPr>
            <w:r w:rsidRPr="00736749">
              <w:t>101</w:t>
            </w:r>
          </w:p>
        </w:tc>
        <w:tc>
          <w:tcPr>
            <w:tcW w:w="2735" w:type="dxa"/>
          </w:tcPr>
          <w:p w:rsidR="002A3512" w:rsidRPr="00736749" w:rsidRDefault="002A3512" w:rsidP="002A3512">
            <w:pPr>
              <w:keepLines/>
              <w:spacing w:after="160"/>
            </w:pPr>
            <w:r w:rsidRPr="00736749">
              <w:t>Page 31, IV.D.3. Terminated, expired, and non-renewed projects: Does this section apply only to the prime?</w:t>
            </w:r>
          </w:p>
        </w:tc>
        <w:tc>
          <w:tcPr>
            <w:tcW w:w="7065" w:type="dxa"/>
            <w:vAlign w:val="center"/>
          </w:tcPr>
          <w:p w:rsidR="002A3512" w:rsidRPr="00736749" w:rsidRDefault="002A3512" w:rsidP="002A3512">
            <w:pPr>
              <w:rPr>
                <w:sz w:val="20"/>
                <w:szCs w:val="20"/>
              </w:rPr>
            </w:pPr>
            <w:r w:rsidRPr="00736749">
              <w:t>No. This should also be provided for subcontractors regarding work similar to that which is proposed for the subcontractor.</w:t>
            </w:r>
          </w:p>
        </w:tc>
        <w:tc>
          <w:tcPr>
            <w:tcW w:w="1470" w:type="dxa"/>
            <w:vAlign w:val="center"/>
          </w:tcPr>
          <w:p w:rsidR="002A3512" w:rsidRPr="00736749" w:rsidRDefault="002A3512" w:rsidP="002A3512">
            <w:pPr>
              <w:jc w:val="center"/>
              <w:rPr>
                <w:sz w:val="20"/>
                <w:szCs w:val="20"/>
              </w:rPr>
            </w:pPr>
            <w:r w:rsidRPr="00736749">
              <w:rPr>
                <w:sz w:val="20"/>
                <w:szCs w:val="20"/>
              </w:rPr>
              <w:t>IV.D.3</w:t>
            </w:r>
          </w:p>
        </w:tc>
        <w:tc>
          <w:tcPr>
            <w:tcW w:w="818" w:type="dxa"/>
            <w:vAlign w:val="center"/>
          </w:tcPr>
          <w:p w:rsidR="002A3512" w:rsidRPr="00736749" w:rsidRDefault="002A3512" w:rsidP="002A3512">
            <w:pPr>
              <w:jc w:val="center"/>
              <w:rPr>
                <w:sz w:val="20"/>
                <w:szCs w:val="20"/>
              </w:rPr>
            </w:pPr>
            <w:r w:rsidRPr="00736749">
              <w:rPr>
                <w:sz w:val="20"/>
                <w:szCs w:val="20"/>
              </w:rPr>
              <w:t>31</w:t>
            </w:r>
          </w:p>
        </w:tc>
      </w:tr>
      <w:tr w:rsidR="002A3512" w:rsidRPr="00736749" w:rsidTr="00847156">
        <w:trPr>
          <w:cantSplit/>
        </w:trPr>
        <w:tc>
          <w:tcPr>
            <w:tcW w:w="1228" w:type="dxa"/>
            <w:vAlign w:val="center"/>
          </w:tcPr>
          <w:p w:rsidR="002A3512" w:rsidRPr="00736749" w:rsidRDefault="002A3512" w:rsidP="002A3512">
            <w:pPr>
              <w:jc w:val="center"/>
            </w:pPr>
            <w:r w:rsidRPr="00736749">
              <w:t>102</w:t>
            </w:r>
          </w:p>
        </w:tc>
        <w:tc>
          <w:tcPr>
            <w:tcW w:w="2735" w:type="dxa"/>
          </w:tcPr>
          <w:p w:rsidR="002A3512" w:rsidRPr="00736749" w:rsidRDefault="002A3512" w:rsidP="002A3512">
            <w:pPr>
              <w:keepLines/>
              <w:spacing w:after="160"/>
            </w:pPr>
            <w:r w:rsidRPr="00736749">
              <w:t>Page 32, IV.E.1.c. Identified key staff: roles, responsibilities, experience, and qualifications: Please clarify that a separate Offeror response box should be included for each key staff person named in the proposal and that the resume should be included within the response box rather than as part of a collection of staff resumes.</w:t>
            </w:r>
          </w:p>
        </w:tc>
        <w:tc>
          <w:tcPr>
            <w:tcW w:w="7065" w:type="dxa"/>
            <w:vAlign w:val="center"/>
          </w:tcPr>
          <w:p w:rsidR="002A3512" w:rsidRPr="00736749" w:rsidRDefault="002A3512" w:rsidP="002A3512">
            <w:pPr>
              <w:rPr>
                <w:sz w:val="20"/>
                <w:szCs w:val="20"/>
              </w:rPr>
            </w:pPr>
            <w:r w:rsidRPr="00736749">
              <w:t>This is correct, with the caveat that within the response box, a resume within a collection may be provided as an appendix and may be pointed to within the response box. If this option is exercised, the relevant sections of the resume should still be highlighted.</w:t>
            </w:r>
          </w:p>
        </w:tc>
        <w:tc>
          <w:tcPr>
            <w:tcW w:w="1470" w:type="dxa"/>
            <w:vAlign w:val="center"/>
          </w:tcPr>
          <w:p w:rsidR="002A3512" w:rsidRPr="00736749" w:rsidRDefault="002A3512" w:rsidP="002A3512">
            <w:pPr>
              <w:jc w:val="center"/>
              <w:rPr>
                <w:sz w:val="20"/>
                <w:szCs w:val="20"/>
              </w:rPr>
            </w:pPr>
            <w:r w:rsidRPr="00736749">
              <w:rPr>
                <w:sz w:val="20"/>
                <w:szCs w:val="20"/>
              </w:rPr>
              <w:t>IV.E.1.c</w:t>
            </w:r>
          </w:p>
        </w:tc>
        <w:tc>
          <w:tcPr>
            <w:tcW w:w="818" w:type="dxa"/>
            <w:vAlign w:val="center"/>
          </w:tcPr>
          <w:p w:rsidR="002A3512" w:rsidRPr="00736749" w:rsidRDefault="002A3512" w:rsidP="002A3512">
            <w:pPr>
              <w:jc w:val="center"/>
              <w:rPr>
                <w:sz w:val="20"/>
                <w:szCs w:val="20"/>
              </w:rPr>
            </w:pPr>
            <w:r w:rsidRPr="00736749">
              <w:rPr>
                <w:sz w:val="20"/>
                <w:szCs w:val="20"/>
              </w:rPr>
              <w:t>32</w:t>
            </w:r>
          </w:p>
        </w:tc>
      </w:tr>
      <w:tr w:rsidR="002A3512" w:rsidRPr="00736749" w:rsidTr="00847156">
        <w:trPr>
          <w:cantSplit/>
        </w:trPr>
        <w:tc>
          <w:tcPr>
            <w:tcW w:w="1228" w:type="dxa"/>
            <w:vAlign w:val="center"/>
          </w:tcPr>
          <w:p w:rsidR="002A3512" w:rsidRPr="00736749" w:rsidRDefault="002A3512" w:rsidP="002A3512">
            <w:pPr>
              <w:jc w:val="center"/>
            </w:pPr>
            <w:r w:rsidRPr="00736749">
              <w:lastRenderedPageBreak/>
              <w:t>103</w:t>
            </w:r>
          </w:p>
        </w:tc>
        <w:tc>
          <w:tcPr>
            <w:tcW w:w="2735" w:type="dxa"/>
          </w:tcPr>
          <w:p w:rsidR="002A3512" w:rsidRPr="00736749" w:rsidRDefault="002A3512" w:rsidP="002A3512">
            <w:pPr>
              <w:keepLines/>
              <w:spacing w:after="160"/>
            </w:pPr>
            <w:r w:rsidRPr="00736749">
              <w:t>Pages 35-37, IV.F. (Assessment system vision and design) and Pages 38-39, IV.H. (Assessment system key characteristics): Page 35 describes the intent of the K-2 assessments to be diagnostic interims whereas page 39 describes other characteristics of the interim assessments including monitor within- and across-year longitudinal trend data for criterion- and norm-referenced performance, support the calculation of student growth, and predict student performance on the summative assessments. Which of the characteristics of the interim assessments listed on page 39 apply to the K-2 interim diagnostic assessments?   </w:t>
            </w:r>
          </w:p>
        </w:tc>
        <w:tc>
          <w:tcPr>
            <w:tcW w:w="7065" w:type="dxa"/>
            <w:vAlign w:val="center"/>
          </w:tcPr>
          <w:p w:rsidR="002A3512" w:rsidRPr="00736749" w:rsidRDefault="002A3512" w:rsidP="002A3512">
            <w:r w:rsidRPr="00736749">
              <w:t>All of them to the extent possible, pending on solution being proposed</w:t>
            </w:r>
          </w:p>
        </w:tc>
        <w:tc>
          <w:tcPr>
            <w:tcW w:w="1470" w:type="dxa"/>
            <w:vAlign w:val="center"/>
          </w:tcPr>
          <w:p w:rsidR="002A3512" w:rsidRPr="00736749" w:rsidRDefault="00DC74F7" w:rsidP="002A3512">
            <w:pPr>
              <w:jc w:val="center"/>
            </w:pPr>
            <w:r w:rsidRPr="00736749">
              <w:t>IV.H</w:t>
            </w:r>
          </w:p>
        </w:tc>
        <w:tc>
          <w:tcPr>
            <w:tcW w:w="818" w:type="dxa"/>
            <w:vAlign w:val="center"/>
          </w:tcPr>
          <w:p w:rsidR="002A3512" w:rsidRPr="00736749" w:rsidRDefault="00DC74F7" w:rsidP="002A3512">
            <w:pPr>
              <w:jc w:val="center"/>
            </w:pPr>
            <w:r w:rsidRPr="00736749">
              <w:t>39</w:t>
            </w:r>
          </w:p>
        </w:tc>
      </w:tr>
      <w:tr w:rsidR="002A3512" w:rsidRPr="00736749" w:rsidTr="00847156">
        <w:trPr>
          <w:cantSplit/>
        </w:trPr>
        <w:tc>
          <w:tcPr>
            <w:tcW w:w="1228" w:type="dxa"/>
            <w:vAlign w:val="center"/>
          </w:tcPr>
          <w:p w:rsidR="002A3512" w:rsidRPr="00736749" w:rsidRDefault="002A3512" w:rsidP="002A3512">
            <w:pPr>
              <w:jc w:val="center"/>
            </w:pPr>
            <w:r w:rsidRPr="00736749">
              <w:t>104</w:t>
            </w:r>
          </w:p>
        </w:tc>
        <w:tc>
          <w:tcPr>
            <w:tcW w:w="2735" w:type="dxa"/>
          </w:tcPr>
          <w:p w:rsidR="002A3512" w:rsidRPr="00736749" w:rsidRDefault="002A3512" w:rsidP="002A3512">
            <w:pPr>
              <w:keepLines/>
              <w:spacing w:after="160"/>
            </w:pPr>
            <w:r w:rsidRPr="00736749">
              <w:t>Page 80, IV.S.10. Item writing workshops: If customized item development is part of the proposed solution, is item development through item writing workshops required? </w:t>
            </w:r>
          </w:p>
        </w:tc>
        <w:tc>
          <w:tcPr>
            <w:tcW w:w="7065" w:type="dxa"/>
            <w:vAlign w:val="center"/>
          </w:tcPr>
          <w:p w:rsidR="002A3512" w:rsidRPr="00736749" w:rsidRDefault="002A3512" w:rsidP="002A3512">
            <w:r w:rsidRPr="00736749">
              <w:t>Yes, item writing committees will be composed of New Mexico educators.</w:t>
            </w:r>
          </w:p>
        </w:tc>
        <w:tc>
          <w:tcPr>
            <w:tcW w:w="1470" w:type="dxa"/>
            <w:vAlign w:val="center"/>
          </w:tcPr>
          <w:p w:rsidR="002A3512" w:rsidRPr="00736749" w:rsidRDefault="002A3512" w:rsidP="002A3512">
            <w:pPr>
              <w:jc w:val="center"/>
            </w:pPr>
            <w:r w:rsidRPr="00736749">
              <w:t>IV.S.9.b.ii</w:t>
            </w:r>
          </w:p>
        </w:tc>
        <w:tc>
          <w:tcPr>
            <w:tcW w:w="818" w:type="dxa"/>
            <w:vAlign w:val="center"/>
          </w:tcPr>
          <w:p w:rsidR="002A3512" w:rsidRPr="00736749" w:rsidRDefault="002A3512" w:rsidP="002A3512">
            <w:pPr>
              <w:jc w:val="center"/>
            </w:pPr>
            <w:r w:rsidRPr="00736749">
              <w:t>79</w:t>
            </w:r>
          </w:p>
        </w:tc>
      </w:tr>
      <w:tr w:rsidR="002A3512" w:rsidRPr="00736749" w:rsidTr="00847156">
        <w:trPr>
          <w:cantSplit/>
        </w:trPr>
        <w:tc>
          <w:tcPr>
            <w:tcW w:w="1228" w:type="dxa"/>
            <w:vAlign w:val="center"/>
          </w:tcPr>
          <w:p w:rsidR="002A3512" w:rsidRPr="00736749" w:rsidRDefault="002A3512" w:rsidP="002A3512">
            <w:pPr>
              <w:jc w:val="center"/>
            </w:pPr>
            <w:r w:rsidRPr="00736749">
              <w:lastRenderedPageBreak/>
              <w:t>105</w:t>
            </w:r>
          </w:p>
        </w:tc>
        <w:tc>
          <w:tcPr>
            <w:tcW w:w="2735" w:type="dxa"/>
          </w:tcPr>
          <w:p w:rsidR="002A3512" w:rsidRPr="00736749" w:rsidRDefault="002A3512" w:rsidP="002A3512">
            <w:pPr>
              <w:keepLines/>
              <w:spacing w:after="160"/>
            </w:pPr>
            <w:r w:rsidRPr="00736749">
              <w:t xml:space="preserve">Page 82, IV.S.11.b. Internal review: Please clarify the expectation for PED review subsequent to internal review and prior to </w:t>
            </w:r>
            <w:proofErr w:type="gramStart"/>
            <w:r w:rsidRPr="00736749">
              <w:t>the what</w:t>
            </w:r>
            <w:proofErr w:type="gramEnd"/>
            <w:r w:rsidRPr="00736749">
              <w:t xml:space="preserve"> is meant by Initial Review. Is that review internal to PED prior to the initial review by the content review committee?   </w:t>
            </w:r>
          </w:p>
        </w:tc>
        <w:tc>
          <w:tcPr>
            <w:tcW w:w="7065" w:type="dxa"/>
            <w:vAlign w:val="center"/>
          </w:tcPr>
          <w:p w:rsidR="002A3512" w:rsidRPr="00736749" w:rsidRDefault="004515C0" w:rsidP="00ED591E">
            <w:r>
              <w:t>That review is the contractor’s internal review of items and stimuli produced by item writers and stimulus writers before those stimuli and items are reviewed by committees of educators.</w:t>
            </w:r>
          </w:p>
        </w:tc>
        <w:tc>
          <w:tcPr>
            <w:tcW w:w="1470" w:type="dxa"/>
            <w:vAlign w:val="center"/>
          </w:tcPr>
          <w:p w:rsidR="002A3512" w:rsidRPr="00736749" w:rsidRDefault="002A3512" w:rsidP="002A3512">
            <w:pPr>
              <w:jc w:val="center"/>
            </w:pPr>
            <w:r w:rsidRPr="00736749">
              <w:t>IV.S.11.b</w:t>
            </w:r>
          </w:p>
        </w:tc>
        <w:tc>
          <w:tcPr>
            <w:tcW w:w="818" w:type="dxa"/>
            <w:vAlign w:val="center"/>
          </w:tcPr>
          <w:p w:rsidR="002A3512" w:rsidRPr="00736749" w:rsidRDefault="002A3512" w:rsidP="002A3512">
            <w:pPr>
              <w:jc w:val="center"/>
            </w:pPr>
            <w:r w:rsidRPr="00736749">
              <w:t>82</w:t>
            </w:r>
          </w:p>
        </w:tc>
      </w:tr>
      <w:tr w:rsidR="002A3512" w:rsidRPr="00736749" w:rsidTr="00847156">
        <w:trPr>
          <w:cantSplit/>
        </w:trPr>
        <w:tc>
          <w:tcPr>
            <w:tcW w:w="1228" w:type="dxa"/>
            <w:vAlign w:val="center"/>
          </w:tcPr>
          <w:p w:rsidR="002A3512" w:rsidRPr="00736749" w:rsidRDefault="002A3512" w:rsidP="002A3512">
            <w:pPr>
              <w:jc w:val="center"/>
            </w:pPr>
            <w:r w:rsidRPr="00736749">
              <w:t>106</w:t>
            </w:r>
          </w:p>
        </w:tc>
        <w:tc>
          <w:tcPr>
            <w:tcW w:w="2735" w:type="dxa"/>
          </w:tcPr>
          <w:p w:rsidR="002A3512" w:rsidRPr="00736749" w:rsidRDefault="002A3512" w:rsidP="002A3512">
            <w:pPr>
              <w:keepLines/>
              <w:spacing w:after="160"/>
            </w:pPr>
            <w:r w:rsidRPr="00736749">
              <w:t>Page 82, IV.S.11.c.i. Identifying and recruiting review committee facilitators: Is it PED's intent that committee facilitators should not be Offeror staff members, such as by recruiting and utilizing New Mexico educators to serve as committee facilitators? Or, can an Offeror propose using its staff members in committee facilitation roles?</w:t>
            </w:r>
          </w:p>
        </w:tc>
        <w:tc>
          <w:tcPr>
            <w:tcW w:w="7065" w:type="dxa"/>
            <w:vAlign w:val="center"/>
          </w:tcPr>
          <w:p w:rsidR="002A3512" w:rsidRPr="00736749" w:rsidRDefault="002A3512" w:rsidP="002A3512">
            <w:r w:rsidRPr="00736749">
              <w:t>Committee facilitators may be Offeror staff members.</w:t>
            </w:r>
          </w:p>
        </w:tc>
        <w:tc>
          <w:tcPr>
            <w:tcW w:w="1470" w:type="dxa"/>
            <w:vAlign w:val="center"/>
          </w:tcPr>
          <w:p w:rsidR="002A3512" w:rsidRPr="00736749" w:rsidRDefault="002A3512" w:rsidP="002A3512">
            <w:pPr>
              <w:jc w:val="center"/>
              <w:rPr>
                <w:sz w:val="20"/>
                <w:szCs w:val="20"/>
              </w:rPr>
            </w:pPr>
            <w:r w:rsidRPr="00736749">
              <w:rPr>
                <w:sz w:val="20"/>
                <w:szCs w:val="20"/>
              </w:rPr>
              <w:t>IV.S.11.c.i</w:t>
            </w:r>
          </w:p>
        </w:tc>
        <w:tc>
          <w:tcPr>
            <w:tcW w:w="818" w:type="dxa"/>
            <w:vAlign w:val="center"/>
          </w:tcPr>
          <w:p w:rsidR="002A3512" w:rsidRPr="00736749" w:rsidRDefault="002A3512" w:rsidP="002A3512">
            <w:pPr>
              <w:jc w:val="center"/>
              <w:rPr>
                <w:sz w:val="20"/>
                <w:szCs w:val="20"/>
              </w:rPr>
            </w:pPr>
            <w:r w:rsidRPr="00736749">
              <w:rPr>
                <w:sz w:val="20"/>
                <w:szCs w:val="20"/>
              </w:rPr>
              <w:t>82</w:t>
            </w:r>
          </w:p>
        </w:tc>
      </w:tr>
      <w:tr w:rsidR="002A3512" w:rsidRPr="00736749" w:rsidTr="00847156">
        <w:trPr>
          <w:cantSplit/>
        </w:trPr>
        <w:tc>
          <w:tcPr>
            <w:tcW w:w="1228" w:type="dxa"/>
            <w:vAlign w:val="center"/>
          </w:tcPr>
          <w:p w:rsidR="002A3512" w:rsidRPr="00736749" w:rsidRDefault="002A3512" w:rsidP="002A3512">
            <w:pPr>
              <w:jc w:val="center"/>
            </w:pPr>
            <w:r w:rsidRPr="00736749">
              <w:lastRenderedPageBreak/>
              <w:t>107</w:t>
            </w:r>
          </w:p>
        </w:tc>
        <w:tc>
          <w:tcPr>
            <w:tcW w:w="2735" w:type="dxa"/>
          </w:tcPr>
          <w:p w:rsidR="002A3512" w:rsidRPr="00736749" w:rsidRDefault="002A3512" w:rsidP="002A3512">
            <w:pPr>
              <w:keepLines/>
              <w:spacing w:after="160"/>
            </w:pPr>
            <w:r w:rsidRPr="00736749">
              <w:t>Page 87, IV.S.11.e.v. Committee workshop logistics: In the final dot point, it says, "Participants shall be seated in rounds with at least two groups of five for each grade level per content area." Is PED open to other proposals for numbers of groups and/or numbers of participants for each grade level per content area?</w:t>
            </w:r>
          </w:p>
        </w:tc>
        <w:tc>
          <w:tcPr>
            <w:tcW w:w="7065" w:type="dxa"/>
            <w:vAlign w:val="center"/>
          </w:tcPr>
          <w:p w:rsidR="002A3512" w:rsidRPr="00736749" w:rsidRDefault="002A3512" w:rsidP="002A3512">
            <w:r w:rsidRPr="00736749">
              <w:t>Yes</w:t>
            </w:r>
          </w:p>
        </w:tc>
        <w:tc>
          <w:tcPr>
            <w:tcW w:w="1470" w:type="dxa"/>
            <w:vAlign w:val="center"/>
          </w:tcPr>
          <w:p w:rsidR="002A3512" w:rsidRPr="00736749" w:rsidRDefault="002A3512" w:rsidP="002A3512">
            <w:pPr>
              <w:jc w:val="center"/>
            </w:pPr>
            <w:r w:rsidRPr="00736749">
              <w:t>IV.S.11.e.v</w:t>
            </w:r>
          </w:p>
        </w:tc>
        <w:tc>
          <w:tcPr>
            <w:tcW w:w="818" w:type="dxa"/>
            <w:vAlign w:val="center"/>
          </w:tcPr>
          <w:p w:rsidR="002A3512" w:rsidRPr="00736749" w:rsidRDefault="002A3512" w:rsidP="002A3512">
            <w:pPr>
              <w:jc w:val="center"/>
            </w:pPr>
            <w:r w:rsidRPr="00736749">
              <w:t>87</w:t>
            </w:r>
          </w:p>
        </w:tc>
      </w:tr>
      <w:tr w:rsidR="002A3512" w:rsidRPr="00736749" w:rsidTr="00847156">
        <w:trPr>
          <w:cantSplit/>
        </w:trPr>
        <w:tc>
          <w:tcPr>
            <w:tcW w:w="1228" w:type="dxa"/>
            <w:vAlign w:val="center"/>
          </w:tcPr>
          <w:p w:rsidR="002A3512" w:rsidRPr="00736749" w:rsidRDefault="002A3512" w:rsidP="002A3512">
            <w:pPr>
              <w:jc w:val="center"/>
            </w:pPr>
            <w:r w:rsidRPr="00736749">
              <w:t>108</w:t>
            </w:r>
          </w:p>
        </w:tc>
        <w:tc>
          <w:tcPr>
            <w:tcW w:w="2735" w:type="dxa"/>
          </w:tcPr>
          <w:p w:rsidR="002A3512" w:rsidRPr="00736749" w:rsidRDefault="002A3512" w:rsidP="002A3512">
            <w:pPr>
              <w:keepLines/>
              <w:spacing w:after="160"/>
            </w:pPr>
            <w:r w:rsidRPr="00736749">
              <w:t xml:space="preserve">A response box was not provided in the RFP. We’ve inserted one for our reply, please </w:t>
            </w:r>
            <w:proofErr w:type="gramStart"/>
            <w:r w:rsidRPr="00736749">
              <w:t>advise</w:t>
            </w:r>
            <w:proofErr w:type="gramEnd"/>
            <w:r w:rsidRPr="00736749">
              <w:t xml:space="preserve"> on the applicable service group(s). Is it A10 and D5, like the previous two sections?</w:t>
            </w:r>
          </w:p>
        </w:tc>
        <w:tc>
          <w:tcPr>
            <w:tcW w:w="7065" w:type="dxa"/>
            <w:vAlign w:val="center"/>
          </w:tcPr>
          <w:p w:rsidR="002A3512" w:rsidRPr="00736749" w:rsidRDefault="002A3512" w:rsidP="002A3512">
            <w:pPr>
              <w:rPr>
                <w:rFonts w:cstheme="minorHAnsi"/>
                <w:bCs/>
              </w:rPr>
            </w:pPr>
            <w:r w:rsidRPr="00736749">
              <w:rPr>
                <w:rFonts w:cstheme="minorHAnsi"/>
                <w:b/>
                <w:bCs/>
              </w:rPr>
              <w:t xml:space="preserve">For IV.Y.3.c  </w:t>
            </w:r>
          </w:p>
          <w:p w:rsidR="002A3512" w:rsidRPr="00736749" w:rsidRDefault="002A3512" w:rsidP="002A3512">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2A3512" w:rsidRPr="00736749" w:rsidTr="00677910">
              <w:trPr>
                <w:cantSplit/>
                <w:tblHeader/>
              </w:trPr>
              <w:tc>
                <w:tcPr>
                  <w:tcW w:w="5000" w:type="pct"/>
                  <w:shd w:val="clear" w:color="auto" w:fill="7F7F7F" w:themeFill="text1" w:themeFillTint="80"/>
                </w:tcPr>
                <w:p w:rsidR="002A3512" w:rsidRPr="00736749" w:rsidRDefault="002A3512" w:rsidP="002A3512">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2A3512" w:rsidRPr="00736749" w:rsidTr="00677910">
              <w:trPr>
                <w:cantSplit/>
                <w:tblHeader/>
              </w:trPr>
              <w:tc>
                <w:tcPr>
                  <w:tcW w:w="5000" w:type="pct"/>
                  <w:shd w:val="clear" w:color="auto" w:fill="E5DFEC" w:themeFill="accent4" w:themeFillTint="33"/>
                </w:tcPr>
                <w:p w:rsidR="002A3512" w:rsidRPr="00736749" w:rsidRDefault="002A3512" w:rsidP="002A3512">
                  <w:pPr>
                    <w:rPr>
                      <w:rStyle w:val="TableContents"/>
                      <w:i/>
                      <w:iCs/>
                    </w:rPr>
                  </w:pPr>
                  <w:r w:rsidRPr="00736749">
                    <w:rPr>
                      <w:rStyle w:val="TableContents"/>
                      <w:i/>
                      <w:iCs/>
                    </w:rPr>
                    <w:t>Applicable to service group(s) A10.</w:t>
                  </w:r>
                </w:p>
              </w:tc>
            </w:tr>
            <w:tr w:rsidR="002A3512" w:rsidRPr="00736749" w:rsidTr="00677910">
              <w:tc>
                <w:tcPr>
                  <w:tcW w:w="5000" w:type="pct"/>
                </w:tcPr>
                <w:p w:rsidR="002A3512" w:rsidRPr="00736749" w:rsidRDefault="002A3512" w:rsidP="002A3512"/>
              </w:tc>
            </w:tr>
          </w:tbl>
          <w:p w:rsidR="002A3512" w:rsidRPr="00736749" w:rsidRDefault="002A3512" w:rsidP="002A3512">
            <w:r w:rsidRPr="00736749">
              <w:t xml:space="preserve">Noted in Amendment No. 2. </w:t>
            </w:r>
          </w:p>
        </w:tc>
        <w:tc>
          <w:tcPr>
            <w:tcW w:w="1470" w:type="dxa"/>
            <w:vAlign w:val="center"/>
          </w:tcPr>
          <w:p w:rsidR="002A3512" w:rsidRPr="00736749" w:rsidRDefault="002A3512" w:rsidP="002A3512">
            <w:pPr>
              <w:jc w:val="center"/>
            </w:pPr>
            <w:r w:rsidRPr="00736749">
              <w:t>IV.Y.3.c</w:t>
            </w:r>
          </w:p>
        </w:tc>
        <w:tc>
          <w:tcPr>
            <w:tcW w:w="818" w:type="dxa"/>
            <w:vAlign w:val="center"/>
          </w:tcPr>
          <w:p w:rsidR="002A3512" w:rsidRPr="00736749" w:rsidRDefault="002A3512" w:rsidP="002A3512">
            <w:pPr>
              <w:jc w:val="center"/>
            </w:pPr>
            <w:r w:rsidRPr="00736749">
              <w:t>104</w:t>
            </w:r>
          </w:p>
        </w:tc>
      </w:tr>
      <w:tr w:rsidR="002A3512" w:rsidRPr="00736749" w:rsidTr="00847156">
        <w:trPr>
          <w:cantSplit/>
        </w:trPr>
        <w:tc>
          <w:tcPr>
            <w:tcW w:w="1228" w:type="dxa"/>
            <w:vAlign w:val="center"/>
          </w:tcPr>
          <w:p w:rsidR="002A3512" w:rsidRPr="00736749" w:rsidRDefault="002A3512" w:rsidP="002A3512">
            <w:pPr>
              <w:jc w:val="center"/>
            </w:pPr>
            <w:r w:rsidRPr="00736749">
              <w:t>109</w:t>
            </w:r>
          </w:p>
        </w:tc>
        <w:tc>
          <w:tcPr>
            <w:tcW w:w="2735" w:type="dxa"/>
            <w:vAlign w:val="center"/>
          </w:tcPr>
          <w:p w:rsidR="002A3512" w:rsidRPr="00736749" w:rsidRDefault="002A3512" w:rsidP="002A3512">
            <w:r w:rsidRPr="00736749">
              <w:t>The RFP references instructions for completing the cost proposal, provided as Attachment B in a separate Microsoft® Word document. We cannot locate Attachment B. Could you please provide this document?</w:t>
            </w:r>
          </w:p>
        </w:tc>
        <w:tc>
          <w:tcPr>
            <w:tcW w:w="7065" w:type="dxa"/>
            <w:vAlign w:val="center"/>
          </w:tcPr>
          <w:p w:rsidR="002A3512" w:rsidRPr="00736749" w:rsidRDefault="002A3512" w:rsidP="002A3512">
            <w:r w:rsidRPr="00736749">
              <w:t>The instructions for</w:t>
            </w:r>
            <w:r w:rsidR="00DC74F7" w:rsidRPr="00736749">
              <w:t xml:space="preserve"> completing the cost proposal is</w:t>
            </w:r>
            <w:r w:rsidRPr="00736749">
              <w:t xml:space="preserve"> located at </w:t>
            </w:r>
            <w:hyperlink r:id="rId12" w:history="1">
              <w:r w:rsidRPr="00736749">
                <w:rPr>
                  <w:rStyle w:val="Hyperlink"/>
                </w:rPr>
                <w:t>http://bit.ly/NM_SPD_24665</w:t>
              </w:r>
            </w:hyperlink>
            <w:r w:rsidRPr="00736749">
              <w:rPr>
                <w:rStyle w:val="Hyperlink"/>
              </w:rPr>
              <w:t xml:space="preserve">. </w:t>
            </w:r>
          </w:p>
        </w:tc>
        <w:tc>
          <w:tcPr>
            <w:tcW w:w="1470" w:type="dxa"/>
            <w:vAlign w:val="center"/>
          </w:tcPr>
          <w:p w:rsidR="002A3512" w:rsidRPr="00736749" w:rsidRDefault="002A3512" w:rsidP="002A3512">
            <w:pPr>
              <w:jc w:val="center"/>
              <w:rPr>
                <w:sz w:val="20"/>
                <w:szCs w:val="20"/>
              </w:rPr>
            </w:pPr>
          </w:p>
        </w:tc>
        <w:tc>
          <w:tcPr>
            <w:tcW w:w="818" w:type="dxa"/>
            <w:vAlign w:val="center"/>
          </w:tcPr>
          <w:p w:rsidR="002A3512" w:rsidRPr="00736749" w:rsidRDefault="002A3512" w:rsidP="002A3512">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t>110</w:t>
            </w:r>
          </w:p>
        </w:tc>
        <w:tc>
          <w:tcPr>
            <w:tcW w:w="2735" w:type="dxa"/>
            <w:vAlign w:val="center"/>
          </w:tcPr>
          <w:p w:rsidR="00DC74F7" w:rsidRPr="00736749" w:rsidRDefault="00DC74F7" w:rsidP="00DC74F7">
            <w:r w:rsidRPr="00736749">
              <w:t>Will any of the high school summative tests be required for graduation? If so, which tests will be required for graduation?</w:t>
            </w:r>
          </w:p>
        </w:tc>
        <w:tc>
          <w:tcPr>
            <w:tcW w:w="7065" w:type="dxa"/>
            <w:vAlign w:val="center"/>
          </w:tcPr>
          <w:p w:rsidR="00DC74F7" w:rsidRPr="00736749" w:rsidRDefault="00DC74F7" w:rsidP="00DC74F7">
            <w:r w:rsidRPr="00736749">
              <w:t>It has not been determined if the assessment will remain a graduation requirement.</w:t>
            </w:r>
          </w:p>
        </w:tc>
        <w:tc>
          <w:tcPr>
            <w:tcW w:w="1470" w:type="dxa"/>
            <w:vAlign w:val="center"/>
          </w:tcPr>
          <w:p w:rsidR="00DC74F7" w:rsidRPr="00736749" w:rsidRDefault="00DC74F7" w:rsidP="00DC74F7">
            <w:pPr>
              <w:jc w:val="center"/>
              <w:rPr>
                <w:sz w:val="20"/>
                <w:szCs w:val="20"/>
              </w:rPr>
            </w:pPr>
            <w:r w:rsidRPr="00736749">
              <w:rPr>
                <w:sz w:val="20"/>
                <w:szCs w:val="20"/>
              </w:rPr>
              <w:t>IV.L</w:t>
            </w:r>
          </w:p>
        </w:tc>
        <w:tc>
          <w:tcPr>
            <w:tcW w:w="818" w:type="dxa"/>
            <w:vAlign w:val="center"/>
          </w:tcPr>
          <w:p w:rsidR="00DC74F7" w:rsidRPr="00736749" w:rsidRDefault="00DC74F7" w:rsidP="00DC74F7">
            <w:pPr>
              <w:jc w:val="center"/>
              <w:rPr>
                <w:sz w:val="20"/>
                <w:szCs w:val="20"/>
              </w:rPr>
            </w:pPr>
            <w:r w:rsidRPr="00736749">
              <w:rPr>
                <w:sz w:val="20"/>
                <w:szCs w:val="20"/>
              </w:rPr>
              <w:t>56</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111</w:t>
            </w:r>
          </w:p>
        </w:tc>
        <w:tc>
          <w:tcPr>
            <w:tcW w:w="2735" w:type="dxa"/>
            <w:vAlign w:val="center"/>
          </w:tcPr>
          <w:p w:rsidR="00DC74F7" w:rsidRPr="00736749" w:rsidRDefault="00DC74F7" w:rsidP="00DC74F7">
            <w:r w:rsidRPr="00736749">
              <w:t>Please provide the RFP for the COTS data management solution. The RFP no longer appears on the procurement Web site.</w:t>
            </w:r>
          </w:p>
        </w:tc>
        <w:tc>
          <w:tcPr>
            <w:tcW w:w="7065" w:type="dxa"/>
            <w:vAlign w:val="center"/>
          </w:tcPr>
          <w:p w:rsidR="00DC74F7" w:rsidRPr="00736749" w:rsidRDefault="00DC74F7" w:rsidP="00DC74F7">
            <w:r w:rsidRPr="00736749">
              <w:rPr>
                <w:rFonts w:cstheme="minorHAnsi"/>
              </w:rPr>
              <w:t xml:space="preserve">The RFP has closed and can now be found as “Historic Information 90-924-19-24339 Referenced in Assessment RFP.pdf” at: </w:t>
            </w:r>
            <w:hyperlink r:id="rId13" w:history="1">
              <w:r w:rsidRPr="00736749">
                <w:rPr>
                  <w:rStyle w:val="Hyperlink"/>
                </w:rPr>
                <w:t>http://bit.ly/NM_SPD_24665</w:t>
              </w:r>
            </w:hyperlink>
          </w:p>
        </w:tc>
        <w:tc>
          <w:tcPr>
            <w:tcW w:w="1470" w:type="dxa"/>
            <w:vAlign w:val="center"/>
          </w:tcPr>
          <w:p w:rsidR="00DC74F7" w:rsidRPr="00736749" w:rsidRDefault="00DC74F7" w:rsidP="00DC74F7">
            <w:pPr>
              <w:jc w:val="center"/>
              <w:rPr>
                <w:rFonts w:cstheme="minorHAnsi"/>
              </w:rPr>
            </w:pPr>
            <w:r w:rsidRPr="00736749">
              <w:rPr>
                <w:rFonts w:cstheme="minorHAnsi"/>
              </w:rPr>
              <w:t>IV.K.2</w:t>
            </w:r>
          </w:p>
        </w:tc>
        <w:tc>
          <w:tcPr>
            <w:tcW w:w="818" w:type="dxa"/>
            <w:vAlign w:val="center"/>
          </w:tcPr>
          <w:p w:rsidR="00DC74F7" w:rsidRPr="00736749" w:rsidRDefault="00DC74F7" w:rsidP="00DC74F7">
            <w:pPr>
              <w:jc w:val="center"/>
              <w:rPr>
                <w:rFonts w:cstheme="minorHAnsi"/>
              </w:rPr>
            </w:pPr>
            <w:r w:rsidRPr="00736749">
              <w:rPr>
                <w:rFonts w:cstheme="minorHAnsi"/>
              </w:rPr>
              <w:t>54</w:t>
            </w:r>
          </w:p>
        </w:tc>
      </w:tr>
      <w:tr w:rsidR="00DC74F7" w:rsidRPr="00736749" w:rsidTr="00847156">
        <w:trPr>
          <w:cantSplit/>
        </w:trPr>
        <w:tc>
          <w:tcPr>
            <w:tcW w:w="1228" w:type="dxa"/>
            <w:vAlign w:val="center"/>
          </w:tcPr>
          <w:p w:rsidR="00DC74F7" w:rsidRPr="00736749" w:rsidRDefault="00DC74F7" w:rsidP="00DC74F7">
            <w:pPr>
              <w:jc w:val="center"/>
            </w:pPr>
            <w:r w:rsidRPr="00736749">
              <w:t>112</w:t>
            </w:r>
          </w:p>
        </w:tc>
        <w:tc>
          <w:tcPr>
            <w:tcW w:w="2735" w:type="dxa"/>
            <w:vAlign w:val="center"/>
          </w:tcPr>
          <w:p w:rsidR="00DC74F7" w:rsidRPr="00736749" w:rsidRDefault="00DC74F7" w:rsidP="00DC74F7">
            <w:r w:rsidRPr="00736749">
              <w:t>The PED defines specific requirements for workshops and webinars for the first year of implementation of a new system. Please define any requirements PED has for subsequent years.</w:t>
            </w:r>
          </w:p>
        </w:tc>
        <w:tc>
          <w:tcPr>
            <w:tcW w:w="7065" w:type="dxa"/>
            <w:vAlign w:val="center"/>
          </w:tcPr>
          <w:p w:rsidR="00DC74F7" w:rsidRPr="00736749" w:rsidRDefault="00DC74F7" w:rsidP="00DC74F7">
            <w:r w:rsidRPr="00736749">
              <w:t>PED would require a minimum of 2 webinars and 2 in person trainings following the implementation year. This answer is only relevant to the information provided in Section IV.V.5.</w:t>
            </w:r>
          </w:p>
        </w:tc>
        <w:tc>
          <w:tcPr>
            <w:tcW w:w="1470" w:type="dxa"/>
            <w:vAlign w:val="center"/>
          </w:tcPr>
          <w:p w:rsidR="00DC74F7" w:rsidRPr="00736749" w:rsidRDefault="00DC74F7" w:rsidP="00DC74F7">
            <w:pPr>
              <w:jc w:val="center"/>
              <w:rPr>
                <w:sz w:val="20"/>
                <w:szCs w:val="20"/>
              </w:rPr>
            </w:pPr>
            <w:r w:rsidRPr="00736749">
              <w:rPr>
                <w:sz w:val="20"/>
                <w:szCs w:val="20"/>
              </w:rPr>
              <w:t>IV.V.5</w:t>
            </w:r>
          </w:p>
        </w:tc>
        <w:tc>
          <w:tcPr>
            <w:tcW w:w="818" w:type="dxa"/>
            <w:vAlign w:val="center"/>
          </w:tcPr>
          <w:p w:rsidR="00DC74F7" w:rsidRPr="00736749" w:rsidRDefault="00DC74F7" w:rsidP="00DC74F7">
            <w:pPr>
              <w:jc w:val="center"/>
              <w:rPr>
                <w:sz w:val="20"/>
                <w:szCs w:val="20"/>
              </w:rPr>
            </w:pPr>
            <w:r w:rsidRPr="00736749">
              <w:rPr>
                <w:sz w:val="20"/>
                <w:szCs w:val="20"/>
              </w:rPr>
              <w:t>94</w:t>
            </w:r>
          </w:p>
        </w:tc>
      </w:tr>
      <w:tr w:rsidR="00DC74F7" w:rsidRPr="00736749" w:rsidTr="00847156">
        <w:trPr>
          <w:cantSplit/>
        </w:trPr>
        <w:tc>
          <w:tcPr>
            <w:tcW w:w="1228" w:type="dxa"/>
            <w:vAlign w:val="center"/>
          </w:tcPr>
          <w:p w:rsidR="00DC74F7" w:rsidRPr="00736749" w:rsidRDefault="00DC74F7" w:rsidP="00DC74F7">
            <w:pPr>
              <w:jc w:val="center"/>
            </w:pPr>
            <w:r w:rsidRPr="00736749">
              <w:t>113</w:t>
            </w:r>
          </w:p>
        </w:tc>
        <w:tc>
          <w:tcPr>
            <w:tcW w:w="2735" w:type="dxa"/>
            <w:vAlign w:val="center"/>
          </w:tcPr>
          <w:p w:rsidR="00DC74F7" w:rsidRPr="00736749" w:rsidRDefault="00DC74F7" w:rsidP="00DC74F7">
            <w:r w:rsidRPr="00736749">
              <w:t>Please confirm that lines 171 and 176 of the budget workbook should be labeled “</w:t>
            </w:r>
            <w:proofErr w:type="spellStart"/>
            <w:r w:rsidRPr="00736749">
              <w:t>Handscored</w:t>
            </w:r>
            <w:proofErr w:type="spellEnd"/>
            <w:r w:rsidRPr="00736749">
              <w:t xml:space="preserve"> extended CR”</w:t>
            </w:r>
          </w:p>
        </w:tc>
        <w:tc>
          <w:tcPr>
            <w:tcW w:w="7065" w:type="dxa"/>
            <w:vAlign w:val="center"/>
          </w:tcPr>
          <w:p w:rsidR="00DC74F7" w:rsidRPr="00736749" w:rsidRDefault="00DC74F7" w:rsidP="00DC74F7">
            <w:r w:rsidRPr="00736749">
              <w:t>In the cost proposal workbook there are two places where there are two consecutive rows labeled “</w:t>
            </w:r>
            <w:proofErr w:type="spellStart"/>
            <w:r w:rsidRPr="00736749">
              <w:t>Handscored</w:t>
            </w:r>
            <w:proofErr w:type="spellEnd"/>
            <w:r w:rsidRPr="00736749">
              <w:t xml:space="preserve"> short CR”. The second of each set of such consecutive rows should be labeled “</w:t>
            </w:r>
            <w:proofErr w:type="spellStart"/>
            <w:r w:rsidRPr="00736749">
              <w:t>Handscored</w:t>
            </w:r>
            <w:proofErr w:type="spellEnd"/>
            <w:r w:rsidRPr="00736749">
              <w:t xml:space="preserve"> extended CR.”</w:t>
            </w:r>
          </w:p>
        </w:tc>
        <w:tc>
          <w:tcPr>
            <w:tcW w:w="1470" w:type="dxa"/>
            <w:vAlign w:val="center"/>
          </w:tcPr>
          <w:p w:rsidR="00DC74F7" w:rsidRPr="00736749" w:rsidRDefault="00DC74F7" w:rsidP="00DC74F7">
            <w:pPr>
              <w:jc w:val="center"/>
              <w:rPr>
                <w:sz w:val="20"/>
                <w:szCs w:val="20"/>
              </w:rPr>
            </w:pPr>
            <w:r w:rsidRPr="00736749">
              <w:rPr>
                <w:sz w:val="20"/>
                <w:szCs w:val="20"/>
              </w:rPr>
              <w:t>Budget Workbook</w:t>
            </w: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t>114</w:t>
            </w:r>
          </w:p>
        </w:tc>
        <w:tc>
          <w:tcPr>
            <w:tcW w:w="2735" w:type="dxa"/>
            <w:vAlign w:val="center"/>
          </w:tcPr>
          <w:p w:rsidR="00DC74F7" w:rsidRPr="00736749" w:rsidRDefault="00DC74F7" w:rsidP="00DC74F7">
            <w:r w:rsidRPr="00736749">
              <w:t xml:space="preserve">Is the Offeror responsible for mileage reimbursement, stipend/reimbursement, or lodging for attendees at the face-to-face training meetings? </w:t>
            </w:r>
          </w:p>
        </w:tc>
        <w:tc>
          <w:tcPr>
            <w:tcW w:w="7065" w:type="dxa"/>
            <w:vAlign w:val="center"/>
          </w:tcPr>
          <w:p w:rsidR="00DC74F7" w:rsidRPr="00736749" w:rsidRDefault="00DC74F7" w:rsidP="00DC74F7">
            <w:r w:rsidRPr="00736749">
              <w:t>The Offeror is responsible for the following, located on page 87, along with other items in the bulleted list:</w:t>
            </w:r>
          </w:p>
          <w:p w:rsidR="00DC74F7" w:rsidRPr="00736749" w:rsidRDefault="00DC74F7" w:rsidP="00DC74F7">
            <w:pPr>
              <w:pStyle w:val="Default"/>
            </w:pPr>
          </w:p>
          <w:p w:rsidR="00DC74F7" w:rsidRPr="00736749" w:rsidRDefault="00DC74F7" w:rsidP="00DC74F7">
            <w:pPr>
              <w:pStyle w:val="Default"/>
              <w:spacing w:after="44"/>
              <w:rPr>
                <w:rFonts w:asciiTheme="minorHAnsi" w:hAnsiTheme="minorHAnsi" w:cstheme="minorBidi"/>
                <w:color w:val="auto"/>
                <w:sz w:val="22"/>
                <w:szCs w:val="22"/>
              </w:rPr>
            </w:pPr>
            <w:r w:rsidRPr="00736749">
              <w:rPr>
                <w:rFonts w:asciiTheme="minorHAnsi" w:hAnsiTheme="minorHAnsi" w:cstheme="minorBidi"/>
                <w:color w:val="auto"/>
                <w:sz w:val="22"/>
                <w:szCs w:val="22"/>
              </w:rPr>
              <w:t xml:space="preserve">Hosting the meeting (including procuring meeting space and all logistics) </w:t>
            </w:r>
          </w:p>
          <w:p w:rsidR="00DC74F7" w:rsidRPr="00736749" w:rsidRDefault="00DC74F7" w:rsidP="00DC74F7">
            <w:pPr>
              <w:pStyle w:val="Default"/>
              <w:numPr>
                <w:ilvl w:val="0"/>
                <w:numId w:val="13"/>
              </w:numPr>
              <w:spacing w:after="44"/>
              <w:ind w:left="363"/>
              <w:rPr>
                <w:rFonts w:asciiTheme="minorHAnsi" w:hAnsiTheme="minorHAnsi" w:cstheme="minorBidi"/>
                <w:color w:val="auto"/>
                <w:sz w:val="22"/>
                <w:szCs w:val="22"/>
              </w:rPr>
            </w:pPr>
            <w:r w:rsidRPr="00736749">
              <w:rPr>
                <w:rFonts w:asciiTheme="minorHAnsi" w:hAnsiTheme="minorHAnsi" w:cstheme="minorBidi"/>
                <w:color w:val="auto"/>
                <w:sz w:val="22"/>
                <w:szCs w:val="22"/>
              </w:rPr>
              <w:t xml:space="preserve">Travel and lodging costs at state rates for Offeror staff and participants as needed. Mileage reimbursement rates are established by the New Mexico Department of Finance and Administration (DFA) and can be found at: http://www.nmdfa.state.nm.us/ </w:t>
            </w:r>
          </w:p>
          <w:p w:rsidR="00DC74F7" w:rsidRPr="00736749" w:rsidRDefault="00DC74F7" w:rsidP="00DC74F7">
            <w:pPr>
              <w:pStyle w:val="Default"/>
              <w:numPr>
                <w:ilvl w:val="0"/>
                <w:numId w:val="13"/>
              </w:numPr>
              <w:spacing w:after="44"/>
              <w:ind w:left="363"/>
              <w:rPr>
                <w:rFonts w:asciiTheme="minorHAnsi" w:hAnsiTheme="minorHAnsi" w:cstheme="minorBidi"/>
                <w:color w:val="auto"/>
                <w:sz w:val="22"/>
                <w:szCs w:val="22"/>
              </w:rPr>
            </w:pPr>
            <w:r w:rsidRPr="00736749">
              <w:rPr>
                <w:rFonts w:asciiTheme="minorHAnsi" w:hAnsiTheme="minorHAnsi" w:cstheme="minorBidi"/>
                <w:color w:val="auto"/>
                <w:sz w:val="22"/>
                <w:szCs w:val="22"/>
              </w:rPr>
              <w:t xml:space="preserve">Communicating reimbursable expenses and limits to committee members </w:t>
            </w:r>
          </w:p>
          <w:p w:rsidR="00DC74F7" w:rsidRPr="00736749" w:rsidRDefault="00DC74F7" w:rsidP="00DC74F7">
            <w:pPr>
              <w:pStyle w:val="Default"/>
              <w:numPr>
                <w:ilvl w:val="0"/>
                <w:numId w:val="13"/>
              </w:numPr>
              <w:ind w:left="363"/>
              <w:rPr>
                <w:rFonts w:asciiTheme="minorHAnsi" w:hAnsiTheme="minorHAnsi" w:cstheme="minorBidi"/>
                <w:color w:val="auto"/>
                <w:sz w:val="22"/>
                <w:szCs w:val="22"/>
              </w:rPr>
            </w:pPr>
            <w:r w:rsidRPr="00736749">
              <w:rPr>
                <w:rFonts w:asciiTheme="minorHAnsi" w:hAnsiTheme="minorHAnsi" w:cstheme="minorBidi"/>
                <w:color w:val="auto"/>
                <w:sz w:val="22"/>
                <w:szCs w:val="22"/>
              </w:rPr>
              <w:t xml:space="preserve">Paying up to $125 daily stipends for review committee members who attend review workshops OR substitute reimbursement. </w:t>
            </w:r>
          </w:p>
        </w:tc>
        <w:tc>
          <w:tcPr>
            <w:tcW w:w="1470" w:type="dxa"/>
            <w:vAlign w:val="center"/>
          </w:tcPr>
          <w:p w:rsidR="00DC74F7" w:rsidRPr="00736749" w:rsidRDefault="00DC74F7" w:rsidP="00DC74F7">
            <w:pPr>
              <w:jc w:val="center"/>
              <w:rPr>
                <w:sz w:val="20"/>
                <w:szCs w:val="20"/>
              </w:rPr>
            </w:pPr>
            <w:r w:rsidRPr="00736749">
              <w:t>IV.S.11.e.v</w:t>
            </w:r>
          </w:p>
        </w:tc>
        <w:tc>
          <w:tcPr>
            <w:tcW w:w="818" w:type="dxa"/>
            <w:vAlign w:val="center"/>
          </w:tcPr>
          <w:p w:rsidR="00DC74F7" w:rsidRPr="00736749" w:rsidRDefault="00DC74F7" w:rsidP="00DC74F7">
            <w:pPr>
              <w:jc w:val="center"/>
              <w:rPr>
                <w:sz w:val="20"/>
                <w:szCs w:val="20"/>
              </w:rPr>
            </w:pPr>
            <w:r w:rsidRPr="00736749">
              <w:rPr>
                <w:sz w:val="20"/>
                <w:szCs w:val="20"/>
              </w:rPr>
              <w:t>87</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115</w:t>
            </w:r>
          </w:p>
        </w:tc>
        <w:tc>
          <w:tcPr>
            <w:tcW w:w="2735" w:type="dxa"/>
            <w:vAlign w:val="center"/>
          </w:tcPr>
          <w:p w:rsidR="00DC74F7" w:rsidRPr="00736749" w:rsidRDefault="00DC74F7" w:rsidP="00DC74F7">
            <w:r w:rsidRPr="00736749">
              <w:t>Please provide the Help Desk call volume by month for July 2018 – June 2019) for the current ELA and Math 3-8 program.</w:t>
            </w:r>
          </w:p>
        </w:tc>
        <w:tc>
          <w:tcPr>
            <w:tcW w:w="7065" w:type="dxa"/>
            <w:vAlign w:val="center"/>
          </w:tcPr>
          <w:tbl>
            <w:tblPr>
              <w:tblW w:w="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300"/>
              <w:gridCol w:w="1010"/>
              <w:gridCol w:w="1010"/>
              <w:gridCol w:w="1010"/>
              <w:gridCol w:w="1010"/>
            </w:tblGrid>
            <w:tr w:rsidR="00DC74F7" w:rsidRPr="00736749" w:rsidTr="001A356D">
              <w:trPr>
                <w:trHeight w:val="525"/>
              </w:trPr>
              <w:tc>
                <w:tcPr>
                  <w:tcW w:w="1060" w:type="dxa"/>
                  <w:shd w:val="clear" w:color="auto" w:fill="C6D9F1" w:themeFill="text2" w:themeFillTint="33"/>
                  <w:vAlign w:val="bottom"/>
                  <w:hideMark/>
                </w:tcPr>
                <w:p w:rsidR="00DC74F7" w:rsidRPr="00736749" w:rsidRDefault="00DC74F7" w:rsidP="00DC74F7">
                  <w:pPr>
                    <w:jc w:val="center"/>
                    <w:rPr>
                      <w:b/>
                      <w:bCs/>
                      <w:color w:val="000000"/>
                    </w:rPr>
                  </w:pPr>
                  <w:r w:rsidRPr="00736749">
                    <w:rPr>
                      <w:b/>
                      <w:bCs/>
                      <w:color w:val="000000"/>
                    </w:rPr>
                    <w:t>Month</w:t>
                  </w:r>
                </w:p>
              </w:tc>
              <w:tc>
                <w:tcPr>
                  <w:tcW w:w="1300" w:type="dxa"/>
                  <w:shd w:val="clear" w:color="auto" w:fill="C6D9F1" w:themeFill="text2" w:themeFillTint="33"/>
                  <w:vAlign w:val="bottom"/>
                  <w:hideMark/>
                </w:tcPr>
                <w:p w:rsidR="00DC74F7" w:rsidRPr="00736749" w:rsidRDefault="00DC74F7" w:rsidP="00DC74F7">
                  <w:pPr>
                    <w:jc w:val="center"/>
                    <w:rPr>
                      <w:b/>
                      <w:bCs/>
                      <w:color w:val="000000"/>
                    </w:rPr>
                  </w:pPr>
                  <w:r w:rsidRPr="00736749">
                    <w:rPr>
                      <w:b/>
                      <w:bCs/>
                      <w:color w:val="000000"/>
                    </w:rPr>
                    <w:t>Calls Offered</w:t>
                  </w:r>
                </w:p>
              </w:tc>
              <w:tc>
                <w:tcPr>
                  <w:tcW w:w="820" w:type="dxa"/>
                  <w:shd w:val="clear" w:color="auto" w:fill="C6D9F1" w:themeFill="text2" w:themeFillTint="33"/>
                  <w:vAlign w:val="bottom"/>
                  <w:hideMark/>
                </w:tcPr>
                <w:p w:rsidR="00DC74F7" w:rsidRPr="00736749" w:rsidRDefault="00DC74F7" w:rsidP="00DC74F7">
                  <w:pPr>
                    <w:jc w:val="center"/>
                    <w:rPr>
                      <w:b/>
                      <w:bCs/>
                      <w:color w:val="000000"/>
                    </w:rPr>
                  </w:pPr>
                  <w:r w:rsidRPr="00736749">
                    <w:rPr>
                      <w:b/>
                      <w:bCs/>
                      <w:color w:val="000000"/>
                    </w:rPr>
                    <w:t>Emails Contacts</w:t>
                  </w:r>
                </w:p>
              </w:tc>
              <w:tc>
                <w:tcPr>
                  <w:tcW w:w="820" w:type="dxa"/>
                  <w:shd w:val="clear" w:color="auto" w:fill="C6D9F1" w:themeFill="text2" w:themeFillTint="33"/>
                  <w:vAlign w:val="bottom"/>
                  <w:hideMark/>
                </w:tcPr>
                <w:p w:rsidR="00DC74F7" w:rsidRPr="00736749" w:rsidRDefault="00DC74F7" w:rsidP="00DC74F7">
                  <w:pPr>
                    <w:jc w:val="center"/>
                    <w:rPr>
                      <w:b/>
                      <w:bCs/>
                      <w:color w:val="000000"/>
                    </w:rPr>
                  </w:pPr>
                  <w:r w:rsidRPr="00736749">
                    <w:rPr>
                      <w:b/>
                      <w:bCs/>
                      <w:color w:val="000000"/>
                    </w:rPr>
                    <w:t>Web Contacts</w:t>
                  </w:r>
                </w:p>
              </w:tc>
              <w:tc>
                <w:tcPr>
                  <w:tcW w:w="820" w:type="dxa"/>
                  <w:shd w:val="clear" w:color="auto" w:fill="C6D9F1" w:themeFill="text2" w:themeFillTint="33"/>
                  <w:vAlign w:val="bottom"/>
                  <w:hideMark/>
                </w:tcPr>
                <w:p w:rsidR="00DC74F7" w:rsidRPr="00736749" w:rsidRDefault="00DC74F7" w:rsidP="00DC74F7">
                  <w:pPr>
                    <w:jc w:val="center"/>
                    <w:rPr>
                      <w:b/>
                      <w:bCs/>
                      <w:color w:val="000000"/>
                    </w:rPr>
                  </w:pPr>
                  <w:r w:rsidRPr="00736749">
                    <w:rPr>
                      <w:b/>
                      <w:bCs/>
                      <w:color w:val="000000"/>
                    </w:rPr>
                    <w:t>Chats Contacts</w:t>
                  </w:r>
                </w:p>
              </w:tc>
              <w:tc>
                <w:tcPr>
                  <w:tcW w:w="820" w:type="dxa"/>
                  <w:shd w:val="clear" w:color="auto" w:fill="C6D9F1" w:themeFill="text2" w:themeFillTint="33"/>
                  <w:vAlign w:val="bottom"/>
                  <w:hideMark/>
                </w:tcPr>
                <w:p w:rsidR="00DC74F7" w:rsidRPr="00736749" w:rsidRDefault="00DC74F7" w:rsidP="00DC74F7">
                  <w:pPr>
                    <w:jc w:val="center"/>
                    <w:rPr>
                      <w:b/>
                      <w:bCs/>
                      <w:color w:val="000000"/>
                    </w:rPr>
                  </w:pPr>
                  <w:r w:rsidRPr="00736749">
                    <w:rPr>
                      <w:b/>
                      <w:bCs/>
                      <w:color w:val="000000"/>
                    </w:rPr>
                    <w:t>Total Contacts</w:t>
                  </w:r>
                </w:p>
              </w:tc>
            </w:tr>
            <w:tr w:rsidR="00DC74F7" w:rsidRPr="00736749" w:rsidTr="000D0308">
              <w:trPr>
                <w:trHeight w:val="780"/>
              </w:trPr>
              <w:tc>
                <w:tcPr>
                  <w:tcW w:w="106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b/>
                      <w:bCs/>
                      <w:color w:val="E7E6E6"/>
                      <w:sz w:val="20"/>
                      <w:szCs w:val="20"/>
                    </w:rPr>
                  </w:pPr>
                </w:p>
              </w:tc>
              <w:tc>
                <w:tcPr>
                  <w:tcW w:w="1300" w:type="dxa"/>
                  <w:shd w:val="clear" w:color="auto" w:fill="auto"/>
                  <w:vAlign w:val="bottom"/>
                  <w:hideMark/>
                </w:tcPr>
                <w:p w:rsidR="00DC74F7" w:rsidRPr="00736749" w:rsidRDefault="00DC74F7" w:rsidP="00DC74F7">
                  <w:pPr>
                    <w:spacing w:after="0" w:line="240" w:lineRule="auto"/>
                    <w:jc w:val="center"/>
                    <w:rPr>
                      <w:rFonts w:ascii="Calibri" w:eastAsia="Times New Roman" w:hAnsi="Calibri" w:cs="Calibri"/>
                      <w:b/>
                      <w:bCs/>
                      <w:color w:val="000000"/>
                      <w:sz w:val="20"/>
                      <w:szCs w:val="20"/>
                    </w:rPr>
                  </w:pPr>
                  <w:r w:rsidRPr="00736749">
                    <w:rPr>
                      <w:rFonts w:ascii="Calibri" w:eastAsia="Times New Roman" w:hAnsi="Calibri" w:cs="Calibri"/>
                      <w:b/>
                      <w:bCs/>
                      <w:color w:val="000000"/>
                      <w:sz w:val="20"/>
                      <w:szCs w:val="20"/>
                    </w:rPr>
                    <w:t>Queue Interactions</w:t>
                  </w:r>
                </w:p>
              </w:tc>
              <w:tc>
                <w:tcPr>
                  <w:tcW w:w="820" w:type="dxa"/>
                  <w:shd w:val="clear" w:color="auto" w:fill="auto"/>
                  <w:vAlign w:val="bottom"/>
                  <w:hideMark/>
                </w:tcPr>
                <w:p w:rsidR="00DC74F7" w:rsidRPr="00736749" w:rsidRDefault="00DC74F7" w:rsidP="00DC74F7">
                  <w:pPr>
                    <w:spacing w:after="0" w:line="240" w:lineRule="auto"/>
                    <w:jc w:val="center"/>
                    <w:rPr>
                      <w:rFonts w:ascii="Calibri" w:eastAsia="Times New Roman" w:hAnsi="Calibri" w:cs="Calibri"/>
                      <w:b/>
                      <w:bCs/>
                      <w:color w:val="000000"/>
                      <w:sz w:val="20"/>
                      <w:szCs w:val="20"/>
                    </w:rPr>
                  </w:pPr>
                  <w:r w:rsidRPr="00736749">
                    <w:rPr>
                      <w:rFonts w:ascii="Calibri" w:eastAsia="Times New Roman" w:hAnsi="Calibri" w:cs="Calibri"/>
                      <w:b/>
                      <w:bCs/>
                      <w:color w:val="000000"/>
                      <w:sz w:val="20"/>
                      <w:szCs w:val="20"/>
                    </w:rPr>
                    <w:t>Email Offered</w:t>
                  </w:r>
                </w:p>
              </w:tc>
              <w:tc>
                <w:tcPr>
                  <w:tcW w:w="820" w:type="dxa"/>
                  <w:shd w:val="clear" w:color="auto" w:fill="auto"/>
                  <w:vAlign w:val="bottom"/>
                  <w:hideMark/>
                </w:tcPr>
                <w:p w:rsidR="00DC74F7" w:rsidRPr="00736749" w:rsidRDefault="00DC74F7" w:rsidP="00DC74F7">
                  <w:pPr>
                    <w:spacing w:after="0" w:line="240" w:lineRule="auto"/>
                    <w:jc w:val="center"/>
                    <w:rPr>
                      <w:rFonts w:ascii="Calibri" w:eastAsia="Times New Roman" w:hAnsi="Calibri" w:cs="Calibri"/>
                      <w:b/>
                      <w:bCs/>
                      <w:color w:val="000000"/>
                      <w:sz w:val="20"/>
                      <w:szCs w:val="20"/>
                    </w:rPr>
                  </w:pPr>
                  <w:r w:rsidRPr="00736749">
                    <w:rPr>
                      <w:rFonts w:ascii="Calibri" w:eastAsia="Times New Roman" w:hAnsi="Calibri" w:cs="Calibri"/>
                      <w:b/>
                      <w:bCs/>
                      <w:color w:val="000000"/>
                      <w:sz w:val="20"/>
                      <w:szCs w:val="20"/>
                    </w:rPr>
                    <w:t>Web Offered</w:t>
                  </w:r>
                </w:p>
              </w:tc>
              <w:tc>
                <w:tcPr>
                  <w:tcW w:w="820" w:type="dxa"/>
                  <w:shd w:val="clear" w:color="auto" w:fill="auto"/>
                  <w:vAlign w:val="bottom"/>
                  <w:hideMark/>
                </w:tcPr>
                <w:p w:rsidR="00DC74F7" w:rsidRPr="00736749" w:rsidRDefault="00DC74F7" w:rsidP="00DC74F7">
                  <w:pPr>
                    <w:spacing w:after="0" w:line="240" w:lineRule="auto"/>
                    <w:jc w:val="center"/>
                    <w:rPr>
                      <w:rFonts w:ascii="Calibri" w:eastAsia="Times New Roman" w:hAnsi="Calibri" w:cs="Calibri"/>
                      <w:b/>
                      <w:bCs/>
                      <w:color w:val="000000"/>
                      <w:sz w:val="20"/>
                      <w:szCs w:val="20"/>
                    </w:rPr>
                  </w:pPr>
                  <w:r w:rsidRPr="00736749">
                    <w:rPr>
                      <w:rFonts w:ascii="Calibri" w:eastAsia="Times New Roman" w:hAnsi="Calibri" w:cs="Calibri"/>
                      <w:b/>
                      <w:bCs/>
                      <w:color w:val="000000"/>
                      <w:sz w:val="20"/>
                      <w:szCs w:val="20"/>
                    </w:rPr>
                    <w:t>Chat Offered</w:t>
                  </w:r>
                </w:p>
              </w:tc>
              <w:tc>
                <w:tcPr>
                  <w:tcW w:w="820" w:type="dxa"/>
                  <w:shd w:val="clear" w:color="auto" w:fill="auto"/>
                  <w:vAlign w:val="bottom"/>
                  <w:hideMark/>
                </w:tcPr>
                <w:p w:rsidR="00DC74F7" w:rsidRPr="00736749" w:rsidRDefault="00DC74F7" w:rsidP="00DC74F7">
                  <w:pPr>
                    <w:spacing w:after="0" w:line="240" w:lineRule="auto"/>
                    <w:jc w:val="center"/>
                    <w:rPr>
                      <w:rFonts w:ascii="Calibri" w:eastAsia="Times New Roman" w:hAnsi="Calibri" w:cs="Calibri"/>
                      <w:b/>
                      <w:bCs/>
                      <w:color w:val="000000"/>
                      <w:sz w:val="20"/>
                      <w:szCs w:val="20"/>
                    </w:rPr>
                  </w:pP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October</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96</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110</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November</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211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0</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6</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35</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252</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December</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90</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0</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102</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January</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19</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0</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32</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February</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75</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24</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103</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March</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157</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0</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35</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195</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April</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894</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15</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145</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1056</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May</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193</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39</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237</w:t>
                  </w:r>
                </w:p>
              </w:tc>
            </w:tr>
            <w:tr w:rsidR="00DC74F7" w:rsidRPr="00736749" w:rsidTr="000D0308">
              <w:trPr>
                <w:trHeight w:val="300"/>
              </w:trPr>
              <w:tc>
                <w:tcPr>
                  <w:tcW w:w="1060" w:type="dxa"/>
                  <w:shd w:val="clear" w:color="auto" w:fill="auto"/>
                  <w:noWrap/>
                  <w:vAlign w:val="bottom"/>
                  <w:hideMark/>
                </w:tcPr>
                <w:p w:rsidR="00DC74F7" w:rsidRPr="00736749" w:rsidRDefault="00DC74F7" w:rsidP="00DC74F7">
                  <w:pPr>
                    <w:spacing w:after="0" w:line="240" w:lineRule="auto"/>
                    <w:rPr>
                      <w:rFonts w:ascii="Calibri" w:eastAsia="Times New Roman" w:hAnsi="Calibri" w:cs="Calibri"/>
                      <w:color w:val="000000"/>
                      <w:sz w:val="20"/>
                      <w:szCs w:val="20"/>
                    </w:rPr>
                  </w:pPr>
                  <w:r w:rsidRPr="00736749">
                    <w:rPr>
                      <w:rFonts w:ascii="Calibri" w:eastAsia="Times New Roman" w:hAnsi="Calibri" w:cs="Calibri"/>
                      <w:color w:val="000000"/>
                      <w:sz w:val="20"/>
                      <w:szCs w:val="20"/>
                    </w:rPr>
                    <w:t>June</w:t>
                  </w:r>
                </w:p>
              </w:tc>
              <w:tc>
                <w:tcPr>
                  <w:tcW w:w="130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15</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0</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1</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7</w:t>
                  </w:r>
                </w:p>
              </w:tc>
              <w:tc>
                <w:tcPr>
                  <w:tcW w:w="820" w:type="dxa"/>
                  <w:shd w:val="clear" w:color="auto" w:fill="auto"/>
                  <w:noWrap/>
                  <w:vAlign w:val="bottom"/>
                  <w:hideMark/>
                </w:tcPr>
                <w:p w:rsidR="00DC74F7" w:rsidRPr="00736749" w:rsidRDefault="00DC74F7" w:rsidP="00DC74F7">
                  <w:pPr>
                    <w:spacing w:after="0" w:line="240" w:lineRule="auto"/>
                    <w:jc w:val="center"/>
                    <w:rPr>
                      <w:rFonts w:ascii="Calibri" w:eastAsia="Times New Roman" w:hAnsi="Calibri" w:cs="Calibri"/>
                      <w:color w:val="000000"/>
                      <w:sz w:val="20"/>
                      <w:szCs w:val="20"/>
                    </w:rPr>
                  </w:pPr>
                  <w:r w:rsidRPr="00736749">
                    <w:rPr>
                      <w:rFonts w:ascii="Calibri" w:eastAsia="Times New Roman" w:hAnsi="Calibri" w:cs="Calibri"/>
                      <w:color w:val="000000"/>
                      <w:sz w:val="20"/>
                      <w:szCs w:val="20"/>
                    </w:rPr>
                    <w:t>23</w:t>
                  </w:r>
                </w:p>
              </w:tc>
            </w:tr>
          </w:tbl>
          <w:p w:rsidR="00DC74F7" w:rsidRPr="00736749" w:rsidRDefault="00DC74F7" w:rsidP="00DC74F7">
            <w:pPr>
              <w:rPr>
                <w:color w:val="FF0000"/>
              </w:rPr>
            </w:pPr>
          </w:p>
        </w:tc>
        <w:tc>
          <w:tcPr>
            <w:tcW w:w="1470" w:type="dxa"/>
            <w:vAlign w:val="center"/>
          </w:tcPr>
          <w:p w:rsidR="00DC74F7" w:rsidRPr="00736749" w:rsidRDefault="00DC74F7" w:rsidP="00DC74F7">
            <w:pPr>
              <w:jc w:val="center"/>
              <w:rPr>
                <w:sz w:val="20"/>
                <w:szCs w:val="20"/>
              </w:rPr>
            </w:pPr>
            <w:r w:rsidRPr="00736749">
              <w:t>IV.EE.3</w:t>
            </w:r>
          </w:p>
        </w:tc>
        <w:tc>
          <w:tcPr>
            <w:tcW w:w="818" w:type="dxa"/>
            <w:vAlign w:val="center"/>
          </w:tcPr>
          <w:p w:rsidR="00DC74F7" w:rsidRPr="00736749" w:rsidRDefault="00DC74F7" w:rsidP="00DC74F7">
            <w:pPr>
              <w:jc w:val="center"/>
              <w:rPr>
                <w:sz w:val="20"/>
                <w:szCs w:val="20"/>
              </w:rPr>
            </w:pPr>
            <w:r w:rsidRPr="00736749">
              <w:rPr>
                <w:sz w:val="20"/>
                <w:szCs w:val="20"/>
              </w:rPr>
              <w:t>119</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116</w:t>
            </w:r>
          </w:p>
        </w:tc>
        <w:tc>
          <w:tcPr>
            <w:tcW w:w="2735" w:type="dxa"/>
            <w:vAlign w:val="center"/>
          </w:tcPr>
          <w:p w:rsidR="00DC74F7" w:rsidRPr="00736749" w:rsidRDefault="00DC74F7" w:rsidP="00DC74F7">
            <w:r w:rsidRPr="00736749">
              <w:t>How many students will require braille, large print, and Spanish translations?</w:t>
            </w:r>
          </w:p>
        </w:tc>
        <w:tc>
          <w:tcPr>
            <w:tcW w:w="7065" w:type="dxa"/>
            <w:vAlign w:val="center"/>
          </w:tcPr>
          <w:tbl>
            <w:tblPr>
              <w:tblW w:w="5228" w:type="dxa"/>
              <w:tblCellMar>
                <w:left w:w="0" w:type="dxa"/>
                <w:right w:w="0" w:type="dxa"/>
              </w:tblCellMar>
              <w:tblLook w:val="04A0" w:firstRow="1" w:lastRow="0" w:firstColumn="1" w:lastColumn="0" w:noHBand="0" w:noVBand="1"/>
            </w:tblPr>
            <w:tblGrid>
              <w:gridCol w:w="1601"/>
              <w:gridCol w:w="1209"/>
              <w:gridCol w:w="1209"/>
              <w:gridCol w:w="1209"/>
            </w:tblGrid>
            <w:tr w:rsidR="00DC74F7" w:rsidRPr="00736749" w:rsidTr="000034DA">
              <w:trPr>
                <w:trHeight w:hRule="exact" w:val="360"/>
              </w:trPr>
              <w:tc>
                <w:tcPr>
                  <w:tcW w:w="1601"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DC74F7" w:rsidRPr="00736749" w:rsidRDefault="00DC74F7" w:rsidP="00DC74F7">
                  <w:pPr>
                    <w:jc w:val="center"/>
                    <w:rPr>
                      <w:b/>
                      <w:bCs/>
                      <w:color w:val="000000"/>
                    </w:rPr>
                  </w:pPr>
                  <w:r w:rsidRPr="00736749">
                    <w:rPr>
                      <w:b/>
                      <w:bCs/>
                      <w:color w:val="000000"/>
                    </w:rPr>
                    <w:t>Content/Grade Grade/</w:t>
                  </w:r>
                </w:p>
              </w:tc>
              <w:tc>
                <w:tcPr>
                  <w:tcW w:w="1209"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DC74F7" w:rsidRPr="00736749" w:rsidRDefault="00DC74F7" w:rsidP="00DC74F7">
                  <w:pPr>
                    <w:jc w:val="center"/>
                    <w:rPr>
                      <w:b/>
                      <w:bCs/>
                      <w:color w:val="000000"/>
                    </w:rPr>
                  </w:pPr>
                  <w:r w:rsidRPr="00736749">
                    <w:rPr>
                      <w:b/>
                      <w:bCs/>
                      <w:color w:val="000000"/>
                    </w:rPr>
                    <w:t>Large Print</w:t>
                  </w:r>
                </w:p>
              </w:tc>
              <w:tc>
                <w:tcPr>
                  <w:tcW w:w="1209" w:type="dxa"/>
                  <w:tcBorders>
                    <w:top w:val="single" w:sz="8" w:space="0" w:color="auto"/>
                    <w:left w:val="nil"/>
                    <w:bottom w:val="single" w:sz="8" w:space="0" w:color="auto"/>
                    <w:right w:val="single" w:sz="8" w:space="0" w:color="auto"/>
                  </w:tcBorders>
                  <w:shd w:val="clear" w:color="auto" w:fill="D9E1F2"/>
                </w:tcPr>
                <w:p w:rsidR="00DC74F7" w:rsidRPr="00736749" w:rsidRDefault="00DC74F7" w:rsidP="00DC74F7">
                  <w:pPr>
                    <w:jc w:val="center"/>
                    <w:rPr>
                      <w:b/>
                      <w:bCs/>
                      <w:color w:val="000000"/>
                    </w:rPr>
                  </w:pPr>
                  <w:r w:rsidRPr="00736749">
                    <w:rPr>
                      <w:b/>
                      <w:bCs/>
                      <w:color w:val="000000"/>
                    </w:rPr>
                    <w:t>Braille</w:t>
                  </w:r>
                </w:p>
              </w:tc>
              <w:tc>
                <w:tcPr>
                  <w:tcW w:w="1209" w:type="dxa"/>
                  <w:tcBorders>
                    <w:top w:val="single" w:sz="8" w:space="0" w:color="auto"/>
                    <w:left w:val="nil"/>
                    <w:bottom w:val="single" w:sz="8" w:space="0" w:color="auto"/>
                    <w:right w:val="single" w:sz="8" w:space="0" w:color="auto"/>
                  </w:tcBorders>
                  <w:shd w:val="clear" w:color="auto" w:fill="D9E1F2"/>
                </w:tcPr>
                <w:p w:rsidR="00DC74F7" w:rsidRPr="00736749" w:rsidRDefault="00DC74F7" w:rsidP="00DC74F7">
                  <w:pPr>
                    <w:jc w:val="center"/>
                    <w:rPr>
                      <w:b/>
                      <w:bCs/>
                      <w:color w:val="000000"/>
                    </w:rPr>
                  </w:pPr>
                  <w:r w:rsidRPr="00736749">
                    <w:rPr>
                      <w:b/>
                      <w:bCs/>
                      <w:color w:val="000000"/>
                    </w:rPr>
                    <w:t>Spanish</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4F7" w:rsidRPr="00736749" w:rsidRDefault="00DC74F7" w:rsidP="00DC74F7">
                  <w:pPr>
                    <w:jc w:val="center"/>
                  </w:pPr>
                  <w:r w:rsidRPr="00736749">
                    <w:t>ELA 3</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6</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3</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4F7" w:rsidRPr="00736749" w:rsidRDefault="00DC74F7" w:rsidP="00DC74F7">
                  <w:pPr>
                    <w:jc w:val="center"/>
                  </w:pPr>
                  <w:r w:rsidRPr="00736749">
                    <w:t>ELA 4</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7</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4F7" w:rsidRPr="00736749" w:rsidRDefault="00DC74F7" w:rsidP="00DC74F7">
                  <w:pPr>
                    <w:jc w:val="center"/>
                  </w:pPr>
                  <w:r w:rsidRPr="00736749">
                    <w:t>ELA 5</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4</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3</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4F7" w:rsidRPr="00736749" w:rsidRDefault="00DC74F7" w:rsidP="00DC74F7">
                  <w:pPr>
                    <w:jc w:val="center"/>
                  </w:pPr>
                  <w:r w:rsidRPr="00736749">
                    <w:t>ELA 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8</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4F7" w:rsidRPr="00736749" w:rsidRDefault="00DC74F7" w:rsidP="00DC74F7">
                  <w:pPr>
                    <w:jc w:val="center"/>
                  </w:pPr>
                  <w:r w:rsidRPr="00736749">
                    <w:t>ELA 7</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8</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2</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74F7" w:rsidRPr="00736749" w:rsidRDefault="00DC74F7" w:rsidP="00DC74F7">
                  <w:pPr>
                    <w:jc w:val="center"/>
                  </w:pPr>
                  <w:r w:rsidRPr="00736749">
                    <w:t>ELA 8</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3</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6</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ELA 11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6</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NA</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Math 3</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7</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3</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645</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Math 4</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7</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479</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Math 5</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5</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2</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155</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Math 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8</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163</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Math 7</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8</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2</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206</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Math 8</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3</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3</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222</w:t>
                  </w:r>
                </w:p>
              </w:tc>
            </w:tr>
            <w:tr w:rsidR="00DC74F7" w:rsidRPr="00736749" w:rsidTr="000034DA">
              <w:trPr>
                <w:trHeight w:hRule="exact" w:val="360"/>
              </w:trPr>
              <w:tc>
                <w:tcPr>
                  <w:tcW w:w="16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proofErr w:type="spellStart"/>
                  <w:r w:rsidRPr="00736749">
                    <w:t>Alg</w:t>
                  </w:r>
                  <w:proofErr w:type="spellEnd"/>
                  <w:r w:rsidRPr="00736749">
                    <w:t xml:space="preserve"> 2 &amp; Geo</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C74F7" w:rsidRPr="00736749" w:rsidRDefault="00DC74F7" w:rsidP="00DC74F7">
                  <w:pPr>
                    <w:jc w:val="center"/>
                  </w:pPr>
                  <w:r w:rsidRPr="00736749">
                    <w:t>10</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1</w:t>
                  </w:r>
                </w:p>
              </w:tc>
              <w:tc>
                <w:tcPr>
                  <w:tcW w:w="1209" w:type="dxa"/>
                  <w:tcBorders>
                    <w:top w:val="nil"/>
                    <w:left w:val="nil"/>
                    <w:bottom w:val="single" w:sz="8" w:space="0" w:color="auto"/>
                    <w:right w:val="single" w:sz="8" w:space="0" w:color="auto"/>
                  </w:tcBorders>
                </w:tcPr>
                <w:p w:rsidR="00DC74F7" w:rsidRPr="00736749" w:rsidRDefault="00DC74F7" w:rsidP="00DC74F7">
                  <w:pPr>
                    <w:jc w:val="center"/>
                  </w:pPr>
                  <w:r w:rsidRPr="00736749">
                    <w:t>367</w:t>
                  </w:r>
                </w:p>
              </w:tc>
            </w:tr>
          </w:tbl>
          <w:p w:rsidR="00DC74F7" w:rsidRPr="00736749" w:rsidRDefault="00DC74F7" w:rsidP="00DC74F7">
            <w:r w:rsidRPr="00736749">
              <w:t xml:space="preserve">The above chart shows the number of assessments taken in the Spring 2018 administration. </w:t>
            </w:r>
          </w:p>
        </w:tc>
        <w:tc>
          <w:tcPr>
            <w:tcW w:w="1470" w:type="dxa"/>
            <w:vAlign w:val="center"/>
          </w:tcPr>
          <w:p w:rsidR="00DC74F7" w:rsidRPr="00736749" w:rsidRDefault="00DC74F7" w:rsidP="00DC74F7">
            <w:pPr>
              <w:jc w:val="center"/>
              <w:rPr>
                <w:sz w:val="20"/>
                <w:szCs w:val="20"/>
              </w:rPr>
            </w:pP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t>117</w:t>
            </w:r>
          </w:p>
        </w:tc>
        <w:tc>
          <w:tcPr>
            <w:tcW w:w="2735" w:type="dxa"/>
            <w:vAlign w:val="center"/>
          </w:tcPr>
          <w:p w:rsidR="00DC74F7" w:rsidRPr="00736749" w:rsidRDefault="00DC74F7" w:rsidP="00DC74F7">
            <w:pPr>
              <w:pStyle w:val="TableText0"/>
              <w:rPr>
                <w:rFonts w:eastAsiaTheme="minorEastAsia"/>
              </w:rPr>
            </w:pPr>
            <w:r w:rsidRPr="00736749">
              <w:rPr>
                <w:rFonts w:eastAsiaTheme="minorEastAsia"/>
              </w:rPr>
              <w:t xml:space="preserve">Is there a specific requirement for the number of mathematics tools that should be created? </w:t>
            </w:r>
          </w:p>
          <w:p w:rsidR="00DC74F7" w:rsidRPr="00736749" w:rsidRDefault="00DC74F7" w:rsidP="00DC74F7">
            <w:r w:rsidRPr="00736749">
              <w:t>Are these tools available only for paper testers?</w:t>
            </w:r>
          </w:p>
          <w:p w:rsidR="00DC74F7" w:rsidRPr="00736749" w:rsidRDefault="00DC74F7" w:rsidP="00DC74F7">
            <w:r w:rsidRPr="00736749">
              <w:t>What is the anticipated quantity needed for each of these tools?</w:t>
            </w:r>
          </w:p>
        </w:tc>
        <w:tc>
          <w:tcPr>
            <w:tcW w:w="7065" w:type="dxa"/>
            <w:vAlign w:val="center"/>
          </w:tcPr>
          <w:p w:rsidR="00DC74F7" w:rsidRPr="00736749" w:rsidRDefault="00DC74F7" w:rsidP="00DC74F7">
            <w:r w:rsidRPr="00736749">
              <w:t xml:space="preserve">There is not a specific requirement for the number of mathematic tools. The tools should be available to both online test-takers as well as paper testers. See Table 15 in Amendment No. 2 for quantity of paper tools. </w:t>
            </w:r>
          </w:p>
        </w:tc>
        <w:tc>
          <w:tcPr>
            <w:tcW w:w="1470" w:type="dxa"/>
            <w:vAlign w:val="center"/>
          </w:tcPr>
          <w:p w:rsidR="00DC74F7" w:rsidRPr="00736749" w:rsidRDefault="00DC74F7" w:rsidP="00DC74F7">
            <w:pPr>
              <w:jc w:val="center"/>
              <w:rPr>
                <w:sz w:val="20"/>
                <w:szCs w:val="20"/>
              </w:rPr>
            </w:pPr>
            <w:r w:rsidRPr="00736749">
              <w:rPr>
                <w:sz w:val="20"/>
                <w:szCs w:val="20"/>
              </w:rPr>
              <w:t>IV.H.3</w:t>
            </w:r>
          </w:p>
        </w:tc>
        <w:tc>
          <w:tcPr>
            <w:tcW w:w="818" w:type="dxa"/>
            <w:vAlign w:val="center"/>
          </w:tcPr>
          <w:p w:rsidR="00DC74F7" w:rsidRPr="00736749" w:rsidRDefault="00DC74F7" w:rsidP="00DC74F7">
            <w:pPr>
              <w:jc w:val="center"/>
              <w:rPr>
                <w:sz w:val="20"/>
                <w:szCs w:val="20"/>
              </w:rPr>
            </w:pPr>
            <w:r w:rsidRPr="00736749">
              <w:rPr>
                <w:sz w:val="20"/>
                <w:szCs w:val="20"/>
              </w:rPr>
              <w:t>42</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118</w:t>
            </w:r>
          </w:p>
        </w:tc>
        <w:tc>
          <w:tcPr>
            <w:tcW w:w="2735" w:type="dxa"/>
            <w:vAlign w:val="center"/>
          </w:tcPr>
          <w:p w:rsidR="00DC74F7" w:rsidRPr="00736749" w:rsidRDefault="00DC74F7" w:rsidP="00DC74F7">
            <w:pPr>
              <w:pStyle w:val="TableText0"/>
              <w:rPr>
                <w:rFonts w:eastAsiaTheme="minorEastAsia"/>
              </w:rPr>
            </w:pPr>
            <w:r w:rsidRPr="00736749">
              <w:rPr>
                <w:rFonts w:eastAsiaTheme="minorEastAsia"/>
              </w:rPr>
              <w:t xml:space="preserve">Should the vendor plan to print and ship all required manuals, or does the state prefer manuals that are developed and print-ready accessible? </w:t>
            </w:r>
          </w:p>
        </w:tc>
        <w:tc>
          <w:tcPr>
            <w:tcW w:w="7065" w:type="dxa"/>
            <w:vAlign w:val="center"/>
          </w:tcPr>
          <w:p w:rsidR="00DC74F7" w:rsidRPr="00736749" w:rsidRDefault="00DC74F7" w:rsidP="00DC74F7">
            <w:r w:rsidRPr="00736749">
              <w:t xml:space="preserve">DTC manuals and Test Administrator manuals should be printed and shipped, at a minimum. </w:t>
            </w:r>
          </w:p>
        </w:tc>
        <w:tc>
          <w:tcPr>
            <w:tcW w:w="1470" w:type="dxa"/>
            <w:vAlign w:val="center"/>
          </w:tcPr>
          <w:p w:rsidR="00DC74F7" w:rsidRPr="00736749" w:rsidRDefault="00DC74F7" w:rsidP="00DC74F7">
            <w:pPr>
              <w:jc w:val="center"/>
              <w:rPr>
                <w:sz w:val="20"/>
                <w:szCs w:val="20"/>
              </w:rPr>
            </w:pPr>
            <w:r w:rsidRPr="00736749">
              <w:rPr>
                <w:sz w:val="20"/>
                <w:szCs w:val="20"/>
              </w:rPr>
              <w:t>IV.V.4</w:t>
            </w:r>
          </w:p>
        </w:tc>
        <w:tc>
          <w:tcPr>
            <w:tcW w:w="818" w:type="dxa"/>
            <w:vAlign w:val="center"/>
          </w:tcPr>
          <w:p w:rsidR="00DC74F7" w:rsidRPr="00736749" w:rsidRDefault="00DC74F7" w:rsidP="00DC74F7">
            <w:pPr>
              <w:jc w:val="center"/>
              <w:rPr>
                <w:sz w:val="20"/>
                <w:szCs w:val="20"/>
              </w:rPr>
            </w:pPr>
            <w:r w:rsidRPr="00736749">
              <w:rPr>
                <w:sz w:val="20"/>
                <w:szCs w:val="20"/>
              </w:rPr>
              <w:t>93-94</w:t>
            </w:r>
          </w:p>
        </w:tc>
      </w:tr>
      <w:tr w:rsidR="00DC74F7" w:rsidRPr="00736749" w:rsidTr="00847156">
        <w:trPr>
          <w:cantSplit/>
        </w:trPr>
        <w:tc>
          <w:tcPr>
            <w:tcW w:w="1228" w:type="dxa"/>
            <w:vAlign w:val="center"/>
          </w:tcPr>
          <w:p w:rsidR="00DC74F7" w:rsidRPr="00736749" w:rsidRDefault="00DC74F7" w:rsidP="00DC74F7">
            <w:pPr>
              <w:jc w:val="center"/>
            </w:pPr>
            <w:r w:rsidRPr="00736749">
              <w:t>119</w:t>
            </w:r>
          </w:p>
        </w:tc>
        <w:tc>
          <w:tcPr>
            <w:tcW w:w="2735" w:type="dxa"/>
            <w:vAlign w:val="center"/>
          </w:tcPr>
          <w:p w:rsidR="00DC74F7" w:rsidRPr="00736749" w:rsidRDefault="00DC74F7" w:rsidP="00DC74F7">
            <w:r w:rsidRPr="00736749">
              <w:t xml:space="preserve">In Table 9, and on page 24, the platform and operations for local summative and interim assessments are mentioned. Can the State provide more details regarding this component of the bid? i.e., what are the different types of assessments offered locally, what is the function of the vendor in dealing with local assessments with districts and schools, </w:t>
            </w:r>
            <w:proofErr w:type="gramStart"/>
            <w:r w:rsidRPr="00736749">
              <w:t>etc.</w:t>
            </w:r>
            <w:proofErr w:type="gramEnd"/>
            <w:r w:rsidRPr="00736749">
              <w:t xml:space="preserve"> The lack of detail currently will make this component very difficult to price and compare among vendors.</w:t>
            </w:r>
          </w:p>
          <w:p w:rsidR="00DC74F7" w:rsidRPr="00736749" w:rsidRDefault="00DC74F7" w:rsidP="00DC74F7">
            <w:pPr>
              <w:pStyle w:val="TableText0"/>
              <w:rPr>
                <w:rFonts w:eastAsiaTheme="minorEastAsia"/>
              </w:rPr>
            </w:pPr>
          </w:p>
        </w:tc>
        <w:tc>
          <w:tcPr>
            <w:tcW w:w="7065" w:type="dxa"/>
            <w:vAlign w:val="center"/>
          </w:tcPr>
          <w:p w:rsidR="00DC74F7" w:rsidRPr="00736749" w:rsidRDefault="00DC74F7" w:rsidP="00DC74F7">
            <w:r w:rsidRPr="00736749">
              <w:t>The interim assessments, offered on the same testing platform as the grades 3-8 summative math and language arts assessments, would be developed by the contractor, with modules that local school districts and charter scho</w:t>
            </w:r>
            <w:r w:rsidR="005603F5">
              <w:t>ols could adopt as they saw fit.</w:t>
            </w:r>
            <w:r w:rsidRPr="00736749">
              <w:t xml:space="preserve"> </w:t>
            </w:r>
            <w:r w:rsidR="005603F5">
              <w:t>The modules could be administered</w:t>
            </w:r>
            <w:r w:rsidRPr="00736749">
              <w:t xml:space="preserve"> in a time frame that fits their instructional calendar. The contractor would not be responsible for developing local assessments, only providing a platform for assessments developed and/or offered locally.</w:t>
            </w:r>
          </w:p>
          <w:p w:rsidR="00DC74F7" w:rsidRPr="00736749" w:rsidRDefault="00DC74F7" w:rsidP="00DC74F7"/>
        </w:tc>
        <w:tc>
          <w:tcPr>
            <w:tcW w:w="1470" w:type="dxa"/>
            <w:vAlign w:val="center"/>
          </w:tcPr>
          <w:p w:rsidR="00DC74F7" w:rsidRPr="00736749" w:rsidRDefault="00DC74F7" w:rsidP="00DC74F7">
            <w:pPr>
              <w:jc w:val="center"/>
              <w:rPr>
                <w:sz w:val="20"/>
                <w:szCs w:val="20"/>
              </w:rPr>
            </w:pPr>
            <w:r w:rsidRPr="00736749">
              <w:rPr>
                <w:sz w:val="20"/>
                <w:szCs w:val="20"/>
              </w:rPr>
              <w:t>IV.A</w:t>
            </w:r>
          </w:p>
        </w:tc>
        <w:tc>
          <w:tcPr>
            <w:tcW w:w="818" w:type="dxa"/>
            <w:vAlign w:val="center"/>
          </w:tcPr>
          <w:p w:rsidR="00DC74F7" w:rsidRPr="00736749" w:rsidRDefault="00DC74F7" w:rsidP="00DC74F7">
            <w:pPr>
              <w:jc w:val="center"/>
              <w:rPr>
                <w:sz w:val="20"/>
                <w:szCs w:val="20"/>
              </w:rPr>
            </w:pPr>
            <w:r w:rsidRPr="00736749">
              <w:rPr>
                <w:sz w:val="20"/>
                <w:szCs w:val="20"/>
              </w:rPr>
              <w:t>23-24</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120</w:t>
            </w:r>
          </w:p>
        </w:tc>
        <w:tc>
          <w:tcPr>
            <w:tcW w:w="2735" w:type="dxa"/>
            <w:vAlign w:val="center"/>
          </w:tcPr>
          <w:p w:rsidR="00DC74F7" w:rsidRPr="00736749" w:rsidRDefault="00DC74F7" w:rsidP="00DC74F7">
            <w:r w:rsidRPr="00736749">
              <w:t xml:space="preserve">Please confirm how vendors are to organize/submit confidential/ proprietary information.  </w:t>
            </w:r>
          </w:p>
          <w:p w:rsidR="00DC74F7" w:rsidRPr="00736749" w:rsidRDefault="00DC74F7" w:rsidP="00DC74F7"/>
          <w:p w:rsidR="00DC74F7" w:rsidRPr="00736749" w:rsidRDefault="00DC74F7" w:rsidP="00DC74F7">
            <w:pPr>
              <w:pStyle w:val="ListParagraph"/>
              <w:numPr>
                <w:ilvl w:val="0"/>
                <w:numId w:val="12"/>
              </w:numPr>
              <w:spacing w:after="0" w:line="240" w:lineRule="auto"/>
              <w:rPr>
                <w:rFonts w:eastAsiaTheme="minorEastAsia"/>
              </w:rPr>
            </w:pPr>
            <w:r w:rsidRPr="00736749">
              <w:rPr>
                <w:rFonts w:eastAsiaTheme="minorEastAsia"/>
              </w:rPr>
              <w:t>11</w:t>
            </w:r>
            <w:proofErr w:type="gramStart"/>
            <w:r w:rsidRPr="00736749">
              <w:rPr>
                <w:rFonts w:eastAsiaTheme="minorEastAsia"/>
              </w:rPr>
              <w:t>.C.8</w:t>
            </w:r>
            <w:proofErr w:type="gramEnd"/>
            <w:r w:rsidRPr="00736749">
              <w:rPr>
                <w:rFonts w:eastAsiaTheme="minorEastAsia"/>
              </w:rPr>
              <w:t xml:space="preserve"> says proposals should have their proprietary/confidential information “readily separable” from the proposal. </w:t>
            </w:r>
          </w:p>
          <w:p w:rsidR="00DC74F7" w:rsidRPr="00736749" w:rsidRDefault="00DC74F7" w:rsidP="00DC74F7"/>
          <w:p w:rsidR="00DC74F7" w:rsidRPr="00736749" w:rsidRDefault="00DC74F7" w:rsidP="00DC74F7">
            <w:pPr>
              <w:pStyle w:val="ListParagraph"/>
              <w:numPr>
                <w:ilvl w:val="0"/>
                <w:numId w:val="12"/>
              </w:numPr>
              <w:spacing w:after="0" w:line="240" w:lineRule="auto"/>
              <w:rPr>
                <w:rFonts w:eastAsiaTheme="minorEastAsia"/>
              </w:rPr>
            </w:pPr>
            <w:r w:rsidRPr="00736749">
              <w:rPr>
                <w:rFonts w:eastAsiaTheme="minorEastAsia"/>
              </w:rPr>
              <w:t>III.B.1 says the information should be “blacked out.”</w:t>
            </w:r>
          </w:p>
          <w:p w:rsidR="00DC74F7" w:rsidRPr="00736749" w:rsidRDefault="00DC74F7" w:rsidP="00DC74F7"/>
          <w:p w:rsidR="00DC74F7" w:rsidRPr="00736749" w:rsidRDefault="00DC74F7" w:rsidP="00DC74F7">
            <w:pPr>
              <w:pStyle w:val="ListParagraph"/>
              <w:numPr>
                <w:ilvl w:val="0"/>
                <w:numId w:val="12"/>
              </w:numPr>
              <w:spacing w:after="0" w:line="240" w:lineRule="auto"/>
              <w:rPr>
                <w:rFonts w:eastAsiaTheme="minorEastAsia"/>
              </w:rPr>
            </w:pPr>
            <w:r w:rsidRPr="00736749">
              <w:rPr>
                <w:rFonts w:eastAsiaTheme="minorEastAsia"/>
              </w:rPr>
              <w:t xml:space="preserve">III.C.1 says it should be placed in the “Confidential Information Binder.” </w:t>
            </w:r>
          </w:p>
          <w:p w:rsidR="00DC74F7" w:rsidRPr="00736749" w:rsidRDefault="00DC74F7" w:rsidP="00DC74F7"/>
          <w:p w:rsidR="00DC74F7" w:rsidRPr="00736749" w:rsidRDefault="00DC74F7" w:rsidP="00DC74F7">
            <w:r w:rsidRPr="00736749">
              <w:t>If the state wants vendors to black out confidential information, and vendors submit an appendix that is entirely confidential (e.g., financial statements or sample items), do vendors need to black out the entire document?</w:t>
            </w:r>
          </w:p>
        </w:tc>
        <w:tc>
          <w:tcPr>
            <w:tcW w:w="7065" w:type="dxa"/>
            <w:vAlign w:val="center"/>
          </w:tcPr>
          <w:p w:rsidR="00DC74F7" w:rsidRPr="00736749" w:rsidRDefault="007A0458" w:rsidP="00DC74F7">
            <w:r>
              <w:t>Offerors should provide a r</w:t>
            </w:r>
            <w:r w:rsidR="00DC74F7" w:rsidRPr="00736749">
              <w:t xml:space="preserve">edacted version (information blacked out and not omitted or removed) for the public file. One redacted original should be submitted and one (1) electronic copy of the proposal containing ONLY the Redacted Technical Proposal on a separate USB flash drive. In addition to the redacted version, an offeror must provide one original </w:t>
            </w:r>
            <w:proofErr w:type="spellStart"/>
            <w:r w:rsidR="00DC74F7" w:rsidRPr="00736749">
              <w:t>unredacted</w:t>
            </w:r>
            <w:proofErr w:type="spellEnd"/>
            <w:r w:rsidR="00DC74F7" w:rsidRPr="00736749">
              <w:t xml:space="preserve"> proposal and 5 hard copies of the </w:t>
            </w:r>
            <w:proofErr w:type="spellStart"/>
            <w:r w:rsidR="00DC74F7" w:rsidRPr="00736749">
              <w:t>unredacted</w:t>
            </w:r>
            <w:proofErr w:type="spellEnd"/>
            <w:r w:rsidR="00DC74F7" w:rsidRPr="00736749">
              <w:t xml:space="preserve"> proposal for evaluation purposes. When the file is made public, the </w:t>
            </w:r>
            <w:proofErr w:type="spellStart"/>
            <w:r w:rsidR="00DC74F7" w:rsidRPr="00736749">
              <w:t>unredacted</w:t>
            </w:r>
            <w:proofErr w:type="spellEnd"/>
            <w:r w:rsidR="00DC74F7" w:rsidRPr="00736749">
              <w:t xml:space="preserve"> version will be kept confidential. </w:t>
            </w:r>
          </w:p>
          <w:p w:rsidR="00DC74F7" w:rsidRPr="00736749" w:rsidRDefault="00DC74F7" w:rsidP="00DC74F7"/>
        </w:tc>
        <w:tc>
          <w:tcPr>
            <w:tcW w:w="1470" w:type="dxa"/>
            <w:vAlign w:val="center"/>
          </w:tcPr>
          <w:p w:rsidR="00DC74F7" w:rsidRPr="00736749" w:rsidRDefault="00DC74F7" w:rsidP="00DC74F7">
            <w:pPr>
              <w:jc w:val="center"/>
              <w:rPr>
                <w:sz w:val="20"/>
                <w:szCs w:val="20"/>
              </w:rPr>
            </w:pPr>
            <w:r w:rsidRPr="00736749">
              <w:rPr>
                <w:sz w:val="20"/>
                <w:szCs w:val="20"/>
              </w:rPr>
              <w:t>III.B.1</w:t>
            </w:r>
          </w:p>
        </w:tc>
        <w:tc>
          <w:tcPr>
            <w:tcW w:w="818" w:type="dxa"/>
            <w:vAlign w:val="center"/>
          </w:tcPr>
          <w:p w:rsidR="00DC74F7" w:rsidRPr="00736749" w:rsidRDefault="00DC74F7" w:rsidP="00DC74F7">
            <w:pPr>
              <w:jc w:val="center"/>
              <w:rPr>
                <w:sz w:val="20"/>
                <w:szCs w:val="20"/>
              </w:rPr>
            </w:pPr>
            <w:r w:rsidRPr="00736749">
              <w:rPr>
                <w:sz w:val="20"/>
                <w:szCs w:val="20"/>
              </w:rPr>
              <w:t>22</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121</w:t>
            </w:r>
          </w:p>
        </w:tc>
        <w:tc>
          <w:tcPr>
            <w:tcW w:w="2735" w:type="dxa"/>
            <w:vAlign w:val="center"/>
          </w:tcPr>
          <w:p w:rsidR="00DC74F7" w:rsidRPr="00736749" w:rsidRDefault="00DC74F7" w:rsidP="00DC74F7">
            <w:r w:rsidRPr="00736749">
              <w:t>The text leading up to Tables 11 and 12 indicates that there are 16 labels starting with A, however Table 12 only shows A1-A12. Please confirm that Table 12 is correct, and there are no additional categories for A.</w:t>
            </w:r>
          </w:p>
          <w:p w:rsidR="00DC74F7" w:rsidRPr="00736749" w:rsidRDefault="00DC74F7" w:rsidP="00DC74F7"/>
          <w:p w:rsidR="00DC74F7" w:rsidRPr="00736749" w:rsidRDefault="00DC74F7" w:rsidP="00DC74F7">
            <w:r w:rsidRPr="00736749">
              <w:t>Also, there are several references in the OFFEROR RESPONSE boxes to category D9, which does not exist in Table 12. What are the references to D9 referring to?</w:t>
            </w:r>
          </w:p>
        </w:tc>
        <w:tc>
          <w:tcPr>
            <w:tcW w:w="7065" w:type="dxa"/>
            <w:vAlign w:val="center"/>
          </w:tcPr>
          <w:p w:rsidR="00DC74F7" w:rsidRDefault="00DC74F7" w:rsidP="00DC74F7">
            <w:r w:rsidRPr="00736749">
              <w:t>Correct. See Amendment No. 2</w:t>
            </w:r>
          </w:p>
          <w:p w:rsidR="000512B0" w:rsidRDefault="000512B0" w:rsidP="000512B0"/>
          <w:p w:rsidR="000512B0" w:rsidRDefault="000512B0" w:rsidP="000512B0"/>
          <w:p w:rsidR="000512B0" w:rsidRDefault="000512B0" w:rsidP="000512B0"/>
          <w:p w:rsidR="000512B0" w:rsidRDefault="000512B0" w:rsidP="000512B0"/>
          <w:p w:rsidR="000512B0" w:rsidRPr="00736749" w:rsidRDefault="000512B0" w:rsidP="000512B0">
            <w:r>
              <w:t>All references to service group D9 should be replaced with D7.</w:t>
            </w:r>
            <w:r w:rsidR="0092003E">
              <w:t xml:space="preserve"> See Amendment No. 2</w:t>
            </w:r>
          </w:p>
        </w:tc>
        <w:tc>
          <w:tcPr>
            <w:tcW w:w="1470" w:type="dxa"/>
            <w:vAlign w:val="center"/>
          </w:tcPr>
          <w:p w:rsidR="00DC74F7" w:rsidRPr="000512B0" w:rsidRDefault="00DC74F7" w:rsidP="00DC74F7">
            <w:pPr>
              <w:jc w:val="center"/>
            </w:pPr>
            <w:r w:rsidRPr="000512B0">
              <w:t>IV.A</w:t>
            </w:r>
          </w:p>
        </w:tc>
        <w:tc>
          <w:tcPr>
            <w:tcW w:w="818" w:type="dxa"/>
            <w:vAlign w:val="center"/>
          </w:tcPr>
          <w:p w:rsidR="00DC74F7" w:rsidRPr="000512B0" w:rsidRDefault="00DC74F7" w:rsidP="00DC74F7">
            <w:pPr>
              <w:jc w:val="center"/>
            </w:pPr>
            <w:r w:rsidRPr="000512B0">
              <w:t>23</w:t>
            </w:r>
          </w:p>
        </w:tc>
      </w:tr>
      <w:tr w:rsidR="00DC74F7" w:rsidRPr="00736749" w:rsidTr="00847156">
        <w:trPr>
          <w:cantSplit/>
        </w:trPr>
        <w:tc>
          <w:tcPr>
            <w:tcW w:w="1228" w:type="dxa"/>
            <w:vAlign w:val="center"/>
          </w:tcPr>
          <w:p w:rsidR="00DC74F7" w:rsidRPr="00736749" w:rsidRDefault="00DC74F7" w:rsidP="00DC74F7">
            <w:pPr>
              <w:jc w:val="center"/>
            </w:pPr>
            <w:r w:rsidRPr="00736749">
              <w:t>122</w:t>
            </w:r>
          </w:p>
        </w:tc>
        <w:tc>
          <w:tcPr>
            <w:tcW w:w="2735" w:type="dxa"/>
            <w:vAlign w:val="center"/>
          </w:tcPr>
          <w:p w:rsidR="00DC74F7" w:rsidRPr="00736749" w:rsidRDefault="00DC74F7" w:rsidP="00DC74F7">
            <w:r w:rsidRPr="00736749">
              <w:t>The RFP requests that the Offeror “precisely and clearly identify any proprietary information requests,” as part of the Executive Summary. Please give an example of what a proprietary information request means in this context.</w:t>
            </w:r>
          </w:p>
        </w:tc>
        <w:tc>
          <w:tcPr>
            <w:tcW w:w="7065" w:type="dxa"/>
            <w:vAlign w:val="center"/>
          </w:tcPr>
          <w:p w:rsidR="00DC74F7" w:rsidRPr="00736749" w:rsidRDefault="00DC74F7" w:rsidP="00DC74F7">
            <w:r w:rsidRPr="00736749">
              <w:t>For example, if the Offeror requests its financial statement remain proprietary, it must be so indicated in the executive summary.</w:t>
            </w:r>
          </w:p>
        </w:tc>
        <w:tc>
          <w:tcPr>
            <w:tcW w:w="1470" w:type="dxa"/>
            <w:vAlign w:val="center"/>
          </w:tcPr>
          <w:p w:rsidR="00DC74F7" w:rsidRPr="000512B0" w:rsidRDefault="00DC74F7" w:rsidP="00DC74F7">
            <w:pPr>
              <w:jc w:val="center"/>
            </w:pPr>
            <w:r w:rsidRPr="000512B0">
              <w:t>IV.C</w:t>
            </w:r>
          </w:p>
        </w:tc>
        <w:tc>
          <w:tcPr>
            <w:tcW w:w="818" w:type="dxa"/>
            <w:vAlign w:val="center"/>
          </w:tcPr>
          <w:p w:rsidR="00DC74F7" w:rsidRPr="000512B0" w:rsidRDefault="00DC74F7" w:rsidP="00DC74F7">
            <w:pPr>
              <w:jc w:val="center"/>
            </w:pPr>
            <w:r w:rsidRPr="000512B0">
              <w:t>30</w:t>
            </w:r>
          </w:p>
        </w:tc>
      </w:tr>
      <w:tr w:rsidR="00DC74F7" w:rsidRPr="00736749" w:rsidTr="00847156">
        <w:trPr>
          <w:cantSplit/>
        </w:trPr>
        <w:tc>
          <w:tcPr>
            <w:tcW w:w="1228" w:type="dxa"/>
            <w:vAlign w:val="center"/>
          </w:tcPr>
          <w:p w:rsidR="00DC74F7" w:rsidRPr="00736749" w:rsidRDefault="00DC74F7" w:rsidP="00DC74F7">
            <w:pPr>
              <w:jc w:val="center"/>
            </w:pPr>
            <w:r w:rsidRPr="00736749">
              <w:t>123</w:t>
            </w:r>
          </w:p>
        </w:tc>
        <w:tc>
          <w:tcPr>
            <w:tcW w:w="2735" w:type="dxa"/>
            <w:vAlign w:val="center"/>
          </w:tcPr>
          <w:p w:rsidR="00DC74F7" w:rsidRPr="00736749" w:rsidRDefault="00DC74F7" w:rsidP="00DC74F7">
            <w:r w:rsidRPr="00736749">
              <w:t>Please confirm that the date in the first line of Table 19 should read October 1, 2019, not 2020.</w:t>
            </w:r>
          </w:p>
        </w:tc>
        <w:tc>
          <w:tcPr>
            <w:tcW w:w="7065" w:type="dxa"/>
            <w:vAlign w:val="center"/>
          </w:tcPr>
          <w:p w:rsidR="00DC74F7" w:rsidRPr="00736749" w:rsidRDefault="00DC74F7" w:rsidP="00DC74F7">
            <w:r w:rsidRPr="00736749">
              <w:rPr>
                <w:rFonts w:cstheme="minorHAnsi"/>
              </w:rPr>
              <w:t>Yes, this should be Oct</w:t>
            </w:r>
            <w:r w:rsidR="00085290">
              <w:rPr>
                <w:rFonts w:cstheme="minorHAnsi"/>
              </w:rPr>
              <w:t>ober</w:t>
            </w:r>
            <w:r w:rsidRPr="00736749">
              <w:rPr>
                <w:rFonts w:cstheme="minorHAnsi"/>
              </w:rPr>
              <w:t xml:space="preserve"> 1, 2019. Please see Amendment No. 2.</w:t>
            </w:r>
          </w:p>
        </w:tc>
        <w:tc>
          <w:tcPr>
            <w:tcW w:w="1470" w:type="dxa"/>
            <w:vAlign w:val="center"/>
          </w:tcPr>
          <w:p w:rsidR="00DC74F7" w:rsidRPr="00736749" w:rsidRDefault="00DC74F7" w:rsidP="00DC74F7">
            <w:pPr>
              <w:jc w:val="center"/>
              <w:rPr>
                <w:rFonts w:cstheme="minorHAnsi"/>
              </w:rPr>
            </w:pPr>
            <w:r w:rsidRPr="00736749">
              <w:rPr>
                <w:rFonts w:cstheme="minorHAnsi"/>
              </w:rPr>
              <w:t>IV.L</w:t>
            </w:r>
          </w:p>
        </w:tc>
        <w:tc>
          <w:tcPr>
            <w:tcW w:w="818" w:type="dxa"/>
            <w:vAlign w:val="center"/>
          </w:tcPr>
          <w:p w:rsidR="00DC74F7" w:rsidRPr="00736749" w:rsidRDefault="00DC74F7" w:rsidP="00DC74F7">
            <w:pPr>
              <w:jc w:val="center"/>
              <w:rPr>
                <w:rFonts w:cstheme="minorHAnsi"/>
              </w:rPr>
            </w:pPr>
            <w:r w:rsidRPr="00736749">
              <w:rPr>
                <w:rFonts w:cstheme="minorHAnsi"/>
              </w:rPr>
              <w:t>56</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124</w:t>
            </w:r>
          </w:p>
        </w:tc>
        <w:tc>
          <w:tcPr>
            <w:tcW w:w="2735" w:type="dxa"/>
            <w:vAlign w:val="center"/>
          </w:tcPr>
          <w:p w:rsidR="00DC74F7" w:rsidRPr="00736749" w:rsidRDefault="00DC74F7" w:rsidP="00DC74F7">
            <w:r w:rsidRPr="00736749">
              <w:t>The RFP indicates that there is a 3-week assessment window in the fall for high schools on a block schedule and seniors needing to retake the grade 11 assessment for graduation credit. It is our assumption that the college entrance exam will be serving as the grade 11 assessment under this new contract. Will the college entrance exam be used as a graduation requirement? Please clarify whether the fall assessment window will actually be required under this new contract.</w:t>
            </w:r>
          </w:p>
        </w:tc>
        <w:tc>
          <w:tcPr>
            <w:tcW w:w="7065" w:type="dxa"/>
            <w:vAlign w:val="center"/>
          </w:tcPr>
          <w:p w:rsidR="00DC74F7" w:rsidRPr="00736749" w:rsidRDefault="00DC74F7" w:rsidP="00DC74F7">
            <w:r w:rsidRPr="00736749">
              <w:t xml:space="preserve">It has not been determined if the assessment will remain a graduation requirement. If it does remain, a fall window will be required under this contract and PED recognizes that windows may be more limited with a high school college entrance exam. </w:t>
            </w:r>
          </w:p>
          <w:p w:rsidR="00DC74F7" w:rsidRPr="00736749" w:rsidRDefault="00DC74F7" w:rsidP="00DC74F7">
            <w:r w:rsidRPr="00736749">
              <w:t>Assuming that a fall administration uses a voucher for a regular administration paid for by the state, all data from that fall administration provided after a spring administration would need to be returned to the state.</w:t>
            </w:r>
          </w:p>
          <w:p w:rsidR="00DC74F7" w:rsidRPr="00736749" w:rsidRDefault="00DC74F7" w:rsidP="00DC74F7">
            <w:r w:rsidRPr="00736749">
              <w:t xml:space="preserve">If the high school assessment does not follow an end-of-course model, fall block schedule will not require a fall window. </w:t>
            </w:r>
          </w:p>
        </w:tc>
        <w:tc>
          <w:tcPr>
            <w:tcW w:w="1470" w:type="dxa"/>
            <w:vAlign w:val="center"/>
          </w:tcPr>
          <w:p w:rsidR="00DC74F7" w:rsidRPr="00736749" w:rsidRDefault="00DC74F7" w:rsidP="00DC74F7">
            <w:pPr>
              <w:jc w:val="center"/>
              <w:rPr>
                <w:sz w:val="20"/>
                <w:szCs w:val="20"/>
              </w:rPr>
            </w:pPr>
            <w:r w:rsidRPr="00736749">
              <w:rPr>
                <w:sz w:val="20"/>
                <w:szCs w:val="20"/>
              </w:rPr>
              <w:t>IV.L</w:t>
            </w:r>
          </w:p>
        </w:tc>
        <w:tc>
          <w:tcPr>
            <w:tcW w:w="818" w:type="dxa"/>
            <w:vAlign w:val="center"/>
          </w:tcPr>
          <w:p w:rsidR="00DC74F7" w:rsidRPr="00736749" w:rsidRDefault="00DC74F7" w:rsidP="00DC74F7">
            <w:pPr>
              <w:jc w:val="center"/>
              <w:rPr>
                <w:sz w:val="20"/>
                <w:szCs w:val="20"/>
              </w:rPr>
            </w:pPr>
            <w:r w:rsidRPr="00736749">
              <w:rPr>
                <w:sz w:val="20"/>
                <w:szCs w:val="20"/>
              </w:rPr>
              <w:t>56</w:t>
            </w:r>
          </w:p>
        </w:tc>
      </w:tr>
      <w:tr w:rsidR="00DC74F7" w:rsidRPr="00736749" w:rsidTr="00847156">
        <w:trPr>
          <w:cantSplit/>
        </w:trPr>
        <w:tc>
          <w:tcPr>
            <w:tcW w:w="1228" w:type="dxa"/>
            <w:vAlign w:val="center"/>
          </w:tcPr>
          <w:p w:rsidR="00DC74F7" w:rsidRPr="00736749" w:rsidRDefault="00DC74F7" w:rsidP="00DC74F7">
            <w:pPr>
              <w:jc w:val="center"/>
            </w:pPr>
            <w:r w:rsidRPr="00736749">
              <w:t>125</w:t>
            </w:r>
          </w:p>
        </w:tc>
        <w:tc>
          <w:tcPr>
            <w:tcW w:w="2735" w:type="dxa"/>
            <w:vAlign w:val="center"/>
          </w:tcPr>
          <w:p w:rsidR="00DC74F7" w:rsidRPr="00736749" w:rsidRDefault="00DC74F7" w:rsidP="00DC74F7">
            <w:r w:rsidRPr="00736749">
              <w:t xml:space="preserve">Section </w:t>
            </w:r>
            <w:r w:rsidRPr="00736749">
              <w:rPr>
                <w:rFonts w:cstheme="minorHAnsi"/>
              </w:rPr>
              <w:t xml:space="preserve">IV.S.8.a.i </w:t>
            </w:r>
            <w:r w:rsidRPr="00736749">
              <w:t>starts with “with the exception of the college admission assessment,” but then lists D2 in the OFFEROR RESPONSE box. Please confirm that D2 is listed in error.</w:t>
            </w:r>
          </w:p>
          <w:p w:rsidR="00DC74F7" w:rsidRPr="00736749" w:rsidRDefault="00DC74F7" w:rsidP="00DC74F7"/>
          <w:p w:rsidR="00DC74F7" w:rsidRPr="00736749" w:rsidRDefault="00DC74F7" w:rsidP="00DC74F7">
            <w:r w:rsidRPr="00736749">
              <w:t>This also applies to section IV.S.9.a.</w:t>
            </w:r>
          </w:p>
        </w:tc>
        <w:tc>
          <w:tcPr>
            <w:tcW w:w="7065" w:type="dxa"/>
            <w:vAlign w:val="center"/>
          </w:tcPr>
          <w:p w:rsidR="00DC74F7" w:rsidRPr="00736749" w:rsidRDefault="00DC74F7" w:rsidP="00DC74F7">
            <w:r w:rsidRPr="00736749">
              <w:t>Correct</w:t>
            </w:r>
            <w:r w:rsidR="00987BCD" w:rsidRPr="00736749">
              <w:t>. Please see Amendment No. 2.</w:t>
            </w:r>
          </w:p>
        </w:tc>
        <w:tc>
          <w:tcPr>
            <w:tcW w:w="1470" w:type="dxa"/>
            <w:vAlign w:val="center"/>
          </w:tcPr>
          <w:p w:rsidR="00DC74F7" w:rsidRPr="00736749" w:rsidRDefault="00987BCD" w:rsidP="00DC74F7">
            <w:pPr>
              <w:jc w:val="center"/>
              <w:rPr>
                <w:sz w:val="20"/>
                <w:szCs w:val="20"/>
              </w:rPr>
            </w:pPr>
            <w:r w:rsidRPr="00736749">
              <w:rPr>
                <w:sz w:val="20"/>
                <w:szCs w:val="20"/>
              </w:rPr>
              <w:t>IV.S.8.a.i</w:t>
            </w:r>
          </w:p>
          <w:p w:rsidR="00987BCD" w:rsidRPr="00736749" w:rsidRDefault="00987BCD" w:rsidP="00DC74F7">
            <w:pPr>
              <w:jc w:val="center"/>
              <w:rPr>
                <w:sz w:val="20"/>
                <w:szCs w:val="20"/>
              </w:rPr>
            </w:pPr>
          </w:p>
          <w:p w:rsidR="00987BCD" w:rsidRPr="00736749" w:rsidRDefault="00987BCD" w:rsidP="00DC74F7">
            <w:pPr>
              <w:jc w:val="center"/>
              <w:rPr>
                <w:sz w:val="20"/>
                <w:szCs w:val="20"/>
              </w:rPr>
            </w:pPr>
          </w:p>
          <w:p w:rsidR="00987BCD" w:rsidRPr="00736749" w:rsidRDefault="00987BCD" w:rsidP="00DC74F7">
            <w:pPr>
              <w:jc w:val="center"/>
              <w:rPr>
                <w:sz w:val="20"/>
                <w:szCs w:val="20"/>
              </w:rPr>
            </w:pPr>
            <w:r w:rsidRPr="00736749">
              <w:rPr>
                <w:sz w:val="20"/>
                <w:szCs w:val="20"/>
              </w:rPr>
              <w:t>IV.S.9.a</w:t>
            </w:r>
          </w:p>
        </w:tc>
        <w:tc>
          <w:tcPr>
            <w:tcW w:w="818" w:type="dxa"/>
            <w:vAlign w:val="center"/>
          </w:tcPr>
          <w:p w:rsidR="00DC74F7" w:rsidRPr="00736749" w:rsidRDefault="00987BCD" w:rsidP="00DC74F7">
            <w:pPr>
              <w:jc w:val="center"/>
              <w:rPr>
                <w:sz w:val="20"/>
                <w:szCs w:val="20"/>
              </w:rPr>
            </w:pPr>
            <w:r w:rsidRPr="00736749">
              <w:rPr>
                <w:sz w:val="20"/>
                <w:szCs w:val="20"/>
              </w:rPr>
              <w:t>77</w:t>
            </w:r>
          </w:p>
          <w:p w:rsidR="00987BCD" w:rsidRPr="00736749" w:rsidRDefault="00987BCD" w:rsidP="00DC74F7">
            <w:pPr>
              <w:jc w:val="center"/>
              <w:rPr>
                <w:sz w:val="20"/>
                <w:szCs w:val="20"/>
              </w:rPr>
            </w:pPr>
          </w:p>
          <w:p w:rsidR="00987BCD" w:rsidRPr="00736749" w:rsidRDefault="00987BCD" w:rsidP="00DC74F7">
            <w:pPr>
              <w:jc w:val="center"/>
              <w:rPr>
                <w:sz w:val="20"/>
                <w:szCs w:val="20"/>
              </w:rPr>
            </w:pPr>
          </w:p>
          <w:p w:rsidR="00987BCD" w:rsidRPr="00736749" w:rsidRDefault="00987BCD" w:rsidP="00DC74F7">
            <w:pPr>
              <w:jc w:val="center"/>
              <w:rPr>
                <w:sz w:val="20"/>
                <w:szCs w:val="20"/>
              </w:rPr>
            </w:pPr>
            <w:r w:rsidRPr="00736749">
              <w:rPr>
                <w:sz w:val="20"/>
                <w:szCs w:val="20"/>
              </w:rPr>
              <w:t>79</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126</w:t>
            </w:r>
          </w:p>
        </w:tc>
        <w:tc>
          <w:tcPr>
            <w:tcW w:w="2735" w:type="dxa"/>
            <w:vAlign w:val="center"/>
          </w:tcPr>
          <w:p w:rsidR="00DC74F7" w:rsidRPr="00736749" w:rsidRDefault="00DC74F7" w:rsidP="00DC74F7">
            <w:r w:rsidRPr="00736749">
              <w:t xml:space="preserve">There is no OFFEROR RESPONSE box following subheading </w:t>
            </w:r>
            <w:r w:rsidRPr="00736749">
              <w:rPr>
                <w:rFonts w:cstheme="minorHAnsi"/>
              </w:rPr>
              <w:t>IV.Y.3.c</w:t>
            </w:r>
            <w:r w:rsidRPr="00736749">
              <w:t>.</w:t>
            </w:r>
          </w:p>
          <w:p w:rsidR="00DC74F7" w:rsidRPr="00736749" w:rsidRDefault="00DC74F7" w:rsidP="00DC74F7"/>
          <w:p w:rsidR="00DC74F7" w:rsidRPr="00736749" w:rsidRDefault="00DC74F7" w:rsidP="00DC74F7">
            <w:r w:rsidRPr="00736749">
              <w:t>Should vendors add a response box?</w:t>
            </w:r>
          </w:p>
        </w:tc>
        <w:tc>
          <w:tcPr>
            <w:tcW w:w="7065" w:type="dxa"/>
            <w:vAlign w:val="center"/>
          </w:tcPr>
          <w:p w:rsidR="00DC74F7" w:rsidRPr="00736749" w:rsidRDefault="00DC74F7" w:rsidP="00DC74F7">
            <w:pPr>
              <w:rPr>
                <w:rFonts w:cstheme="minorHAnsi"/>
                <w:bCs/>
              </w:rPr>
            </w:pPr>
            <w:r w:rsidRPr="00736749">
              <w:rPr>
                <w:rFonts w:cstheme="minorHAnsi"/>
                <w:b/>
                <w:bCs/>
              </w:rPr>
              <w:t xml:space="preserve">For IV.Y.3.c  </w:t>
            </w:r>
          </w:p>
          <w:p w:rsidR="00DC74F7" w:rsidRPr="00736749" w:rsidRDefault="00DC74F7" w:rsidP="00DC74F7">
            <w:pPr>
              <w:rPr>
                <w:rFonts w:cstheme="minorHAnsi"/>
              </w:rPr>
            </w:pP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6849"/>
            </w:tblGrid>
            <w:tr w:rsidR="00DC74F7" w:rsidRPr="00736749" w:rsidTr="001A356D">
              <w:trPr>
                <w:cantSplit/>
                <w:tblHeader/>
              </w:trPr>
              <w:tc>
                <w:tcPr>
                  <w:tcW w:w="5000" w:type="pct"/>
                  <w:shd w:val="clear" w:color="auto" w:fill="7F7F7F" w:themeFill="text1" w:themeFillTint="80"/>
                </w:tcPr>
                <w:p w:rsidR="00DC74F7" w:rsidRPr="00736749" w:rsidRDefault="00DC74F7" w:rsidP="00DC74F7">
                  <w:r w:rsidRPr="00736749">
                    <w:rPr>
                      <w:rStyle w:val="TableContents"/>
                    </w:rPr>
                    <w:fldChar w:fldCharType="begin"/>
                  </w:r>
                  <w:r w:rsidRPr="00736749">
                    <w:instrText xml:space="preserve"> REF response_box_header  \* MERGEFORMAT </w:instrText>
                  </w:r>
                  <w:r w:rsidRPr="00736749">
                    <w:rPr>
                      <w:rStyle w:val="TableContents"/>
                    </w:rPr>
                    <w:fldChar w:fldCharType="separate"/>
                  </w:r>
                  <w:r w:rsidRPr="00736749">
                    <w:rPr>
                      <w:b/>
                      <w:caps/>
                      <w:color w:val="FFFFFF" w:themeColor="background1"/>
                    </w:rPr>
                    <w:t>Offeror RESPONSE</w:t>
                  </w:r>
                  <w:r w:rsidRPr="00736749">
                    <w:rPr>
                      <w:rStyle w:val="TableContents"/>
                    </w:rPr>
                    <w:fldChar w:fldCharType="end"/>
                  </w:r>
                </w:p>
              </w:tc>
            </w:tr>
            <w:tr w:rsidR="00DC74F7" w:rsidRPr="00736749" w:rsidTr="001A356D">
              <w:trPr>
                <w:cantSplit/>
                <w:tblHeader/>
              </w:trPr>
              <w:tc>
                <w:tcPr>
                  <w:tcW w:w="5000" w:type="pct"/>
                  <w:shd w:val="clear" w:color="auto" w:fill="E5DFEC" w:themeFill="accent4" w:themeFillTint="33"/>
                </w:tcPr>
                <w:p w:rsidR="00DC74F7" w:rsidRPr="00736749" w:rsidRDefault="00DC74F7" w:rsidP="00DC74F7">
                  <w:pPr>
                    <w:rPr>
                      <w:rStyle w:val="TableContents"/>
                      <w:i/>
                      <w:iCs/>
                    </w:rPr>
                  </w:pPr>
                  <w:r w:rsidRPr="00736749">
                    <w:rPr>
                      <w:rStyle w:val="TableContents"/>
                      <w:i/>
                      <w:iCs/>
                    </w:rPr>
                    <w:t>Applicable to service group(s) A10.</w:t>
                  </w:r>
                </w:p>
              </w:tc>
            </w:tr>
            <w:tr w:rsidR="00DC74F7" w:rsidRPr="00736749" w:rsidTr="001A356D">
              <w:tc>
                <w:tcPr>
                  <w:tcW w:w="5000" w:type="pct"/>
                </w:tcPr>
                <w:p w:rsidR="00DC74F7" w:rsidRPr="00736749" w:rsidRDefault="00DC74F7" w:rsidP="00DC74F7"/>
              </w:tc>
            </w:tr>
          </w:tbl>
          <w:p w:rsidR="00DC74F7" w:rsidRPr="00736749" w:rsidRDefault="00DC74F7" w:rsidP="00DC74F7">
            <w:r w:rsidRPr="00736749">
              <w:t>Noted in Amendment No. 2.</w:t>
            </w:r>
          </w:p>
        </w:tc>
        <w:tc>
          <w:tcPr>
            <w:tcW w:w="1470" w:type="dxa"/>
            <w:vAlign w:val="center"/>
          </w:tcPr>
          <w:p w:rsidR="00DC74F7" w:rsidRPr="00736749" w:rsidRDefault="00DC74F7" w:rsidP="00DC74F7">
            <w:pPr>
              <w:jc w:val="center"/>
              <w:rPr>
                <w:sz w:val="20"/>
                <w:szCs w:val="20"/>
              </w:rPr>
            </w:pPr>
            <w:r w:rsidRPr="00736749">
              <w:rPr>
                <w:sz w:val="20"/>
                <w:szCs w:val="20"/>
              </w:rPr>
              <w:t>IV.Y.3.c</w:t>
            </w:r>
          </w:p>
        </w:tc>
        <w:tc>
          <w:tcPr>
            <w:tcW w:w="818" w:type="dxa"/>
            <w:vAlign w:val="center"/>
          </w:tcPr>
          <w:p w:rsidR="00DC74F7" w:rsidRPr="00736749" w:rsidRDefault="00DC74F7" w:rsidP="00DC74F7">
            <w:pPr>
              <w:jc w:val="center"/>
              <w:rPr>
                <w:sz w:val="20"/>
                <w:szCs w:val="20"/>
              </w:rPr>
            </w:pPr>
            <w:r w:rsidRPr="00736749">
              <w:rPr>
                <w:sz w:val="20"/>
                <w:szCs w:val="20"/>
              </w:rPr>
              <w:t>104</w:t>
            </w:r>
          </w:p>
        </w:tc>
      </w:tr>
      <w:tr w:rsidR="00DC74F7" w:rsidRPr="00736749" w:rsidTr="00847156">
        <w:trPr>
          <w:cantSplit/>
        </w:trPr>
        <w:tc>
          <w:tcPr>
            <w:tcW w:w="1228" w:type="dxa"/>
            <w:vAlign w:val="center"/>
          </w:tcPr>
          <w:p w:rsidR="00DC74F7" w:rsidRPr="00736749" w:rsidRDefault="00DC74F7" w:rsidP="00DC74F7">
            <w:pPr>
              <w:jc w:val="center"/>
            </w:pPr>
            <w:r w:rsidRPr="00736749">
              <w:t>127</w:t>
            </w:r>
          </w:p>
        </w:tc>
        <w:tc>
          <w:tcPr>
            <w:tcW w:w="2735" w:type="dxa"/>
            <w:vAlign w:val="center"/>
          </w:tcPr>
          <w:p w:rsidR="00DC74F7" w:rsidRPr="00736749" w:rsidRDefault="00DC74F7" w:rsidP="00DC74F7">
            <w:r w:rsidRPr="00736749">
              <w:t>Does the content for the “guide to answering questions of interest (questions identified via stakeholder feedback)” already exist? Is this like an FAQ document?</w:t>
            </w:r>
          </w:p>
        </w:tc>
        <w:tc>
          <w:tcPr>
            <w:tcW w:w="7065" w:type="dxa"/>
            <w:vAlign w:val="center"/>
          </w:tcPr>
          <w:p w:rsidR="00DC74F7" w:rsidRPr="00736749" w:rsidRDefault="00DC74F7" w:rsidP="00DC74F7">
            <w:r w:rsidRPr="00736749">
              <w:t xml:space="preserve">This does not already exist. It is to be developed by the Offeror. </w:t>
            </w:r>
          </w:p>
        </w:tc>
        <w:tc>
          <w:tcPr>
            <w:tcW w:w="1470" w:type="dxa"/>
            <w:vAlign w:val="center"/>
          </w:tcPr>
          <w:p w:rsidR="00DC74F7" w:rsidRPr="00736749" w:rsidRDefault="00DC74F7" w:rsidP="00DC74F7">
            <w:pPr>
              <w:jc w:val="center"/>
              <w:rPr>
                <w:sz w:val="20"/>
                <w:szCs w:val="20"/>
              </w:rPr>
            </w:pPr>
            <w:r w:rsidRPr="00736749">
              <w:rPr>
                <w:sz w:val="20"/>
                <w:szCs w:val="20"/>
              </w:rPr>
              <w:t>Table 22</w:t>
            </w:r>
          </w:p>
        </w:tc>
        <w:tc>
          <w:tcPr>
            <w:tcW w:w="818" w:type="dxa"/>
            <w:vAlign w:val="center"/>
          </w:tcPr>
          <w:p w:rsidR="00DC74F7" w:rsidRPr="00736749" w:rsidRDefault="00DC74F7" w:rsidP="00DC74F7">
            <w:pPr>
              <w:jc w:val="center"/>
              <w:rPr>
                <w:sz w:val="20"/>
                <w:szCs w:val="20"/>
              </w:rPr>
            </w:pPr>
            <w:r w:rsidRPr="00736749">
              <w:rPr>
                <w:sz w:val="20"/>
                <w:szCs w:val="20"/>
              </w:rPr>
              <w:t>123</w:t>
            </w:r>
          </w:p>
        </w:tc>
      </w:tr>
      <w:tr w:rsidR="00DC74F7" w:rsidRPr="00736749" w:rsidTr="00847156">
        <w:trPr>
          <w:cantSplit/>
        </w:trPr>
        <w:tc>
          <w:tcPr>
            <w:tcW w:w="1228" w:type="dxa"/>
            <w:vAlign w:val="center"/>
          </w:tcPr>
          <w:p w:rsidR="00DC74F7" w:rsidRPr="00736749" w:rsidRDefault="00DC74F7" w:rsidP="00DC74F7">
            <w:pPr>
              <w:jc w:val="center"/>
            </w:pPr>
            <w:r w:rsidRPr="00736749">
              <w:t>128</w:t>
            </w:r>
          </w:p>
        </w:tc>
        <w:tc>
          <w:tcPr>
            <w:tcW w:w="2735" w:type="dxa"/>
          </w:tcPr>
          <w:p w:rsidR="00DC74F7" w:rsidRPr="00736749" w:rsidRDefault="00DC74F7" w:rsidP="00DC74F7">
            <w:r w:rsidRPr="00736749">
              <w:t>Article 3C. Taxes:  will the Contractor be reimbursed for applicable New Mexico gross receipts taxes associated with this contract?</w:t>
            </w:r>
          </w:p>
        </w:tc>
        <w:tc>
          <w:tcPr>
            <w:tcW w:w="7065" w:type="dxa"/>
            <w:vAlign w:val="center"/>
          </w:tcPr>
          <w:p w:rsidR="00DC74F7" w:rsidRPr="00736749" w:rsidRDefault="00DC74F7" w:rsidP="00DC74F7">
            <w:r w:rsidRPr="00736749">
              <w:t>The agency should provide the awarded contractor(s) proof of tax exemption. PED will pay the taxes for any services that are not tax exempt.</w:t>
            </w:r>
          </w:p>
        </w:tc>
        <w:tc>
          <w:tcPr>
            <w:tcW w:w="1470" w:type="dxa"/>
            <w:vAlign w:val="center"/>
          </w:tcPr>
          <w:p w:rsidR="00DC74F7" w:rsidRPr="00736749" w:rsidRDefault="00987BCD" w:rsidP="00DC74F7">
            <w:pPr>
              <w:jc w:val="center"/>
              <w:rPr>
                <w:sz w:val="20"/>
                <w:szCs w:val="20"/>
              </w:rPr>
            </w:pPr>
            <w:r w:rsidRPr="00736749">
              <w:rPr>
                <w:sz w:val="20"/>
                <w:szCs w:val="20"/>
              </w:rPr>
              <w:t>Article 3</w:t>
            </w:r>
          </w:p>
        </w:tc>
        <w:tc>
          <w:tcPr>
            <w:tcW w:w="818" w:type="dxa"/>
            <w:vAlign w:val="center"/>
          </w:tcPr>
          <w:p w:rsidR="00DC74F7" w:rsidRPr="00736749" w:rsidRDefault="00987BCD" w:rsidP="00DC74F7">
            <w:pPr>
              <w:jc w:val="center"/>
              <w:rPr>
                <w:sz w:val="20"/>
                <w:szCs w:val="20"/>
              </w:rPr>
            </w:pPr>
            <w:r w:rsidRPr="00736749">
              <w:rPr>
                <w:sz w:val="20"/>
                <w:szCs w:val="20"/>
              </w:rPr>
              <w:t>136</w:t>
            </w:r>
          </w:p>
        </w:tc>
      </w:tr>
      <w:tr w:rsidR="00DC74F7" w:rsidRPr="00736749" w:rsidTr="00847156">
        <w:trPr>
          <w:cantSplit/>
        </w:trPr>
        <w:tc>
          <w:tcPr>
            <w:tcW w:w="1228" w:type="dxa"/>
            <w:vAlign w:val="center"/>
          </w:tcPr>
          <w:p w:rsidR="00DC74F7" w:rsidRPr="00736749" w:rsidRDefault="00DC74F7" w:rsidP="00DC74F7">
            <w:pPr>
              <w:jc w:val="center"/>
            </w:pPr>
            <w:r w:rsidRPr="00736749">
              <w:t>129</w:t>
            </w:r>
          </w:p>
        </w:tc>
        <w:tc>
          <w:tcPr>
            <w:tcW w:w="2735" w:type="dxa"/>
          </w:tcPr>
          <w:p w:rsidR="00DC74F7" w:rsidRPr="00736749" w:rsidRDefault="00DC74F7" w:rsidP="00DC74F7">
            <w:r w:rsidRPr="00736749">
              <w:t>What will the required amount of the performance bond be for this contract?</w:t>
            </w:r>
          </w:p>
        </w:tc>
        <w:tc>
          <w:tcPr>
            <w:tcW w:w="7065" w:type="dxa"/>
            <w:vAlign w:val="center"/>
          </w:tcPr>
          <w:p w:rsidR="00DC74F7" w:rsidRPr="00736749" w:rsidRDefault="00DC74F7" w:rsidP="00DC74F7">
            <w:r w:rsidRPr="00736749">
              <w:t xml:space="preserve">We cannot provide an amount that will be required. Offeror needs to confirm that one can be secured if needed. </w:t>
            </w:r>
          </w:p>
        </w:tc>
        <w:tc>
          <w:tcPr>
            <w:tcW w:w="1470" w:type="dxa"/>
            <w:vAlign w:val="center"/>
          </w:tcPr>
          <w:p w:rsidR="00DC74F7" w:rsidRPr="00736749" w:rsidRDefault="00DC74F7" w:rsidP="00DC74F7">
            <w:pPr>
              <w:jc w:val="center"/>
              <w:rPr>
                <w:sz w:val="20"/>
                <w:szCs w:val="20"/>
              </w:rPr>
            </w:pPr>
            <w:r w:rsidRPr="00736749">
              <w:rPr>
                <w:sz w:val="20"/>
                <w:szCs w:val="20"/>
              </w:rPr>
              <w:t>VI.B</w:t>
            </w:r>
          </w:p>
        </w:tc>
        <w:tc>
          <w:tcPr>
            <w:tcW w:w="818" w:type="dxa"/>
            <w:vAlign w:val="center"/>
          </w:tcPr>
          <w:p w:rsidR="00DC74F7" w:rsidRPr="00736749" w:rsidRDefault="00DC74F7" w:rsidP="00DC74F7">
            <w:pPr>
              <w:jc w:val="center"/>
              <w:rPr>
                <w:sz w:val="20"/>
                <w:szCs w:val="20"/>
              </w:rPr>
            </w:pPr>
            <w:r w:rsidRPr="00736749">
              <w:rPr>
                <w:sz w:val="20"/>
                <w:szCs w:val="20"/>
              </w:rPr>
              <w:t>127</w:t>
            </w: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130</w:t>
            </w:r>
          </w:p>
        </w:tc>
        <w:tc>
          <w:tcPr>
            <w:tcW w:w="2735" w:type="dxa"/>
          </w:tcPr>
          <w:p w:rsidR="00DC74F7" w:rsidRPr="00736749" w:rsidRDefault="00DC74F7" w:rsidP="00DC74F7">
            <w:r w:rsidRPr="00736749">
              <w:t>Second paragraph, page 28 states “Therefore, the cost proposal workbook is structured to group costs into the groups shown in Table 12</w:t>
            </w:r>
            <w:proofErr w:type="gramStart"/>
            <w:r w:rsidRPr="00736749">
              <w:t>..”</w:t>
            </w:r>
            <w:proofErr w:type="gramEnd"/>
            <w:r w:rsidRPr="00736749">
              <w:t>.  However, nowhere in the cost proposal workbook, or the instructions to the cost proposal workbook, is there any reference to any of the Service Groups shown in Table 12.  Rather, the cost proposal workbook seems to be organized around the deliverables associated with the “Category of Service” descriptions described across the top of Table 12.  Is PED expecting the Offeror to complete a separate cost proposal workbook for each of the 8 service groups (or each of the service groups that the Offeror elects to bid) in order to provide discrete costing for each?</w:t>
            </w:r>
          </w:p>
        </w:tc>
        <w:tc>
          <w:tcPr>
            <w:tcW w:w="7065" w:type="dxa"/>
            <w:vAlign w:val="center"/>
          </w:tcPr>
          <w:p w:rsidR="00DC74F7" w:rsidRPr="00736749" w:rsidRDefault="00DC74F7" w:rsidP="00DC74F7">
            <w:r w:rsidRPr="00736749">
              <w:t>Columns AK and beyond indicate what service groups each line item is applicable to.</w:t>
            </w:r>
          </w:p>
        </w:tc>
        <w:tc>
          <w:tcPr>
            <w:tcW w:w="1470" w:type="dxa"/>
            <w:vAlign w:val="center"/>
          </w:tcPr>
          <w:p w:rsidR="00DC74F7" w:rsidRPr="00736749" w:rsidRDefault="00DC74F7" w:rsidP="00DC74F7">
            <w:pPr>
              <w:jc w:val="center"/>
              <w:rPr>
                <w:sz w:val="20"/>
                <w:szCs w:val="20"/>
              </w:rPr>
            </w:pP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131</w:t>
            </w:r>
          </w:p>
        </w:tc>
        <w:tc>
          <w:tcPr>
            <w:tcW w:w="2735" w:type="dxa"/>
          </w:tcPr>
          <w:p w:rsidR="00DC74F7" w:rsidRPr="00736749" w:rsidRDefault="00DC74F7" w:rsidP="00DC74F7">
            <w:r w:rsidRPr="00736749">
              <w:t>Second paragraph, page 28 states “Offerors may distinguish their cost proposals via discounts for awarding multiple groups”.  There is no apparent format in the cost proposal workbook to show or apply these discounts, so how would PED like the Offeror to structure these?</w:t>
            </w:r>
          </w:p>
        </w:tc>
        <w:tc>
          <w:tcPr>
            <w:tcW w:w="7065" w:type="dxa"/>
            <w:vAlign w:val="center"/>
          </w:tcPr>
          <w:p w:rsidR="00DC74F7" w:rsidRPr="00736749" w:rsidRDefault="00DC74F7" w:rsidP="00DC74F7">
            <w:r w:rsidRPr="00736749">
              <w:t>Add new rows in the cost proposal.</w:t>
            </w:r>
          </w:p>
        </w:tc>
        <w:tc>
          <w:tcPr>
            <w:tcW w:w="1470" w:type="dxa"/>
            <w:vAlign w:val="center"/>
          </w:tcPr>
          <w:p w:rsidR="00DC74F7" w:rsidRPr="00736749" w:rsidRDefault="00DC74F7" w:rsidP="00DC74F7">
            <w:pPr>
              <w:jc w:val="center"/>
              <w:rPr>
                <w:sz w:val="20"/>
                <w:szCs w:val="20"/>
              </w:rPr>
            </w:pP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t>132</w:t>
            </w:r>
          </w:p>
        </w:tc>
        <w:tc>
          <w:tcPr>
            <w:tcW w:w="2735" w:type="dxa"/>
          </w:tcPr>
          <w:p w:rsidR="00DC74F7" w:rsidRPr="00736749" w:rsidRDefault="00DC74F7" w:rsidP="00DC74F7">
            <w:r w:rsidRPr="00736749">
              <w:t>First sentence, page 59 references a “Primary Contract”, but this is not a defined term.  Which contract is presumed to be the “Primary Contract”?  Is it the contract containing Service Group A?</w:t>
            </w:r>
          </w:p>
        </w:tc>
        <w:tc>
          <w:tcPr>
            <w:tcW w:w="7065" w:type="dxa"/>
            <w:vAlign w:val="center"/>
          </w:tcPr>
          <w:p w:rsidR="00DC74F7" w:rsidRPr="00736749" w:rsidRDefault="00DC74F7" w:rsidP="00DC74F7">
            <w:r w:rsidRPr="00736749">
              <w:t>Yes.</w:t>
            </w:r>
          </w:p>
        </w:tc>
        <w:tc>
          <w:tcPr>
            <w:tcW w:w="1470" w:type="dxa"/>
            <w:vAlign w:val="center"/>
          </w:tcPr>
          <w:p w:rsidR="00DC74F7" w:rsidRPr="00736749" w:rsidRDefault="00DC74F7" w:rsidP="00DC74F7">
            <w:pPr>
              <w:jc w:val="center"/>
              <w:rPr>
                <w:sz w:val="20"/>
                <w:szCs w:val="20"/>
              </w:rPr>
            </w:pPr>
            <w:r w:rsidRPr="00736749">
              <w:rPr>
                <w:sz w:val="20"/>
                <w:szCs w:val="20"/>
              </w:rPr>
              <w:t>IV.O</w:t>
            </w:r>
          </w:p>
        </w:tc>
        <w:tc>
          <w:tcPr>
            <w:tcW w:w="818" w:type="dxa"/>
            <w:vAlign w:val="center"/>
          </w:tcPr>
          <w:p w:rsidR="00DC74F7" w:rsidRPr="00736749" w:rsidRDefault="00DC74F7" w:rsidP="00DC74F7">
            <w:pPr>
              <w:jc w:val="center"/>
              <w:rPr>
                <w:sz w:val="20"/>
                <w:szCs w:val="20"/>
              </w:rPr>
            </w:pPr>
            <w:r w:rsidRPr="00736749">
              <w:rPr>
                <w:sz w:val="20"/>
                <w:szCs w:val="20"/>
              </w:rPr>
              <w:t>59</w:t>
            </w:r>
          </w:p>
        </w:tc>
      </w:tr>
      <w:tr w:rsidR="00DC74F7" w:rsidRPr="00736749" w:rsidTr="00847156">
        <w:trPr>
          <w:cantSplit/>
        </w:trPr>
        <w:tc>
          <w:tcPr>
            <w:tcW w:w="1228" w:type="dxa"/>
            <w:vAlign w:val="center"/>
          </w:tcPr>
          <w:p w:rsidR="00DC74F7" w:rsidRPr="00736749" w:rsidRDefault="00DC74F7" w:rsidP="00DC74F7">
            <w:pPr>
              <w:jc w:val="center"/>
            </w:pPr>
            <w:r w:rsidRPr="00736749">
              <w:t>133</w:t>
            </w:r>
          </w:p>
        </w:tc>
        <w:tc>
          <w:tcPr>
            <w:tcW w:w="2735" w:type="dxa"/>
          </w:tcPr>
          <w:p w:rsidR="00DC74F7" w:rsidRPr="00736749" w:rsidRDefault="00DC74F7" w:rsidP="00DC74F7">
            <w:r w:rsidRPr="00736749">
              <w:t>Will the evaluation of the cost proposals be based only on the total costs for the initial 5 year contract period on the Base tab in the Cost Workbook?</w:t>
            </w:r>
          </w:p>
        </w:tc>
        <w:tc>
          <w:tcPr>
            <w:tcW w:w="7065" w:type="dxa"/>
            <w:vAlign w:val="center"/>
          </w:tcPr>
          <w:p w:rsidR="00DC74F7" w:rsidRPr="00736749" w:rsidRDefault="00DC74F7" w:rsidP="00DC74F7"/>
          <w:p w:rsidR="00DC74F7" w:rsidRPr="00736749" w:rsidRDefault="00DC74F7" w:rsidP="00DC74F7">
            <w:r w:rsidRPr="00736749">
              <w:t>All 10 potential contract years will be included in cost proposal evaluation. Some service groups only involve cost options, so cost options will also be evaluated.</w:t>
            </w:r>
          </w:p>
        </w:tc>
        <w:tc>
          <w:tcPr>
            <w:tcW w:w="1470" w:type="dxa"/>
            <w:vAlign w:val="center"/>
          </w:tcPr>
          <w:p w:rsidR="00DC74F7" w:rsidRPr="00736749" w:rsidRDefault="00DC74F7" w:rsidP="00DC74F7">
            <w:pPr>
              <w:jc w:val="center"/>
              <w:rPr>
                <w:sz w:val="20"/>
                <w:szCs w:val="20"/>
              </w:rPr>
            </w:pP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t>134</w:t>
            </w:r>
          </w:p>
        </w:tc>
        <w:tc>
          <w:tcPr>
            <w:tcW w:w="2735" w:type="dxa"/>
          </w:tcPr>
          <w:p w:rsidR="00DC74F7" w:rsidRPr="00736749" w:rsidRDefault="00DC74F7" w:rsidP="00DC74F7">
            <w:r w:rsidRPr="00736749">
              <w:t>On page 3 of the Model Instructions, it talks about a “Standard Pricing” tab in the Workbook. Should this actually refer to the “Base” tab?</w:t>
            </w:r>
          </w:p>
        </w:tc>
        <w:tc>
          <w:tcPr>
            <w:tcW w:w="7065" w:type="dxa"/>
            <w:vAlign w:val="center"/>
          </w:tcPr>
          <w:p w:rsidR="00DC74F7" w:rsidRPr="00736749" w:rsidRDefault="00DC74F7" w:rsidP="00DC74F7">
            <w:r w:rsidRPr="00736749">
              <w:t>The following language:</w:t>
            </w:r>
          </w:p>
          <w:p w:rsidR="00DC74F7" w:rsidRPr="00736749" w:rsidRDefault="00DC74F7" w:rsidP="00DC74F7"/>
          <w:p w:rsidR="00DC74F7" w:rsidRPr="00736749" w:rsidRDefault="00DC74F7" w:rsidP="00DC74F7">
            <w:pPr>
              <w:rPr>
                <w:rFonts w:eastAsia="Times New Roman" w:cs="Calibri"/>
                <w:bCs/>
                <w:szCs w:val="24"/>
              </w:rPr>
            </w:pPr>
            <w:r w:rsidRPr="00736749">
              <w:rPr>
                <w:rFonts w:eastAsia="Times New Roman" w:cs="Calibri"/>
                <w:bCs/>
                <w:szCs w:val="24"/>
              </w:rPr>
              <w:t>‘It may be appropriate to modify the lines on the "Standard Pricing" worksheet’</w:t>
            </w:r>
          </w:p>
          <w:p w:rsidR="00DC74F7" w:rsidRPr="00736749" w:rsidRDefault="00DC74F7" w:rsidP="00DC74F7"/>
          <w:p w:rsidR="00DC74F7" w:rsidRPr="00736749" w:rsidRDefault="00DC74F7" w:rsidP="00DC74F7">
            <w:r w:rsidRPr="00736749">
              <w:t>should be replaced with the following:</w:t>
            </w:r>
          </w:p>
          <w:p w:rsidR="00DC74F7" w:rsidRPr="00736749" w:rsidRDefault="00DC74F7" w:rsidP="00DC74F7"/>
          <w:p w:rsidR="00DC74F7" w:rsidRPr="00736749" w:rsidRDefault="00DC74F7" w:rsidP="00DC74F7">
            <w:pPr>
              <w:rPr>
                <w:rFonts w:eastAsia="Times New Roman" w:cs="Calibri"/>
                <w:bCs/>
                <w:szCs w:val="24"/>
              </w:rPr>
            </w:pPr>
            <w:r w:rsidRPr="00736749">
              <w:rPr>
                <w:rFonts w:eastAsia="Times New Roman" w:cs="Calibri"/>
                <w:bCs/>
                <w:szCs w:val="24"/>
              </w:rPr>
              <w:t>‘It may be appropriate to modify the lines on the "Base" and/or “Cost Options” worksheets’</w:t>
            </w:r>
          </w:p>
          <w:p w:rsidR="00DC74F7" w:rsidRPr="00736749" w:rsidRDefault="00DC74F7" w:rsidP="00DC74F7">
            <w:r w:rsidRPr="00736749">
              <w:rPr>
                <w:rFonts w:eastAsia="Times New Roman" w:cs="Calibri"/>
                <w:bCs/>
                <w:szCs w:val="24"/>
              </w:rPr>
              <w:t>See Amendment No. 2.</w:t>
            </w:r>
          </w:p>
        </w:tc>
        <w:tc>
          <w:tcPr>
            <w:tcW w:w="1470" w:type="dxa"/>
            <w:vAlign w:val="center"/>
          </w:tcPr>
          <w:p w:rsidR="00DC74F7" w:rsidRPr="00736749" w:rsidRDefault="00987BCD" w:rsidP="00DC74F7">
            <w:pPr>
              <w:jc w:val="center"/>
              <w:rPr>
                <w:sz w:val="20"/>
                <w:szCs w:val="20"/>
              </w:rPr>
            </w:pPr>
            <w:r w:rsidRPr="00736749">
              <w:rPr>
                <w:sz w:val="20"/>
                <w:szCs w:val="20"/>
              </w:rPr>
              <w:t>Cost Proposal instructions</w:t>
            </w: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lastRenderedPageBreak/>
              <w:t>135</w:t>
            </w:r>
          </w:p>
        </w:tc>
        <w:tc>
          <w:tcPr>
            <w:tcW w:w="2735" w:type="dxa"/>
          </w:tcPr>
          <w:p w:rsidR="00DC74F7" w:rsidRPr="00736749" w:rsidRDefault="00DC74F7" w:rsidP="00DC74F7">
            <w:r w:rsidRPr="00736749">
              <w:t>The annual unit volume on the lines for Online Summative Administration is 75,000 for ELA grades 3-8 and Math grades 3-8. Is this correct? This would only be approximately 12,500 per grade.</w:t>
            </w:r>
          </w:p>
        </w:tc>
        <w:tc>
          <w:tcPr>
            <w:tcW w:w="7065" w:type="dxa"/>
            <w:vAlign w:val="center"/>
          </w:tcPr>
          <w:p w:rsidR="00DC74F7" w:rsidRPr="00736749" w:rsidRDefault="00DC74F7" w:rsidP="00DC74F7">
            <w:r w:rsidRPr="00736749">
              <w:t xml:space="preserve">Given that Table 15 has been amended, please replace these numbers with those provided in Table 15 as needed. </w:t>
            </w:r>
          </w:p>
        </w:tc>
        <w:tc>
          <w:tcPr>
            <w:tcW w:w="1470" w:type="dxa"/>
            <w:vAlign w:val="center"/>
          </w:tcPr>
          <w:p w:rsidR="00DC74F7" w:rsidRPr="00736749" w:rsidRDefault="00987BCD" w:rsidP="00DC74F7">
            <w:pPr>
              <w:jc w:val="center"/>
              <w:rPr>
                <w:sz w:val="20"/>
                <w:szCs w:val="20"/>
              </w:rPr>
            </w:pPr>
            <w:r w:rsidRPr="00736749">
              <w:rPr>
                <w:sz w:val="20"/>
                <w:szCs w:val="20"/>
              </w:rPr>
              <w:t>Cost Proposal</w:t>
            </w:r>
          </w:p>
        </w:tc>
        <w:tc>
          <w:tcPr>
            <w:tcW w:w="818" w:type="dxa"/>
            <w:vAlign w:val="center"/>
          </w:tcPr>
          <w:p w:rsidR="00DC74F7" w:rsidRPr="00736749" w:rsidRDefault="00DC74F7" w:rsidP="00DC74F7">
            <w:pPr>
              <w:jc w:val="center"/>
              <w:rPr>
                <w:sz w:val="20"/>
                <w:szCs w:val="20"/>
              </w:rPr>
            </w:pPr>
          </w:p>
        </w:tc>
      </w:tr>
      <w:tr w:rsidR="00DC74F7" w:rsidRPr="00736749" w:rsidTr="00847156">
        <w:trPr>
          <w:cantSplit/>
        </w:trPr>
        <w:tc>
          <w:tcPr>
            <w:tcW w:w="1228" w:type="dxa"/>
            <w:vAlign w:val="center"/>
          </w:tcPr>
          <w:p w:rsidR="00DC74F7" w:rsidRPr="00736749" w:rsidRDefault="00DC74F7" w:rsidP="00DC74F7">
            <w:pPr>
              <w:jc w:val="center"/>
            </w:pPr>
            <w:r w:rsidRPr="00736749">
              <w:t>136</w:t>
            </w:r>
          </w:p>
        </w:tc>
        <w:tc>
          <w:tcPr>
            <w:tcW w:w="2735" w:type="dxa"/>
          </w:tcPr>
          <w:p w:rsidR="00DC74F7" w:rsidRPr="00736749" w:rsidRDefault="00DC74F7" w:rsidP="00DC74F7">
            <w:r w:rsidRPr="00736749">
              <w:t>Will the state clarify what additional funding has been set aside for the new elements of the assessment program?</w:t>
            </w:r>
          </w:p>
        </w:tc>
        <w:tc>
          <w:tcPr>
            <w:tcW w:w="7065" w:type="dxa"/>
            <w:vAlign w:val="center"/>
          </w:tcPr>
          <w:p w:rsidR="00DC74F7" w:rsidRPr="00736749" w:rsidRDefault="00DC74F7" w:rsidP="00DC74F7">
            <w:r w:rsidRPr="00736749">
              <w:t>There are several new components that are optional because PED does not have an expected range of cost and thus cannot confirm whether costs will be within the range of appropriations for statewide assessment. In addition, funding for statewide assessment can vary significantly based on many factors outside PED control. Being optional allows for response to potential changes in appropriations over time.</w:t>
            </w:r>
          </w:p>
        </w:tc>
        <w:tc>
          <w:tcPr>
            <w:tcW w:w="1470" w:type="dxa"/>
            <w:vAlign w:val="center"/>
          </w:tcPr>
          <w:p w:rsidR="00DC74F7" w:rsidRPr="00736749" w:rsidRDefault="00987BCD" w:rsidP="00DC74F7">
            <w:pPr>
              <w:jc w:val="center"/>
              <w:rPr>
                <w:sz w:val="20"/>
                <w:szCs w:val="20"/>
              </w:rPr>
            </w:pPr>
            <w:r w:rsidRPr="00736749">
              <w:rPr>
                <w:sz w:val="20"/>
                <w:szCs w:val="20"/>
              </w:rPr>
              <w:t>IV.F</w:t>
            </w:r>
          </w:p>
        </w:tc>
        <w:tc>
          <w:tcPr>
            <w:tcW w:w="818" w:type="dxa"/>
            <w:vAlign w:val="center"/>
          </w:tcPr>
          <w:p w:rsidR="00DC74F7" w:rsidRPr="00736749" w:rsidRDefault="00987BCD" w:rsidP="00DC74F7">
            <w:pPr>
              <w:jc w:val="center"/>
              <w:rPr>
                <w:sz w:val="20"/>
                <w:szCs w:val="20"/>
              </w:rPr>
            </w:pPr>
            <w:r w:rsidRPr="00736749">
              <w:rPr>
                <w:sz w:val="20"/>
                <w:szCs w:val="20"/>
              </w:rPr>
              <w:t>35</w:t>
            </w:r>
          </w:p>
        </w:tc>
      </w:tr>
      <w:tr w:rsidR="00987BCD" w:rsidRPr="00736749" w:rsidTr="00847156">
        <w:trPr>
          <w:cantSplit/>
        </w:trPr>
        <w:tc>
          <w:tcPr>
            <w:tcW w:w="1228" w:type="dxa"/>
            <w:vAlign w:val="center"/>
          </w:tcPr>
          <w:p w:rsidR="00987BCD" w:rsidRPr="00736749" w:rsidRDefault="00987BCD" w:rsidP="00987BCD">
            <w:pPr>
              <w:jc w:val="center"/>
            </w:pPr>
            <w:r w:rsidRPr="00736749">
              <w:t>137</w:t>
            </w:r>
          </w:p>
        </w:tc>
        <w:tc>
          <w:tcPr>
            <w:tcW w:w="2735" w:type="dxa"/>
          </w:tcPr>
          <w:p w:rsidR="00987BCD" w:rsidRPr="00736749" w:rsidRDefault="00987BCD" w:rsidP="00987BCD">
            <w:r w:rsidRPr="00736749">
              <w:t>Will PDE clarify how districts will opt-in to participate in the interim assessment?  Will it be the responsibility of the assessment provider to recruit districts or will the State provide a list of participants?</w:t>
            </w:r>
          </w:p>
        </w:tc>
        <w:tc>
          <w:tcPr>
            <w:tcW w:w="7065" w:type="dxa"/>
            <w:vAlign w:val="center"/>
          </w:tcPr>
          <w:p w:rsidR="00987BCD" w:rsidRPr="00736749" w:rsidRDefault="00987BCD" w:rsidP="00987BCD">
            <w:r w:rsidRPr="00736749">
              <w:t>If an interim system is procured, PED would announce this to LEAs via memorandum and other forms of communication. LEAs will be able to use the interim system through this procurement.  LEAs will not be required to use the state procured interim system.</w:t>
            </w:r>
          </w:p>
        </w:tc>
        <w:tc>
          <w:tcPr>
            <w:tcW w:w="1470" w:type="dxa"/>
            <w:vAlign w:val="center"/>
          </w:tcPr>
          <w:p w:rsidR="00987BCD" w:rsidRPr="00736749" w:rsidRDefault="00987BCD" w:rsidP="00987BCD">
            <w:pPr>
              <w:jc w:val="center"/>
              <w:rPr>
                <w:sz w:val="20"/>
                <w:szCs w:val="20"/>
              </w:rPr>
            </w:pPr>
            <w:r w:rsidRPr="00736749">
              <w:rPr>
                <w:sz w:val="20"/>
                <w:szCs w:val="20"/>
              </w:rPr>
              <w:t>IV.F</w:t>
            </w:r>
          </w:p>
        </w:tc>
        <w:tc>
          <w:tcPr>
            <w:tcW w:w="818" w:type="dxa"/>
            <w:vAlign w:val="center"/>
          </w:tcPr>
          <w:p w:rsidR="00987BCD" w:rsidRPr="00736749" w:rsidRDefault="00987BCD" w:rsidP="00987BCD">
            <w:pPr>
              <w:jc w:val="center"/>
              <w:rPr>
                <w:sz w:val="20"/>
                <w:szCs w:val="20"/>
              </w:rPr>
            </w:pPr>
            <w:r w:rsidRPr="00736749">
              <w:rPr>
                <w:sz w:val="20"/>
                <w:szCs w:val="20"/>
              </w:rPr>
              <w:t>35</w:t>
            </w:r>
          </w:p>
        </w:tc>
      </w:tr>
      <w:tr w:rsidR="00987BCD" w:rsidRPr="00736749" w:rsidTr="00847156">
        <w:trPr>
          <w:cantSplit/>
        </w:trPr>
        <w:tc>
          <w:tcPr>
            <w:tcW w:w="1228" w:type="dxa"/>
            <w:vAlign w:val="center"/>
          </w:tcPr>
          <w:p w:rsidR="00987BCD" w:rsidRPr="00736749" w:rsidRDefault="00987BCD" w:rsidP="00987BCD">
            <w:pPr>
              <w:jc w:val="center"/>
            </w:pPr>
            <w:r w:rsidRPr="00736749">
              <w:lastRenderedPageBreak/>
              <w:t>138</w:t>
            </w:r>
          </w:p>
        </w:tc>
        <w:tc>
          <w:tcPr>
            <w:tcW w:w="2735" w:type="dxa"/>
          </w:tcPr>
          <w:p w:rsidR="00987BCD" w:rsidRPr="00736749" w:rsidRDefault="00987BCD" w:rsidP="00987BCD">
            <w:pPr>
              <w:pStyle w:val="TableText"/>
              <w:rPr>
                <w:rFonts w:asciiTheme="minorHAnsi" w:eastAsiaTheme="minorEastAsia" w:hAnsiTheme="minorHAnsi" w:cstheme="minorBidi"/>
                <w:sz w:val="22"/>
                <w:szCs w:val="22"/>
              </w:rPr>
            </w:pPr>
            <w:r w:rsidRPr="00736749">
              <w:rPr>
                <w:rFonts w:asciiTheme="minorHAnsi" w:eastAsiaTheme="minorEastAsia" w:hAnsiTheme="minorHAnsi" w:cstheme="minorBidi"/>
                <w:sz w:val="22"/>
                <w:szCs w:val="22"/>
              </w:rPr>
              <w:t xml:space="preserve">PDE has estimated a total of 20,000 students across grades 3 – 12 students participating in all years (1 – 10) of the contract. This number is a small fraction of the estimated 75,000+ students that participated in the summative assessments in spring 2018 shown in Table 15 of the RFP.  Does the state anticipate that participation could grow higher than 20,000 </w:t>
            </w:r>
            <w:proofErr w:type="gramStart"/>
            <w:r w:rsidRPr="00736749">
              <w:rPr>
                <w:rFonts w:asciiTheme="minorHAnsi" w:eastAsiaTheme="minorEastAsia" w:hAnsiTheme="minorHAnsi" w:cstheme="minorBidi"/>
                <w:sz w:val="22"/>
                <w:szCs w:val="22"/>
              </w:rPr>
              <w:t>students</w:t>
            </w:r>
            <w:proofErr w:type="gramEnd"/>
            <w:r w:rsidRPr="00736749">
              <w:rPr>
                <w:rFonts w:asciiTheme="minorHAnsi" w:eastAsiaTheme="minorEastAsia" w:hAnsiTheme="minorHAnsi" w:cstheme="minorBidi"/>
                <w:sz w:val="22"/>
                <w:szCs w:val="22"/>
              </w:rPr>
              <w:t xml:space="preserve"> total?</w:t>
            </w:r>
          </w:p>
          <w:p w:rsidR="00987BCD" w:rsidRPr="00736749" w:rsidRDefault="00987BCD" w:rsidP="00987BCD">
            <w:pPr>
              <w:pStyle w:val="TableText"/>
              <w:rPr>
                <w:rFonts w:asciiTheme="minorHAnsi" w:eastAsiaTheme="minorEastAsia" w:hAnsiTheme="minorHAnsi" w:cstheme="minorBidi"/>
                <w:sz w:val="22"/>
                <w:szCs w:val="22"/>
              </w:rPr>
            </w:pPr>
          </w:p>
          <w:p w:rsidR="00987BCD" w:rsidRPr="00736749" w:rsidRDefault="00987BCD" w:rsidP="00987BCD">
            <w:r w:rsidRPr="00736749">
              <w:t>The estimated quantities (100, 100 – 249, 250 – 999, 1000+) seem like small populations numbers given the anticipated participation. Will PDE confirm that the participating population could be this small?</w:t>
            </w:r>
          </w:p>
        </w:tc>
        <w:tc>
          <w:tcPr>
            <w:tcW w:w="7065" w:type="dxa"/>
            <w:vAlign w:val="center"/>
          </w:tcPr>
          <w:p w:rsidR="00987BCD" w:rsidRPr="00736749" w:rsidRDefault="00987BCD" w:rsidP="00987BCD">
            <w:r w:rsidRPr="00736749">
              <w:t>Table 15 has been amended. Please see Amendment No. 2. There are approximately 175,000 students participating</w:t>
            </w:r>
            <w:r w:rsidR="00C659E1">
              <w:t xml:space="preserve"> in assessments</w:t>
            </w:r>
            <w:r w:rsidRPr="00736749">
              <w:t xml:space="preserve"> at grades 3-8 and 11. </w:t>
            </w:r>
          </w:p>
        </w:tc>
        <w:tc>
          <w:tcPr>
            <w:tcW w:w="1470" w:type="dxa"/>
            <w:vAlign w:val="center"/>
          </w:tcPr>
          <w:p w:rsidR="00987BCD" w:rsidRPr="00736749" w:rsidRDefault="00987BCD" w:rsidP="00987BCD">
            <w:pPr>
              <w:jc w:val="center"/>
              <w:rPr>
                <w:sz w:val="20"/>
                <w:szCs w:val="20"/>
              </w:rPr>
            </w:pPr>
            <w:r w:rsidRPr="00736749">
              <w:rPr>
                <w:sz w:val="20"/>
                <w:szCs w:val="20"/>
              </w:rPr>
              <w:t>Cost Proposal Workbook</w:t>
            </w:r>
          </w:p>
        </w:tc>
        <w:tc>
          <w:tcPr>
            <w:tcW w:w="818" w:type="dxa"/>
            <w:vAlign w:val="center"/>
          </w:tcPr>
          <w:p w:rsidR="00987BCD" w:rsidRPr="00736749" w:rsidRDefault="00987BCD" w:rsidP="00987BCD">
            <w:pPr>
              <w:jc w:val="center"/>
              <w:rPr>
                <w:sz w:val="20"/>
                <w:szCs w:val="20"/>
              </w:rPr>
            </w:pPr>
          </w:p>
        </w:tc>
      </w:tr>
      <w:tr w:rsidR="00987BCD" w:rsidRPr="00736749" w:rsidTr="00847156">
        <w:trPr>
          <w:cantSplit/>
        </w:trPr>
        <w:tc>
          <w:tcPr>
            <w:tcW w:w="1228" w:type="dxa"/>
            <w:vAlign w:val="center"/>
          </w:tcPr>
          <w:p w:rsidR="00987BCD" w:rsidRPr="00736749" w:rsidRDefault="00987BCD" w:rsidP="00987BCD">
            <w:pPr>
              <w:jc w:val="center"/>
            </w:pPr>
            <w:r w:rsidRPr="00736749">
              <w:lastRenderedPageBreak/>
              <w:t>139</w:t>
            </w:r>
          </w:p>
        </w:tc>
        <w:tc>
          <w:tcPr>
            <w:tcW w:w="2735" w:type="dxa"/>
          </w:tcPr>
          <w:p w:rsidR="00987BCD" w:rsidRPr="00736749" w:rsidRDefault="00987BCD" w:rsidP="00987BCD">
            <w:r w:rsidRPr="00736749">
              <w:t>Is there an additional internal blueprint that specifies item cognitive complexity as well as additional requirements for how items should sample from the content domain under the categories (e.g., Reading: Literary Text? High level blueprints imply to us that you have another internal blueprints with increased specificity.</w:t>
            </w:r>
          </w:p>
        </w:tc>
        <w:tc>
          <w:tcPr>
            <w:tcW w:w="7065" w:type="dxa"/>
            <w:vAlign w:val="center"/>
          </w:tcPr>
          <w:p w:rsidR="00987BCD" w:rsidRPr="00736749" w:rsidRDefault="00987BCD" w:rsidP="00F30F44">
            <w:r w:rsidRPr="00736749">
              <w:t xml:space="preserve">Detailed TAMELA blueprints are owned by </w:t>
            </w:r>
            <w:r w:rsidR="00F30F44">
              <w:t>the</w:t>
            </w:r>
            <w:r w:rsidR="00C85991">
              <w:t xml:space="preserve"> Council of </w:t>
            </w:r>
            <w:r w:rsidR="00F30F44">
              <w:t xml:space="preserve">Chief </w:t>
            </w:r>
            <w:r w:rsidR="00C85991">
              <w:t>State School Office</w:t>
            </w:r>
            <w:r w:rsidR="00F30F44">
              <w:t>r</w:t>
            </w:r>
            <w:r w:rsidR="00C85991">
              <w:t>s</w:t>
            </w:r>
            <w:r w:rsidR="00F30F44">
              <w:t xml:space="preserve"> </w:t>
            </w:r>
            <w:r w:rsidR="00C85991">
              <w:t>(CCSSO)</w:t>
            </w:r>
            <w:r w:rsidR="00F30F44">
              <w:t>,</w:t>
            </w:r>
            <w:r w:rsidRPr="00736749">
              <w:t xml:space="preserve"> </w:t>
            </w:r>
            <w:proofErr w:type="gramStart"/>
            <w:r w:rsidRPr="00736749">
              <w:t>LLC  and</w:t>
            </w:r>
            <w:proofErr w:type="gramEnd"/>
            <w:r w:rsidRPr="00736749">
              <w:t xml:space="preserve"> are licensed by CCSSO, LLC exclusively to New Meridian.  They are available exclusively through a content sublicensing agreement with New Meridian. Offerors should contact New Meridian to discuss sublicensing terms for TAMELA content and design.</w:t>
            </w:r>
          </w:p>
        </w:tc>
        <w:tc>
          <w:tcPr>
            <w:tcW w:w="1470" w:type="dxa"/>
            <w:vAlign w:val="center"/>
          </w:tcPr>
          <w:p w:rsidR="00987BCD" w:rsidRPr="00736749" w:rsidRDefault="00987BCD" w:rsidP="00987BCD">
            <w:pPr>
              <w:jc w:val="center"/>
              <w:rPr>
                <w:sz w:val="20"/>
                <w:szCs w:val="20"/>
              </w:rPr>
            </w:pPr>
            <w:r w:rsidRPr="00736749">
              <w:t>IV.K.1</w:t>
            </w:r>
          </w:p>
        </w:tc>
        <w:tc>
          <w:tcPr>
            <w:tcW w:w="818" w:type="dxa"/>
            <w:vAlign w:val="center"/>
          </w:tcPr>
          <w:p w:rsidR="00987BCD" w:rsidRPr="00736749" w:rsidRDefault="00987BCD" w:rsidP="00987BCD">
            <w:pPr>
              <w:jc w:val="center"/>
              <w:rPr>
                <w:sz w:val="20"/>
                <w:szCs w:val="20"/>
              </w:rPr>
            </w:pPr>
            <w:r w:rsidRPr="00736749">
              <w:rPr>
                <w:sz w:val="20"/>
                <w:szCs w:val="20"/>
              </w:rPr>
              <w:t>54</w:t>
            </w:r>
          </w:p>
        </w:tc>
      </w:tr>
      <w:tr w:rsidR="00987BCD" w:rsidRPr="00736749" w:rsidTr="00847156">
        <w:trPr>
          <w:cantSplit/>
        </w:trPr>
        <w:tc>
          <w:tcPr>
            <w:tcW w:w="1228" w:type="dxa"/>
            <w:vAlign w:val="center"/>
          </w:tcPr>
          <w:p w:rsidR="00987BCD" w:rsidRPr="00736749" w:rsidRDefault="00987BCD" w:rsidP="00987BCD">
            <w:pPr>
              <w:jc w:val="center"/>
            </w:pPr>
            <w:r w:rsidRPr="00736749">
              <w:t>140</w:t>
            </w:r>
          </w:p>
        </w:tc>
        <w:tc>
          <w:tcPr>
            <w:tcW w:w="2735" w:type="dxa"/>
          </w:tcPr>
          <w:p w:rsidR="00987BCD" w:rsidRPr="00736749" w:rsidRDefault="00987BCD" w:rsidP="00987BCD">
            <w:pPr>
              <w:pStyle w:val="TableText"/>
              <w:rPr>
                <w:rFonts w:asciiTheme="minorHAnsi" w:eastAsiaTheme="minorEastAsia" w:hAnsiTheme="minorHAnsi" w:cstheme="minorBidi"/>
                <w:sz w:val="22"/>
                <w:szCs w:val="22"/>
              </w:rPr>
            </w:pPr>
            <w:r w:rsidRPr="00736749">
              <w:rPr>
                <w:rFonts w:asciiTheme="minorHAnsi" w:eastAsiaTheme="minorEastAsia" w:hAnsiTheme="minorHAnsi" w:cstheme="minorBidi"/>
                <w:sz w:val="22"/>
                <w:szCs w:val="22"/>
              </w:rPr>
              <w:t>1. Please clarify the meaning of New Meridian assets in this context. Will the forms already be built, or with the new Vendor need to contract with New Meridian to secure the previous item bank?</w:t>
            </w:r>
          </w:p>
          <w:p w:rsidR="00987BCD" w:rsidRPr="00736749" w:rsidRDefault="00987BCD" w:rsidP="00987BCD">
            <w:r w:rsidRPr="00736749">
              <w:t>2. What are the operational item types, N counts by standard and Blueprint category (e.g., Reading: Literary Text) from New Meridian bank and NM FT bank?</w:t>
            </w:r>
          </w:p>
        </w:tc>
        <w:tc>
          <w:tcPr>
            <w:tcW w:w="7065" w:type="dxa"/>
            <w:vAlign w:val="center"/>
          </w:tcPr>
          <w:p w:rsidR="00987BCD" w:rsidRPr="00736749" w:rsidRDefault="00987BCD" w:rsidP="00987BCD">
            <w:r w:rsidRPr="00736749">
              <w:t>1. “New Meridian assets” are owned by CCSSO, LLC and are licensed by CCSSO, LLC exclusively to New Meridian.   New Meridian assets include complete content packages for pre-built TAMELA forms in Year 1. Selected vendor will sublicense the TAMELA content packages from New Meridian; New Meridian will support provisioning of content packages to vendor’s test administration system.</w:t>
            </w:r>
          </w:p>
          <w:p w:rsidR="00987BCD" w:rsidRPr="00736749" w:rsidRDefault="00987BCD" w:rsidP="00987BCD">
            <w:r w:rsidRPr="00736749">
              <w:t>In subsequent years, selected vendor will sublicense selected test items from New Meridian to meet selected vendor’s transitional test blueprint requirements. New Meridian will support provisioning of selected content packages to vendor’s test administration system.</w:t>
            </w:r>
          </w:p>
          <w:p w:rsidR="00987BCD" w:rsidRPr="00736749" w:rsidRDefault="00987BCD" w:rsidP="00987BCD">
            <w:r w:rsidRPr="00736749">
              <w:t>2. The high-level TAMELA blueprint and item type descriptions are available here:</w:t>
            </w:r>
          </w:p>
          <w:p w:rsidR="00987BCD" w:rsidRPr="00736749" w:rsidRDefault="00A07B25" w:rsidP="00987BCD">
            <w:hyperlink r:id="rId14" w:tgtFrame="_blank" w:history="1">
              <w:r w:rsidR="00987BCD" w:rsidRPr="00736749">
                <w:rPr>
                  <w:rStyle w:val="Hyperlink"/>
                </w:rPr>
                <w:t>https://webnew.ped.state.nm.us/bureaus/assessment-3/spring2019mathela/</w:t>
              </w:r>
            </w:hyperlink>
          </w:p>
          <w:p w:rsidR="00987BCD" w:rsidRPr="00736749" w:rsidRDefault="00987BCD" w:rsidP="00987BCD">
            <w:r w:rsidRPr="00736749">
              <w:t>The New Meridian item bank is robust and has sufficient items to meet a selected vendor’s transitional test blueprint requirements.</w:t>
            </w:r>
          </w:p>
        </w:tc>
        <w:tc>
          <w:tcPr>
            <w:tcW w:w="1470" w:type="dxa"/>
            <w:vAlign w:val="center"/>
          </w:tcPr>
          <w:p w:rsidR="00987BCD" w:rsidRPr="00736749" w:rsidRDefault="00987BCD" w:rsidP="00987BCD">
            <w:pPr>
              <w:jc w:val="center"/>
              <w:rPr>
                <w:sz w:val="20"/>
                <w:szCs w:val="20"/>
              </w:rPr>
            </w:pPr>
            <w:r w:rsidRPr="00736749">
              <w:rPr>
                <w:sz w:val="20"/>
                <w:szCs w:val="20"/>
              </w:rPr>
              <w:t>IV.F</w:t>
            </w:r>
          </w:p>
        </w:tc>
        <w:tc>
          <w:tcPr>
            <w:tcW w:w="818" w:type="dxa"/>
            <w:vAlign w:val="center"/>
          </w:tcPr>
          <w:p w:rsidR="00987BCD" w:rsidRPr="00736749" w:rsidRDefault="00987BCD" w:rsidP="00987BCD">
            <w:pPr>
              <w:jc w:val="center"/>
              <w:rPr>
                <w:sz w:val="20"/>
                <w:szCs w:val="20"/>
              </w:rPr>
            </w:pPr>
            <w:r w:rsidRPr="00736749">
              <w:rPr>
                <w:sz w:val="20"/>
                <w:szCs w:val="20"/>
              </w:rPr>
              <w:t>35</w:t>
            </w:r>
          </w:p>
        </w:tc>
      </w:tr>
      <w:tr w:rsidR="00987BCD" w:rsidRPr="00736749" w:rsidTr="00847156">
        <w:trPr>
          <w:cantSplit/>
        </w:trPr>
        <w:tc>
          <w:tcPr>
            <w:tcW w:w="1228" w:type="dxa"/>
            <w:vAlign w:val="center"/>
          </w:tcPr>
          <w:p w:rsidR="00987BCD" w:rsidRPr="00736749" w:rsidRDefault="00987BCD" w:rsidP="00987BCD">
            <w:pPr>
              <w:jc w:val="center"/>
            </w:pPr>
            <w:r w:rsidRPr="00736749">
              <w:lastRenderedPageBreak/>
              <w:t>141</w:t>
            </w:r>
          </w:p>
        </w:tc>
        <w:tc>
          <w:tcPr>
            <w:tcW w:w="2735" w:type="dxa"/>
          </w:tcPr>
          <w:p w:rsidR="00987BCD" w:rsidRPr="00736749" w:rsidRDefault="00987BCD" w:rsidP="00987BCD">
            <w:pPr>
              <w:pStyle w:val="TableText"/>
              <w:rPr>
                <w:rFonts w:asciiTheme="minorHAnsi" w:eastAsiaTheme="minorEastAsia" w:hAnsiTheme="minorHAnsi" w:cstheme="minorBidi"/>
                <w:sz w:val="22"/>
                <w:szCs w:val="22"/>
              </w:rPr>
            </w:pPr>
            <w:r w:rsidRPr="00736749">
              <w:rPr>
                <w:rFonts w:asciiTheme="minorHAnsi" w:eastAsiaTheme="minorEastAsia" w:hAnsiTheme="minorHAnsi" w:cstheme="minorBidi"/>
                <w:sz w:val="22"/>
                <w:szCs w:val="22"/>
              </w:rPr>
              <w:t xml:space="preserve">1. Please define what is intended by a diagnostic interim assessment in terms of grain size and span of the curriculum. </w:t>
            </w:r>
          </w:p>
          <w:p w:rsidR="00987BCD" w:rsidRPr="00736749" w:rsidRDefault="00987BCD" w:rsidP="00987BCD">
            <w:pPr>
              <w:pStyle w:val="TableText"/>
              <w:rPr>
                <w:rFonts w:asciiTheme="minorHAnsi" w:eastAsiaTheme="minorEastAsia" w:hAnsiTheme="minorHAnsi" w:cstheme="minorBidi"/>
                <w:sz w:val="22"/>
                <w:szCs w:val="22"/>
              </w:rPr>
            </w:pPr>
            <w:r w:rsidRPr="00736749">
              <w:rPr>
                <w:rFonts w:asciiTheme="minorHAnsi" w:eastAsiaTheme="minorEastAsia" w:hAnsiTheme="minorHAnsi" w:cstheme="minorBidi"/>
                <w:sz w:val="22"/>
                <w:szCs w:val="22"/>
              </w:rPr>
              <w:t>2. What are the desired level of reporting for monitoring learning?</w:t>
            </w:r>
          </w:p>
        </w:tc>
        <w:tc>
          <w:tcPr>
            <w:tcW w:w="7065" w:type="dxa"/>
            <w:vAlign w:val="center"/>
          </w:tcPr>
          <w:p w:rsidR="00987BCD" w:rsidRPr="00736749" w:rsidRDefault="00987BCD" w:rsidP="00987BCD">
            <w:r w:rsidRPr="00736749">
              <w:t>Per RFP</w:t>
            </w:r>
            <w:r w:rsidRPr="00736749">
              <w:rPr>
                <w:color w:val="1F497D"/>
              </w:rPr>
              <w:t xml:space="preserve">, </w:t>
            </w:r>
            <w:r w:rsidRPr="00736749">
              <w:rPr>
                <w:i/>
                <w:iCs/>
              </w:rPr>
              <w:t>Diagnostic interim assessments for early learning in grades K-2 that do not resemble standardized assessments but are instead reflective of sound practice for monitoring learning and facilitating differentiated teaching of early learners;</w:t>
            </w:r>
          </w:p>
          <w:p w:rsidR="00987BCD" w:rsidRPr="00736749" w:rsidRDefault="00987BCD" w:rsidP="00987BCD">
            <w:r w:rsidRPr="00736749">
              <w:t>2.   Student, school and district level reports are desired.  Student level should be as fine grain as possible.</w:t>
            </w:r>
          </w:p>
        </w:tc>
        <w:tc>
          <w:tcPr>
            <w:tcW w:w="1470" w:type="dxa"/>
            <w:vAlign w:val="center"/>
          </w:tcPr>
          <w:p w:rsidR="00987BCD" w:rsidRPr="00736749" w:rsidRDefault="00987BCD" w:rsidP="00987BCD">
            <w:pPr>
              <w:jc w:val="center"/>
              <w:rPr>
                <w:sz w:val="20"/>
                <w:szCs w:val="20"/>
              </w:rPr>
            </w:pPr>
            <w:r w:rsidRPr="00736749">
              <w:rPr>
                <w:sz w:val="20"/>
                <w:szCs w:val="20"/>
              </w:rPr>
              <w:t>IV.F</w:t>
            </w:r>
          </w:p>
        </w:tc>
        <w:tc>
          <w:tcPr>
            <w:tcW w:w="818" w:type="dxa"/>
            <w:vAlign w:val="center"/>
          </w:tcPr>
          <w:p w:rsidR="00987BCD" w:rsidRPr="00736749" w:rsidRDefault="00987BCD" w:rsidP="00987BCD">
            <w:pPr>
              <w:jc w:val="center"/>
              <w:rPr>
                <w:sz w:val="20"/>
                <w:szCs w:val="20"/>
              </w:rPr>
            </w:pPr>
            <w:r w:rsidRPr="00736749">
              <w:rPr>
                <w:sz w:val="20"/>
                <w:szCs w:val="20"/>
              </w:rPr>
              <w:t>35</w:t>
            </w:r>
          </w:p>
        </w:tc>
      </w:tr>
      <w:tr w:rsidR="00987BCD" w:rsidTr="00847156">
        <w:trPr>
          <w:cantSplit/>
        </w:trPr>
        <w:tc>
          <w:tcPr>
            <w:tcW w:w="1228" w:type="dxa"/>
            <w:vAlign w:val="center"/>
          </w:tcPr>
          <w:p w:rsidR="00987BCD" w:rsidRPr="00736749" w:rsidRDefault="00987BCD" w:rsidP="00987BCD">
            <w:pPr>
              <w:jc w:val="center"/>
            </w:pPr>
            <w:r w:rsidRPr="00736749">
              <w:t>142</w:t>
            </w:r>
          </w:p>
        </w:tc>
        <w:tc>
          <w:tcPr>
            <w:tcW w:w="2735" w:type="dxa"/>
          </w:tcPr>
          <w:p w:rsidR="00987BCD" w:rsidRPr="00736749" w:rsidRDefault="00987BCD" w:rsidP="00987BCD">
            <w:pPr>
              <w:pStyle w:val="TableText"/>
              <w:rPr>
                <w:rFonts w:asciiTheme="minorHAnsi" w:hAnsiTheme="minorHAnsi" w:cstheme="minorHAnsi"/>
                <w:sz w:val="22"/>
                <w:szCs w:val="22"/>
              </w:rPr>
            </w:pPr>
            <w:r w:rsidRPr="00736749">
              <w:rPr>
                <w:rFonts w:asciiTheme="minorHAnsi" w:hAnsiTheme="minorHAnsi" w:cstheme="minorHAnsi"/>
                <w:i/>
                <w:sz w:val="22"/>
                <w:szCs w:val="22"/>
              </w:rPr>
              <w:t>Section IV.M.2. Principles for proposal development</w:t>
            </w:r>
            <w:r w:rsidRPr="00736749">
              <w:rPr>
                <w:rFonts w:asciiTheme="minorHAnsi" w:hAnsiTheme="minorHAnsi" w:cstheme="minorHAnsi"/>
                <w:sz w:val="22"/>
                <w:szCs w:val="22"/>
              </w:rPr>
              <w:t xml:space="preserve"> appears to not allow changes to the state’s standard terms and conditions, while </w:t>
            </w:r>
            <w:r w:rsidRPr="00736749">
              <w:rPr>
                <w:rFonts w:asciiTheme="minorHAnsi" w:hAnsiTheme="minorHAnsi" w:cstheme="minorHAnsi"/>
                <w:i/>
                <w:sz w:val="22"/>
                <w:szCs w:val="22"/>
              </w:rPr>
              <w:t>section II.C.15. Contract terms and conditions</w:t>
            </w:r>
            <w:r w:rsidRPr="00736749">
              <w:rPr>
                <w:rFonts w:asciiTheme="minorHAnsi" w:hAnsiTheme="minorHAnsi" w:cstheme="minorHAnsi"/>
                <w:sz w:val="22"/>
                <w:szCs w:val="22"/>
              </w:rPr>
              <w:t xml:space="preserve"> provides a means a process for providing any exceptions. Will the state clarify that exceptions may be taken </w:t>
            </w:r>
            <w:proofErr w:type="gramStart"/>
            <w:r w:rsidRPr="00736749">
              <w:rPr>
                <w:rFonts w:asciiTheme="minorHAnsi" w:hAnsiTheme="minorHAnsi" w:cstheme="minorHAnsi"/>
                <w:sz w:val="22"/>
                <w:szCs w:val="22"/>
              </w:rPr>
              <w:t xml:space="preserve">following  </w:t>
            </w:r>
            <w:r w:rsidRPr="00736749">
              <w:rPr>
                <w:rFonts w:asciiTheme="minorHAnsi" w:hAnsiTheme="minorHAnsi" w:cstheme="minorHAnsi"/>
                <w:i/>
                <w:sz w:val="22"/>
                <w:szCs w:val="22"/>
              </w:rPr>
              <w:t>II.C.15</w:t>
            </w:r>
            <w:proofErr w:type="gramEnd"/>
            <w:r w:rsidRPr="00736749">
              <w:rPr>
                <w:rFonts w:asciiTheme="minorHAnsi" w:hAnsiTheme="minorHAnsi" w:cstheme="minorHAnsi"/>
                <w:i/>
                <w:sz w:val="22"/>
                <w:szCs w:val="22"/>
              </w:rPr>
              <w:t>. Contract terms and conditions</w:t>
            </w:r>
            <w:r w:rsidRPr="00736749">
              <w:rPr>
                <w:rFonts w:asciiTheme="minorHAnsi" w:hAnsiTheme="minorHAnsi" w:cstheme="minorHAnsi"/>
                <w:sz w:val="22"/>
                <w:szCs w:val="22"/>
              </w:rPr>
              <w:t>?</w:t>
            </w:r>
          </w:p>
        </w:tc>
        <w:tc>
          <w:tcPr>
            <w:tcW w:w="7065" w:type="dxa"/>
            <w:vAlign w:val="center"/>
          </w:tcPr>
          <w:p w:rsidR="00987BCD" w:rsidRPr="00736749" w:rsidRDefault="00987BCD" w:rsidP="00987BCD">
            <w:r w:rsidRPr="00736749">
              <w:t>Exceptions may be taken, following II.C.15, however, The General Services Department discourages exceptions from the contract terms and conditions as set forth in the RFP. Such exceptions may cause a proposal to be rejected as nonresponsive.</w:t>
            </w:r>
          </w:p>
        </w:tc>
        <w:tc>
          <w:tcPr>
            <w:tcW w:w="1470" w:type="dxa"/>
            <w:vAlign w:val="center"/>
          </w:tcPr>
          <w:p w:rsidR="00987BCD" w:rsidRPr="00736749" w:rsidRDefault="00987BCD" w:rsidP="00987BCD">
            <w:pPr>
              <w:jc w:val="center"/>
              <w:rPr>
                <w:sz w:val="20"/>
                <w:szCs w:val="20"/>
              </w:rPr>
            </w:pPr>
            <w:r w:rsidRPr="00736749">
              <w:rPr>
                <w:sz w:val="20"/>
                <w:szCs w:val="20"/>
              </w:rPr>
              <w:t>II.C.15</w:t>
            </w:r>
          </w:p>
        </w:tc>
        <w:tc>
          <w:tcPr>
            <w:tcW w:w="818" w:type="dxa"/>
            <w:vAlign w:val="center"/>
          </w:tcPr>
          <w:p w:rsidR="00987BCD" w:rsidRPr="00C7134C" w:rsidRDefault="00987BCD" w:rsidP="00987BCD">
            <w:pPr>
              <w:jc w:val="center"/>
              <w:rPr>
                <w:sz w:val="20"/>
                <w:szCs w:val="20"/>
              </w:rPr>
            </w:pPr>
            <w:r w:rsidRPr="00736749">
              <w:rPr>
                <w:sz w:val="20"/>
                <w:szCs w:val="20"/>
              </w:rPr>
              <w:t>17</w:t>
            </w:r>
          </w:p>
        </w:tc>
      </w:tr>
    </w:tbl>
    <w:p w:rsidR="001C42C6" w:rsidRDefault="001C42C6" w:rsidP="00110412"/>
    <w:p w:rsidR="004F3445" w:rsidRDefault="004F3445" w:rsidP="00110412"/>
    <w:p w:rsidR="00FF7FF9" w:rsidRDefault="00FF7FF9" w:rsidP="00110412"/>
    <w:p w:rsidR="001C42C6" w:rsidRPr="00110412" w:rsidRDefault="001C42C6" w:rsidP="00110412"/>
    <w:sectPr w:rsidR="001C42C6" w:rsidRPr="00110412" w:rsidSect="00DE4A2E">
      <w:headerReference w:type="default" r:id="rId15"/>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25" w:rsidRDefault="00A07B25" w:rsidP="00110412">
      <w:pPr>
        <w:spacing w:after="0" w:line="240" w:lineRule="auto"/>
      </w:pPr>
      <w:r>
        <w:separator/>
      </w:r>
    </w:p>
  </w:endnote>
  <w:endnote w:type="continuationSeparator" w:id="0">
    <w:p w:rsidR="00A07B25" w:rsidRDefault="00A07B25" w:rsidP="0011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25" w:rsidRDefault="00A07B25" w:rsidP="00110412">
      <w:pPr>
        <w:spacing w:after="0" w:line="240" w:lineRule="auto"/>
      </w:pPr>
      <w:r>
        <w:separator/>
      </w:r>
    </w:p>
  </w:footnote>
  <w:footnote w:type="continuationSeparator" w:id="0">
    <w:p w:rsidR="00A07B25" w:rsidRDefault="00A07B25" w:rsidP="0011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0" w:rsidRDefault="000512B0">
    <w:pPr>
      <w:pStyle w:val="Header"/>
      <w:rPr>
        <w:b/>
      </w:rPr>
    </w:pPr>
    <w:r>
      <w:rPr>
        <w:b/>
      </w:rPr>
      <w:t>RFP #90-924-19-24665 – Grades 3-8 and High School General Population Assessments in Language Arts and Mathematics</w:t>
    </w:r>
  </w:p>
  <w:p w:rsidR="000512B0" w:rsidRPr="00110412" w:rsidRDefault="000512B0" w:rsidP="00C50710">
    <w:pPr>
      <w:pStyle w:val="Header"/>
      <w:jc w:val="center"/>
      <w:rPr>
        <w:b/>
      </w:rPr>
    </w:pPr>
    <w:r w:rsidRPr="00110412">
      <w:rPr>
        <w:b/>
      </w:rPr>
      <w:ptab w:relativeTo="margin" w:alignment="center" w:leader="none"/>
    </w:r>
    <w:r w:rsidRPr="00110412">
      <w:rPr>
        <w:b/>
      </w:rPr>
      <w:ptab w:relativeTo="margin" w:alignment="right" w:leader="none"/>
    </w:r>
    <w:r w:rsidRPr="00110412">
      <w:rPr>
        <w:b/>
      </w:rPr>
      <w:t>Agency Response to Offerors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EE5"/>
    <w:multiLevelType w:val="hybridMultilevel"/>
    <w:tmpl w:val="61A09A0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34535C"/>
    <w:multiLevelType w:val="hybridMultilevel"/>
    <w:tmpl w:val="8204488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35F"/>
    <w:multiLevelType w:val="multilevel"/>
    <w:tmpl w:val="9C969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728C7"/>
    <w:multiLevelType w:val="hybridMultilevel"/>
    <w:tmpl w:val="3416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DB611E"/>
    <w:multiLevelType w:val="hybridMultilevel"/>
    <w:tmpl w:val="F7D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2B50"/>
    <w:multiLevelType w:val="hybridMultilevel"/>
    <w:tmpl w:val="CBAA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B35BF"/>
    <w:multiLevelType w:val="hybridMultilevel"/>
    <w:tmpl w:val="8E98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71F2F"/>
    <w:multiLevelType w:val="hybridMultilevel"/>
    <w:tmpl w:val="D7AA3A34"/>
    <w:lvl w:ilvl="0" w:tplc="CC904E58">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990E08"/>
    <w:multiLevelType w:val="hybridMultilevel"/>
    <w:tmpl w:val="B8CE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7B2A"/>
    <w:multiLevelType w:val="hybridMultilevel"/>
    <w:tmpl w:val="257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E4322"/>
    <w:multiLevelType w:val="hybridMultilevel"/>
    <w:tmpl w:val="5A8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135ED"/>
    <w:multiLevelType w:val="multilevel"/>
    <w:tmpl w:val="F3246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480477"/>
    <w:multiLevelType w:val="hybridMultilevel"/>
    <w:tmpl w:val="045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31B60"/>
    <w:multiLevelType w:val="hybridMultilevel"/>
    <w:tmpl w:val="AE72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A4016"/>
    <w:multiLevelType w:val="hybridMultilevel"/>
    <w:tmpl w:val="B83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67DFE"/>
    <w:multiLevelType w:val="multilevel"/>
    <w:tmpl w:val="770EF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0B78D7"/>
    <w:multiLevelType w:val="multilevel"/>
    <w:tmpl w:val="2340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3"/>
  </w:num>
  <w:num w:numId="13">
    <w:abstractNumId w:val="12"/>
  </w:num>
  <w:num w:numId="14">
    <w:abstractNumId w:val="10"/>
  </w:num>
  <w:num w:numId="15">
    <w:abstractNumId w:val="9"/>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DA1sDA3MzEyNjZX0lEKTi0uzszPAykwNKwFAHPCCrQtAAAA"/>
  </w:docVars>
  <w:rsids>
    <w:rsidRoot w:val="00110412"/>
    <w:rsid w:val="000034DA"/>
    <w:rsid w:val="0000681F"/>
    <w:rsid w:val="00011C15"/>
    <w:rsid w:val="00031678"/>
    <w:rsid w:val="000432B9"/>
    <w:rsid w:val="000512B0"/>
    <w:rsid w:val="00052A24"/>
    <w:rsid w:val="00056267"/>
    <w:rsid w:val="000568F3"/>
    <w:rsid w:val="000609D3"/>
    <w:rsid w:val="00075126"/>
    <w:rsid w:val="00085290"/>
    <w:rsid w:val="0008781D"/>
    <w:rsid w:val="000C2096"/>
    <w:rsid w:val="000D0308"/>
    <w:rsid w:val="000D1CA9"/>
    <w:rsid w:val="000E6700"/>
    <w:rsid w:val="00106016"/>
    <w:rsid w:val="00110412"/>
    <w:rsid w:val="001119C6"/>
    <w:rsid w:val="00127620"/>
    <w:rsid w:val="001558CB"/>
    <w:rsid w:val="00177BF0"/>
    <w:rsid w:val="00183114"/>
    <w:rsid w:val="001A20E8"/>
    <w:rsid w:val="001A356D"/>
    <w:rsid w:val="001B59C2"/>
    <w:rsid w:val="001C42C6"/>
    <w:rsid w:val="001C44CE"/>
    <w:rsid w:val="001C5952"/>
    <w:rsid w:val="001C7120"/>
    <w:rsid w:val="001F129F"/>
    <w:rsid w:val="00227130"/>
    <w:rsid w:val="00242BAD"/>
    <w:rsid w:val="00276B09"/>
    <w:rsid w:val="00294804"/>
    <w:rsid w:val="002A3512"/>
    <w:rsid w:val="002D3926"/>
    <w:rsid w:val="002D3B7C"/>
    <w:rsid w:val="002E098C"/>
    <w:rsid w:val="002E2E0D"/>
    <w:rsid w:val="002F14F1"/>
    <w:rsid w:val="0031027D"/>
    <w:rsid w:val="00311704"/>
    <w:rsid w:val="00314388"/>
    <w:rsid w:val="00316B37"/>
    <w:rsid w:val="003476E3"/>
    <w:rsid w:val="00354B5B"/>
    <w:rsid w:val="00374DBA"/>
    <w:rsid w:val="00386C6B"/>
    <w:rsid w:val="00387910"/>
    <w:rsid w:val="003E2256"/>
    <w:rsid w:val="003F3DC1"/>
    <w:rsid w:val="00412FD2"/>
    <w:rsid w:val="0042198B"/>
    <w:rsid w:val="00431F93"/>
    <w:rsid w:val="0044026E"/>
    <w:rsid w:val="004475C8"/>
    <w:rsid w:val="004515C0"/>
    <w:rsid w:val="0045398F"/>
    <w:rsid w:val="004710CF"/>
    <w:rsid w:val="0047589A"/>
    <w:rsid w:val="00476125"/>
    <w:rsid w:val="00482EC4"/>
    <w:rsid w:val="00487D58"/>
    <w:rsid w:val="0049269A"/>
    <w:rsid w:val="004A1670"/>
    <w:rsid w:val="004F32C3"/>
    <w:rsid w:val="004F3445"/>
    <w:rsid w:val="00517D65"/>
    <w:rsid w:val="00522D3E"/>
    <w:rsid w:val="00525467"/>
    <w:rsid w:val="00553767"/>
    <w:rsid w:val="005603F5"/>
    <w:rsid w:val="00560668"/>
    <w:rsid w:val="00560853"/>
    <w:rsid w:val="005654F0"/>
    <w:rsid w:val="0057018C"/>
    <w:rsid w:val="0058326E"/>
    <w:rsid w:val="00586DCD"/>
    <w:rsid w:val="00594883"/>
    <w:rsid w:val="00597AD6"/>
    <w:rsid w:val="005B20CC"/>
    <w:rsid w:val="005C3E4D"/>
    <w:rsid w:val="005C6AC3"/>
    <w:rsid w:val="00601F04"/>
    <w:rsid w:val="00612E5A"/>
    <w:rsid w:val="00614F43"/>
    <w:rsid w:val="00632A49"/>
    <w:rsid w:val="00677910"/>
    <w:rsid w:val="0069646C"/>
    <w:rsid w:val="00710B2D"/>
    <w:rsid w:val="00714838"/>
    <w:rsid w:val="00736749"/>
    <w:rsid w:val="007404EC"/>
    <w:rsid w:val="007824CE"/>
    <w:rsid w:val="007A0458"/>
    <w:rsid w:val="007B2974"/>
    <w:rsid w:val="007C42B1"/>
    <w:rsid w:val="007E4C7F"/>
    <w:rsid w:val="007F121C"/>
    <w:rsid w:val="0080237D"/>
    <w:rsid w:val="008048B1"/>
    <w:rsid w:val="00834437"/>
    <w:rsid w:val="00847156"/>
    <w:rsid w:val="00851FEE"/>
    <w:rsid w:val="00860227"/>
    <w:rsid w:val="0086132D"/>
    <w:rsid w:val="008640A0"/>
    <w:rsid w:val="008B2001"/>
    <w:rsid w:val="008C693A"/>
    <w:rsid w:val="00900F9A"/>
    <w:rsid w:val="00913E7E"/>
    <w:rsid w:val="0092003E"/>
    <w:rsid w:val="00941428"/>
    <w:rsid w:val="00983C57"/>
    <w:rsid w:val="00987BCD"/>
    <w:rsid w:val="00991DD1"/>
    <w:rsid w:val="009A176D"/>
    <w:rsid w:val="009B12F2"/>
    <w:rsid w:val="009D4832"/>
    <w:rsid w:val="009D6311"/>
    <w:rsid w:val="009E4B85"/>
    <w:rsid w:val="009F1175"/>
    <w:rsid w:val="009F1ADA"/>
    <w:rsid w:val="00A07B25"/>
    <w:rsid w:val="00A07D16"/>
    <w:rsid w:val="00A256C8"/>
    <w:rsid w:val="00A32101"/>
    <w:rsid w:val="00A3226C"/>
    <w:rsid w:val="00A33501"/>
    <w:rsid w:val="00A6048E"/>
    <w:rsid w:val="00A74949"/>
    <w:rsid w:val="00A86888"/>
    <w:rsid w:val="00A96C80"/>
    <w:rsid w:val="00AA11DB"/>
    <w:rsid w:val="00AB1CBE"/>
    <w:rsid w:val="00AB24C3"/>
    <w:rsid w:val="00AF14D8"/>
    <w:rsid w:val="00B02DFC"/>
    <w:rsid w:val="00B038BF"/>
    <w:rsid w:val="00B23225"/>
    <w:rsid w:val="00B3031B"/>
    <w:rsid w:val="00B5272A"/>
    <w:rsid w:val="00B66FB1"/>
    <w:rsid w:val="00B74B92"/>
    <w:rsid w:val="00B86641"/>
    <w:rsid w:val="00B93107"/>
    <w:rsid w:val="00BE793B"/>
    <w:rsid w:val="00BF59EF"/>
    <w:rsid w:val="00BF64D0"/>
    <w:rsid w:val="00C50710"/>
    <w:rsid w:val="00C617DA"/>
    <w:rsid w:val="00C61FB8"/>
    <w:rsid w:val="00C659E1"/>
    <w:rsid w:val="00C67F8D"/>
    <w:rsid w:val="00C85991"/>
    <w:rsid w:val="00CA4591"/>
    <w:rsid w:val="00CB54CE"/>
    <w:rsid w:val="00CE2FB5"/>
    <w:rsid w:val="00CF133A"/>
    <w:rsid w:val="00CF308A"/>
    <w:rsid w:val="00D01553"/>
    <w:rsid w:val="00D06055"/>
    <w:rsid w:val="00D65B55"/>
    <w:rsid w:val="00D76C7E"/>
    <w:rsid w:val="00DA48E1"/>
    <w:rsid w:val="00DC74F7"/>
    <w:rsid w:val="00DD1C76"/>
    <w:rsid w:val="00DE4A2E"/>
    <w:rsid w:val="00E058E3"/>
    <w:rsid w:val="00E0716D"/>
    <w:rsid w:val="00E13B11"/>
    <w:rsid w:val="00E13E0D"/>
    <w:rsid w:val="00E50D8C"/>
    <w:rsid w:val="00E703C1"/>
    <w:rsid w:val="00EB03FF"/>
    <w:rsid w:val="00EB4458"/>
    <w:rsid w:val="00EC2D2D"/>
    <w:rsid w:val="00ED001E"/>
    <w:rsid w:val="00ED1463"/>
    <w:rsid w:val="00ED591E"/>
    <w:rsid w:val="00ED70C4"/>
    <w:rsid w:val="00F2142E"/>
    <w:rsid w:val="00F21FDD"/>
    <w:rsid w:val="00F22AF7"/>
    <w:rsid w:val="00F30F44"/>
    <w:rsid w:val="00F41273"/>
    <w:rsid w:val="00F430E6"/>
    <w:rsid w:val="00F51EAA"/>
    <w:rsid w:val="00FD3709"/>
    <w:rsid w:val="00FD3A61"/>
    <w:rsid w:val="00FD4CDE"/>
    <w:rsid w:val="00FF5394"/>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1C2BD-AC53-456E-B5DF-F89C7CA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0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12"/>
  </w:style>
  <w:style w:type="paragraph" w:styleId="Footer">
    <w:name w:val="footer"/>
    <w:basedOn w:val="Normal"/>
    <w:link w:val="FooterChar"/>
    <w:uiPriority w:val="99"/>
    <w:unhideWhenUsed/>
    <w:rsid w:val="0011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12"/>
  </w:style>
  <w:style w:type="paragraph" w:styleId="BalloonText">
    <w:name w:val="Balloon Text"/>
    <w:basedOn w:val="Normal"/>
    <w:link w:val="BalloonTextChar"/>
    <w:uiPriority w:val="99"/>
    <w:semiHidden/>
    <w:unhideWhenUsed/>
    <w:rsid w:val="0011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12"/>
    <w:rPr>
      <w:rFonts w:ascii="Tahoma" w:hAnsi="Tahoma" w:cs="Tahoma"/>
      <w:sz w:val="16"/>
      <w:szCs w:val="16"/>
    </w:rPr>
  </w:style>
  <w:style w:type="table" w:styleId="TableGrid">
    <w:name w:val="Table Grid"/>
    <w:basedOn w:val="TableNormal"/>
    <w:uiPriority w:val="59"/>
    <w:rsid w:val="0011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041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04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B85"/>
    <w:rPr>
      <w:color w:val="0000FF" w:themeColor="hyperlink"/>
      <w:u w:val="single"/>
    </w:rPr>
  </w:style>
  <w:style w:type="paragraph" w:styleId="ListParagraph">
    <w:name w:val="List Paragraph"/>
    <w:basedOn w:val="Normal"/>
    <w:uiPriority w:val="34"/>
    <w:qFormat/>
    <w:rsid w:val="001558CB"/>
    <w:pPr>
      <w:spacing w:after="160" w:line="259" w:lineRule="auto"/>
      <w:ind w:left="720"/>
      <w:contextualSpacing/>
    </w:pPr>
    <w:rPr>
      <w:rFonts w:eastAsiaTheme="minorHAnsi"/>
    </w:rPr>
  </w:style>
  <w:style w:type="character" w:customStyle="1" w:styleId="TableContents">
    <w:name w:val="Table_Contents"/>
    <w:basedOn w:val="DefaultParagraphFont"/>
    <w:uiPriority w:val="1"/>
    <w:qFormat/>
    <w:rsid w:val="004F3445"/>
    <w:rPr>
      <w:rFonts w:ascii="Times New Roman" w:hAnsi="Times New Roman" w:cs="Times New Roman" w:hint="default"/>
      <w:color w:val="000000"/>
    </w:rPr>
  </w:style>
  <w:style w:type="paragraph" w:styleId="CommentText">
    <w:name w:val="annotation text"/>
    <w:basedOn w:val="Normal"/>
    <w:link w:val="CommentTextChar"/>
    <w:uiPriority w:val="99"/>
    <w:rsid w:val="005B20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B20CC"/>
    <w:rPr>
      <w:rFonts w:ascii="Times New Roman" w:eastAsia="Times New Roman" w:hAnsi="Times New Roman" w:cs="Times New Roman"/>
      <w:sz w:val="20"/>
      <w:szCs w:val="20"/>
    </w:rPr>
  </w:style>
  <w:style w:type="paragraph" w:customStyle="1" w:styleId="TableText">
    <w:name w:val="TableText"/>
    <w:basedOn w:val="Normal"/>
    <w:link w:val="TableTextChar"/>
    <w:qFormat/>
    <w:rsid w:val="00AB1CBE"/>
    <w:pPr>
      <w:spacing w:before="40" w:after="40" w:line="240" w:lineRule="auto"/>
    </w:pPr>
    <w:rPr>
      <w:rFonts w:ascii="Arial" w:eastAsia="Times New Roman" w:hAnsi="Arial" w:cs="Times New Roman"/>
      <w:sz w:val="20"/>
      <w:szCs w:val="20"/>
    </w:rPr>
  </w:style>
  <w:style w:type="character" w:customStyle="1" w:styleId="TableTextChar">
    <w:name w:val="TableText Char"/>
    <w:basedOn w:val="DefaultParagraphFont"/>
    <w:link w:val="TableText"/>
    <w:locked/>
    <w:rsid w:val="00AB1CBE"/>
    <w:rPr>
      <w:rFonts w:ascii="Arial" w:eastAsia="Times New Roman" w:hAnsi="Arial" w:cs="Times New Roman"/>
      <w:sz w:val="20"/>
      <w:szCs w:val="20"/>
    </w:rPr>
  </w:style>
  <w:style w:type="paragraph" w:customStyle="1" w:styleId="TableText0">
    <w:name w:val="Table Text"/>
    <w:basedOn w:val="Normal"/>
    <w:rsid w:val="00AB1CBE"/>
    <w:pPr>
      <w:spacing w:after="0" w:line="240" w:lineRule="auto"/>
    </w:pPr>
    <w:rPr>
      <w:rFonts w:eastAsiaTheme="minorHAnsi"/>
    </w:rPr>
  </w:style>
  <w:style w:type="character" w:styleId="FollowedHyperlink">
    <w:name w:val="FollowedHyperlink"/>
    <w:basedOn w:val="DefaultParagraphFont"/>
    <w:uiPriority w:val="99"/>
    <w:semiHidden/>
    <w:unhideWhenUsed/>
    <w:rsid w:val="00242BAD"/>
    <w:rPr>
      <w:color w:val="800080" w:themeColor="followedHyperlink"/>
      <w:u w:val="single"/>
    </w:rPr>
  </w:style>
  <w:style w:type="paragraph" w:customStyle="1" w:styleId="Default">
    <w:name w:val="Default"/>
    <w:rsid w:val="00354B5B"/>
    <w:pPr>
      <w:autoSpaceDE w:val="0"/>
      <w:autoSpaceDN w:val="0"/>
      <w:adjustRightInd w:val="0"/>
      <w:spacing w:after="0" w:line="240" w:lineRule="auto"/>
    </w:pPr>
    <w:rPr>
      <w:rFonts w:ascii="Times New Roman" w:hAnsi="Times New Roman" w:cs="Times New Roman"/>
      <w:color w:val="000000"/>
      <w:sz w:val="24"/>
      <w:szCs w:val="24"/>
    </w:rPr>
  </w:style>
  <w:style w:type="paragraph" w:styleId="TOC8">
    <w:name w:val="toc 8"/>
    <w:basedOn w:val="Normal"/>
    <w:next w:val="Normal"/>
    <w:autoRedefine/>
    <w:semiHidden/>
    <w:rsid w:val="001B59C2"/>
    <w:pPr>
      <w:spacing w:before="60" w:after="240" w:line="240" w:lineRule="auto"/>
      <w:ind w:left="1400"/>
    </w:pPr>
    <w:rPr>
      <w:rFonts w:ascii="Arial" w:eastAsia="Times New Roman" w:hAnsi="Arial" w:cs="Times New Roman"/>
      <w:szCs w:val="20"/>
    </w:rPr>
  </w:style>
  <w:style w:type="paragraph" w:styleId="NormalWeb">
    <w:name w:val="Normal (Web)"/>
    <w:basedOn w:val="Normal"/>
    <w:uiPriority w:val="99"/>
    <w:semiHidden/>
    <w:unhideWhenUsed/>
    <w:rsid w:val="00C67F8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4823">
      <w:bodyDiv w:val="1"/>
      <w:marLeft w:val="0"/>
      <w:marRight w:val="0"/>
      <w:marTop w:val="0"/>
      <w:marBottom w:val="0"/>
      <w:divBdr>
        <w:top w:val="none" w:sz="0" w:space="0" w:color="auto"/>
        <w:left w:val="none" w:sz="0" w:space="0" w:color="auto"/>
        <w:bottom w:val="none" w:sz="0" w:space="0" w:color="auto"/>
        <w:right w:val="none" w:sz="0" w:space="0" w:color="auto"/>
      </w:divBdr>
    </w:div>
    <w:div w:id="376315185">
      <w:bodyDiv w:val="1"/>
      <w:marLeft w:val="0"/>
      <w:marRight w:val="0"/>
      <w:marTop w:val="0"/>
      <w:marBottom w:val="0"/>
      <w:divBdr>
        <w:top w:val="none" w:sz="0" w:space="0" w:color="auto"/>
        <w:left w:val="none" w:sz="0" w:space="0" w:color="auto"/>
        <w:bottom w:val="none" w:sz="0" w:space="0" w:color="auto"/>
        <w:right w:val="none" w:sz="0" w:space="0" w:color="auto"/>
      </w:divBdr>
    </w:div>
    <w:div w:id="484855866">
      <w:bodyDiv w:val="1"/>
      <w:marLeft w:val="0"/>
      <w:marRight w:val="0"/>
      <w:marTop w:val="0"/>
      <w:marBottom w:val="0"/>
      <w:divBdr>
        <w:top w:val="none" w:sz="0" w:space="0" w:color="auto"/>
        <w:left w:val="none" w:sz="0" w:space="0" w:color="auto"/>
        <w:bottom w:val="none" w:sz="0" w:space="0" w:color="auto"/>
        <w:right w:val="none" w:sz="0" w:space="0" w:color="auto"/>
      </w:divBdr>
    </w:div>
    <w:div w:id="514999754">
      <w:bodyDiv w:val="1"/>
      <w:marLeft w:val="0"/>
      <w:marRight w:val="0"/>
      <w:marTop w:val="0"/>
      <w:marBottom w:val="0"/>
      <w:divBdr>
        <w:top w:val="none" w:sz="0" w:space="0" w:color="auto"/>
        <w:left w:val="none" w:sz="0" w:space="0" w:color="auto"/>
        <w:bottom w:val="none" w:sz="0" w:space="0" w:color="auto"/>
        <w:right w:val="none" w:sz="0" w:space="0" w:color="auto"/>
      </w:divBdr>
    </w:div>
    <w:div w:id="520780322">
      <w:bodyDiv w:val="1"/>
      <w:marLeft w:val="0"/>
      <w:marRight w:val="0"/>
      <w:marTop w:val="0"/>
      <w:marBottom w:val="0"/>
      <w:divBdr>
        <w:top w:val="none" w:sz="0" w:space="0" w:color="auto"/>
        <w:left w:val="none" w:sz="0" w:space="0" w:color="auto"/>
        <w:bottom w:val="none" w:sz="0" w:space="0" w:color="auto"/>
        <w:right w:val="none" w:sz="0" w:space="0" w:color="auto"/>
      </w:divBdr>
    </w:div>
    <w:div w:id="552042021">
      <w:bodyDiv w:val="1"/>
      <w:marLeft w:val="0"/>
      <w:marRight w:val="0"/>
      <w:marTop w:val="0"/>
      <w:marBottom w:val="0"/>
      <w:divBdr>
        <w:top w:val="none" w:sz="0" w:space="0" w:color="auto"/>
        <w:left w:val="none" w:sz="0" w:space="0" w:color="auto"/>
        <w:bottom w:val="none" w:sz="0" w:space="0" w:color="auto"/>
        <w:right w:val="none" w:sz="0" w:space="0" w:color="auto"/>
      </w:divBdr>
    </w:div>
    <w:div w:id="683366890">
      <w:bodyDiv w:val="1"/>
      <w:marLeft w:val="0"/>
      <w:marRight w:val="0"/>
      <w:marTop w:val="0"/>
      <w:marBottom w:val="0"/>
      <w:divBdr>
        <w:top w:val="none" w:sz="0" w:space="0" w:color="auto"/>
        <w:left w:val="none" w:sz="0" w:space="0" w:color="auto"/>
        <w:bottom w:val="none" w:sz="0" w:space="0" w:color="auto"/>
        <w:right w:val="none" w:sz="0" w:space="0" w:color="auto"/>
      </w:divBdr>
    </w:div>
    <w:div w:id="754473574">
      <w:bodyDiv w:val="1"/>
      <w:marLeft w:val="0"/>
      <w:marRight w:val="0"/>
      <w:marTop w:val="0"/>
      <w:marBottom w:val="0"/>
      <w:divBdr>
        <w:top w:val="none" w:sz="0" w:space="0" w:color="auto"/>
        <w:left w:val="none" w:sz="0" w:space="0" w:color="auto"/>
        <w:bottom w:val="none" w:sz="0" w:space="0" w:color="auto"/>
        <w:right w:val="none" w:sz="0" w:space="0" w:color="auto"/>
      </w:divBdr>
    </w:div>
    <w:div w:id="756101601">
      <w:bodyDiv w:val="1"/>
      <w:marLeft w:val="0"/>
      <w:marRight w:val="0"/>
      <w:marTop w:val="0"/>
      <w:marBottom w:val="0"/>
      <w:divBdr>
        <w:top w:val="none" w:sz="0" w:space="0" w:color="auto"/>
        <w:left w:val="none" w:sz="0" w:space="0" w:color="auto"/>
        <w:bottom w:val="none" w:sz="0" w:space="0" w:color="auto"/>
        <w:right w:val="none" w:sz="0" w:space="0" w:color="auto"/>
      </w:divBdr>
    </w:div>
    <w:div w:id="815026925">
      <w:bodyDiv w:val="1"/>
      <w:marLeft w:val="0"/>
      <w:marRight w:val="0"/>
      <w:marTop w:val="0"/>
      <w:marBottom w:val="0"/>
      <w:divBdr>
        <w:top w:val="none" w:sz="0" w:space="0" w:color="auto"/>
        <w:left w:val="none" w:sz="0" w:space="0" w:color="auto"/>
        <w:bottom w:val="none" w:sz="0" w:space="0" w:color="auto"/>
        <w:right w:val="none" w:sz="0" w:space="0" w:color="auto"/>
      </w:divBdr>
    </w:div>
    <w:div w:id="843282808">
      <w:bodyDiv w:val="1"/>
      <w:marLeft w:val="0"/>
      <w:marRight w:val="0"/>
      <w:marTop w:val="0"/>
      <w:marBottom w:val="0"/>
      <w:divBdr>
        <w:top w:val="none" w:sz="0" w:space="0" w:color="auto"/>
        <w:left w:val="none" w:sz="0" w:space="0" w:color="auto"/>
        <w:bottom w:val="none" w:sz="0" w:space="0" w:color="auto"/>
        <w:right w:val="none" w:sz="0" w:space="0" w:color="auto"/>
      </w:divBdr>
    </w:div>
    <w:div w:id="897396886">
      <w:bodyDiv w:val="1"/>
      <w:marLeft w:val="0"/>
      <w:marRight w:val="0"/>
      <w:marTop w:val="0"/>
      <w:marBottom w:val="0"/>
      <w:divBdr>
        <w:top w:val="none" w:sz="0" w:space="0" w:color="auto"/>
        <w:left w:val="none" w:sz="0" w:space="0" w:color="auto"/>
        <w:bottom w:val="none" w:sz="0" w:space="0" w:color="auto"/>
        <w:right w:val="none" w:sz="0" w:space="0" w:color="auto"/>
      </w:divBdr>
    </w:div>
    <w:div w:id="1005325223">
      <w:bodyDiv w:val="1"/>
      <w:marLeft w:val="0"/>
      <w:marRight w:val="0"/>
      <w:marTop w:val="0"/>
      <w:marBottom w:val="0"/>
      <w:divBdr>
        <w:top w:val="none" w:sz="0" w:space="0" w:color="auto"/>
        <w:left w:val="none" w:sz="0" w:space="0" w:color="auto"/>
        <w:bottom w:val="none" w:sz="0" w:space="0" w:color="auto"/>
        <w:right w:val="none" w:sz="0" w:space="0" w:color="auto"/>
      </w:divBdr>
    </w:div>
    <w:div w:id="1122960549">
      <w:bodyDiv w:val="1"/>
      <w:marLeft w:val="0"/>
      <w:marRight w:val="0"/>
      <w:marTop w:val="0"/>
      <w:marBottom w:val="0"/>
      <w:divBdr>
        <w:top w:val="none" w:sz="0" w:space="0" w:color="auto"/>
        <w:left w:val="none" w:sz="0" w:space="0" w:color="auto"/>
        <w:bottom w:val="none" w:sz="0" w:space="0" w:color="auto"/>
        <w:right w:val="none" w:sz="0" w:space="0" w:color="auto"/>
      </w:divBdr>
    </w:div>
    <w:div w:id="1137258065">
      <w:bodyDiv w:val="1"/>
      <w:marLeft w:val="0"/>
      <w:marRight w:val="0"/>
      <w:marTop w:val="0"/>
      <w:marBottom w:val="0"/>
      <w:divBdr>
        <w:top w:val="none" w:sz="0" w:space="0" w:color="auto"/>
        <w:left w:val="none" w:sz="0" w:space="0" w:color="auto"/>
        <w:bottom w:val="none" w:sz="0" w:space="0" w:color="auto"/>
        <w:right w:val="none" w:sz="0" w:space="0" w:color="auto"/>
      </w:divBdr>
    </w:div>
    <w:div w:id="1152409717">
      <w:bodyDiv w:val="1"/>
      <w:marLeft w:val="0"/>
      <w:marRight w:val="0"/>
      <w:marTop w:val="0"/>
      <w:marBottom w:val="0"/>
      <w:divBdr>
        <w:top w:val="none" w:sz="0" w:space="0" w:color="auto"/>
        <w:left w:val="none" w:sz="0" w:space="0" w:color="auto"/>
        <w:bottom w:val="none" w:sz="0" w:space="0" w:color="auto"/>
        <w:right w:val="none" w:sz="0" w:space="0" w:color="auto"/>
      </w:divBdr>
    </w:div>
    <w:div w:id="1239166910">
      <w:bodyDiv w:val="1"/>
      <w:marLeft w:val="0"/>
      <w:marRight w:val="0"/>
      <w:marTop w:val="0"/>
      <w:marBottom w:val="0"/>
      <w:divBdr>
        <w:top w:val="none" w:sz="0" w:space="0" w:color="auto"/>
        <w:left w:val="none" w:sz="0" w:space="0" w:color="auto"/>
        <w:bottom w:val="none" w:sz="0" w:space="0" w:color="auto"/>
        <w:right w:val="none" w:sz="0" w:space="0" w:color="auto"/>
      </w:divBdr>
    </w:div>
    <w:div w:id="1248883628">
      <w:bodyDiv w:val="1"/>
      <w:marLeft w:val="0"/>
      <w:marRight w:val="0"/>
      <w:marTop w:val="0"/>
      <w:marBottom w:val="0"/>
      <w:divBdr>
        <w:top w:val="none" w:sz="0" w:space="0" w:color="auto"/>
        <w:left w:val="none" w:sz="0" w:space="0" w:color="auto"/>
        <w:bottom w:val="none" w:sz="0" w:space="0" w:color="auto"/>
        <w:right w:val="none" w:sz="0" w:space="0" w:color="auto"/>
      </w:divBdr>
    </w:div>
    <w:div w:id="1352802618">
      <w:bodyDiv w:val="1"/>
      <w:marLeft w:val="0"/>
      <w:marRight w:val="0"/>
      <w:marTop w:val="0"/>
      <w:marBottom w:val="0"/>
      <w:divBdr>
        <w:top w:val="none" w:sz="0" w:space="0" w:color="auto"/>
        <w:left w:val="none" w:sz="0" w:space="0" w:color="auto"/>
        <w:bottom w:val="none" w:sz="0" w:space="0" w:color="auto"/>
        <w:right w:val="none" w:sz="0" w:space="0" w:color="auto"/>
      </w:divBdr>
    </w:div>
    <w:div w:id="1383211237">
      <w:bodyDiv w:val="1"/>
      <w:marLeft w:val="0"/>
      <w:marRight w:val="0"/>
      <w:marTop w:val="0"/>
      <w:marBottom w:val="0"/>
      <w:divBdr>
        <w:top w:val="none" w:sz="0" w:space="0" w:color="auto"/>
        <w:left w:val="none" w:sz="0" w:space="0" w:color="auto"/>
        <w:bottom w:val="none" w:sz="0" w:space="0" w:color="auto"/>
        <w:right w:val="none" w:sz="0" w:space="0" w:color="auto"/>
      </w:divBdr>
    </w:div>
    <w:div w:id="1450465456">
      <w:bodyDiv w:val="1"/>
      <w:marLeft w:val="0"/>
      <w:marRight w:val="0"/>
      <w:marTop w:val="0"/>
      <w:marBottom w:val="0"/>
      <w:divBdr>
        <w:top w:val="none" w:sz="0" w:space="0" w:color="auto"/>
        <w:left w:val="none" w:sz="0" w:space="0" w:color="auto"/>
        <w:bottom w:val="none" w:sz="0" w:space="0" w:color="auto"/>
        <w:right w:val="none" w:sz="0" w:space="0" w:color="auto"/>
      </w:divBdr>
    </w:div>
    <w:div w:id="1514996669">
      <w:bodyDiv w:val="1"/>
      <w:marLeft w:val="0"/>
      <w:marRight w:val="0"/>
      <w:marTop w:val="0"/>
      <w:marBottom w:val="0"/>
      <w:divBdr>
        <w:top w:val="none" w:sz="0" w:space="0" w:color="auto"/>
        <w:left w:val="none" w:sz="0" w:space="0" w:color="auto"/>
        <w:bottom w:val="none" w:sz="0" w:space="0" w:color="auto"/>
        <w:right w:val="none" w:sz="0" w:space="0" w:color="auto"/>
      </w:divBdr>
    </w:div>
    <w:div w:id="1544249155">
      <w:bodyDiv w:val="1"/>
      <w:marLeft w:val="0"/>
      <w:marRight w:val="0"/>
      <w:marTop w:val="0"/>
      <w:marBottom w:val="0"/>
      <w:divBdr>
        <w:top w:val="none" w:sz="0" w:space="0" w:color="auto"/>
        <w:left w:val="none" w:sz="0" w:space="0" w:color="auto"/>
        <w:bottom w:val="none" w:sz="0" w:space="0" w:color="auto"/>
        <w:right w:val="none" w:sz="0" w:space="0" w:color="auto"/>
      </w:divBdr>
    </w:div>
    <w:div w:id="1672292154">
      <w:bodyDiv w:val="1"/>
      <w:marLeft w:val="0"/>
      <w:marRight w:val="0"/>
      <w:marTop w:val="0"/>
      <w:marBottom w:val="0"/>
      <w:divBdr>
        <w:top w:val="none" w:sz="0" w:space="0" w:color="auto"/>
        <w:left w:val="none" w:sz="0" w:space="0" w:color="auto"/>
        <w:bottom w:val="none" w:sz="0" w:space="0" w:color="auto"/>
        <w:right w:val="none" w:sz="0" w:space="0" w:color="auto"/>
      </w:divBdr>
    </w:div>
    <w:div w:id="1679383321">
      <w:bodyDiv w:val="1"/>
      <w:marLeft w:val="0"/>
      <w:marRight w:val="0"/>
      <w:marTop w:val="0"/>
      <w:marBottom w:val="0"/>
      <w:divBdr>
        <w:top w:val="none" w:sz="0" w:space="0" w:color="auto"/>
        <w:left w:val="none" w:sz="0" w:space="0" w:color="auto"/>
        <w:bottom w:val="none" w:sz="0" w:space="0" w:color="auto"/>
        <w:right w:val="none" w:sz="0" w:space="0" w:color="auto"/>
      </w:divBdr>
    </w:div>
    <w:div w:id="1758210277">
      <w:bodyDiv w:val="1"/>
      <w:marLeft w:val="0"/>
      <w:marRight w:val="0"/>
      <w:marTop w:val="0"/>
      <w:marBottom w:val="0"/>
      <w:divBdr>
        <w:top w:val="none" w:sz="0" w:space="0" w:color="auto"/>
        <w:left w:val="none" w:sz="0" w:space="0" w:color="auto"/>
        <w:bottom w:val="none" w:sz="0" w:space="0" w:color="auto"/>
        <w:right w:val="none" w:sz="0" w:space="0" w:color="auto"/>
      </w:divBdr>
    </w:div>
    <w:div w:id="1847741436">
      <w:bodyDiv w:val="1"/>
      <w:marLeft w:val="0"/>
      <w:marRight w:val="0"/>
      <w:marTop w:val="0"/>
      <w:marBottom w:val="0"/>
      <w:divBdr>
        <w:top w:val="none" w:sz="0" w:space="0" w:color="auto"/>
        <w:left w:val="none" w:sz="0" w:space="0" w:color="auto"/>
        <w:bottom w:val="none" w:sz="0" w:space="0" w:color="auto"/>
        <w:right w:val="none" w:sz="0" w:space="0" w:color="auto"/>
      </w:divBdr>
    </w:div>
    <w:div w:id="1917278023">
      <w:bodyDiv w:val="1"/>
      <w:marLeft w:val="0"/>
      <w:marRight w:val="0"/>
      <w:marTop w:val="0"/>
      <w:marBottom w:val="0"/>
      <w:divBdr>
        <w:top w:val="none" w:sz="0" w:space="0" w:color="auto"/>
        <w:left w:val="none" w:sz="0" w:space="0" w:color="auto"/>
        <w:bottom w:val="none" w:sz="0" w:space="0" w:color="auto"/>
        <w:right w:val="none" w:sz="0" w:space="0" w:color="auto"/>
      </w:divBdr>
    </w:div>
    <w:div w:id="1932662355">
      <w:bodyDiv w:val="1"/>
      <w:marLeft w:val="0"/>
      <w:marRight w:val="0"/>
      <w:marTop w:val="0"/>
      <w:marBottom w:val="0"/>
      <w:divBdr>
        <w:top w:val="none" w:sz="0" w:space="0" w:color="auto"/>
        <w:left w:val="none" w:sz="0" w:space="0" w:color="auto"/>
        <w:bottom w:val="none" w:sz="0" w:space="0" w:color="auto"/>
        <w:right w:val="none" w:sz="0" w:space="0" w:color="auto"/>
      </w:divBdr>
    </w:div>
    <w:div w:id="20491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NM_SPD_24665" TargetMode="External"/><Relationship Id="rId13" Type="http://schemas.openxmlformats.org/officeDocument/2006/relationships/hyperlink" Target="http://bit.ly/NM_SPD_24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NM_SPD_246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ebnew.ped.state.nm.us/bureaus/assessment-3/spring2019math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00E5-0E85-4460-9764-0459410E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10219</Words>
  <Characters>58250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rmsilva</dc:creator>
  <cp:lastModifiedBy>Kimber Sanchez</cp:lastModifiedBy>
  <cp:revision>2</cp:revision>
  <dcterms:created xsi:type="dcterms:W3CDTF">2019-06-19T18:27:00Z</dcterms:created>
  <dcterms:modified xsi:type="dcterms:W3CDTF">2019-06-19T18:27:00Z</dcterms:modified>
</cp:coreProperties>
</file>