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40A" w:rsidRDefault="00CA740A" w:rsidP="00CA740A">
      <w:pPr>
        <w:pStyle w:val="BodyText"/>
        <w:kinsoku w:val="0"/>
        <w:overflowPunct w:val="0"/>
        <w:ind w:left="117" w:right="-28" w:hanging="117"/>
        <w:rPr>
          <w:rFonts w:ascii="Times New Roman" w:hAnsi="Times New Roman" w:cs="Times New Roman"/>
          <w:sz w:val="20"/>
          <w:szCs w:val="20"/>
          <w:u w:val="none"/>
        </w:rPr>
      </w:pPr>
      <w:r>
        <w:rPr>
          <w:rFonts w:ascii="Times New Roman" w:hAnsi="Times New Roman" w:cs="Times New Roman"/>
          <w:noProof/>
          <w:sz w:val="20"/>
          <w:szCs w:val="20"/>
          <w:u w:val="none"/>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1905</wp:posOffset>
                </wp:positionV>
                <wp:extent cx="7172325" cy="289560"/>
                <wp:effectExtent l="0" t="0" r="28575" b="1524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89560"/>
                        </a:xfrm>
                        <a:prstGeom prst="rect">
                          <a:avLst/>
                        </a:prstGeom>
                        <a:solidFill>
                          <a:schemeClr val="accent2"/>
                        </a:solidFill>
                        <a:ln w="9525">
                          <a:solidFill>
                            <a:srgbClr val="000000"/>
                          </a:solidFill>
                          <a:miter lim="800000"/>
                          <a:headEnd/>
                          <a:tailEnd/>
                        </a:ln>
                        <a:extLst/>
                      </wps:spPr>
                      <wps:txbx>
                        <w:txbxContent>
                          <w:p w:rsidR="00CA740A" w:rsidRPr="00D81E89" w:rsidRDefault="00CA740A" w:rsidP="00CA740A">
                            <w:pPr>
                              <w:pStyle w:val="Heading1"/>
                              <w:spacing w:before="0"/>
                            </w:pPr>
                            <w:bookmarkStart w:id="0" w:name="_GoBack"/>
                            <w:r>
                              <w:t xml:space="preserve">     </w:t>
                            </w:r>
                            <w:bookmarkStart w:id="1" w:name="_Toc11251987"/>
                            <w:r w:rsidRPr="006820FC">
                              <w:rPr>
                                <w:color w:val="E7E6E6" w:themeColor="background2"/>
                              </w:rPr>
                              <w:t>Early Childhood Inclusive Practices Self-Assessment Tool</w:t>
                            </w:r>
                            <w:bookmarkEnd w:id="1"/>
                            <w:bookmarkEnd w:id="0"/>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48pt;margin-top:.15pt;width:564.75pt;height:22.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" fillcolor="#ed7d31 [3205]">
                <v:textbox inset="0,0,0,0">
                  <w:txbxContent>
                    <w:p w:rsidR="00CA740A" w:rsidRPr="00D81E89" w:rsidRDefault="00CA740A" w:rsidP="00CA740A">
                      <w:pPr>
                        <w:pStyle w:val="Heading1"/>
                        <w:spacing w:before="0"/>
                      </w:pPr>
                      <w:bookmarkStart w:id="2" w:name="_GoBack"/>
                      <w:r>
                        <w:t xml:space="preserve">     </w:t>
                      </w:r>
                      <w:bookmarkStart w:id="3" w:name="_Toc11251987"/>
                      <w:r w:rsidRPr="006820FC">
                        <w:rPr>
                          <w:color w:val="E7E6E6" w:themeColor="background2"/>
                        </w:rPr>
                        <w:t>Early Childhood Inclusive Practices Self-Assessment Tool</w:t>
                      </w:r>
                      <w:bookmarkEnd w:id="3"/>
                      <w:bookmarkEnd w:id="2"/>
                    </w:p>
                  </w:txbxContent>
                </v:textbox>
                <w10:wrap type="square"/>
              </v:shape>
            </w:pict>
          </mc:Fallback>
        </mc:AlternateContent>
      </w:r>
    </w:p>
    <w:p w:rsidR="00CA740A" w:rsidRPr="006820FC" w:rsidRDefault="00CA740A" w:rsidP="00CA740A">
      <w:pPr>
        <w:pStyle w:val="BodyText"/>
        <w:kinsoku w:val="0"/>
        <w:overflowPunct w:val="0"/>
        <w:rPr>
          <w:rFonts w:ascii="Times New Roman" w:hAnsi="Times New Roman" w:cs="Times New Roman"/>
          <w:sz w:val="6"/>
          <w:szCs w:val="6"/>
          <w:u w:val="none"/>
        </w:rPr>
      </w:pPr>
    </w:p>
    <w:p w:rsidR="00CA740A" w:rsidRPr="00436DBC" w:rsidRDefault="00CA740A" w:rsidP="00CA740A">
      <w:pPr>
        <w:pStyle w:val="BodyText"/>
        <w:kinsoku w:val="0"/>
        <w:overflowPunct w:val="0"/>
        <w:ind w:left="117" w:right="915"/>
        <w:rPr>
          <w:sz w:val="22"/>
          <w:szCs w:val="22"/>
          <w:u w:val="none"/>
        </w:rPr>
      </w:pPr>
      <w:r w:rsidRPr="00436DBC">
        <w:rPr>
          <w:b/>
          <w:bCs/>
          <w:sz w:val="22"/>
          <w:szCs w:val="22"/>
          <w:u w:val="none"/>
        </w:rPr>
        <w:t xml:space="preserve">Directions: </w:t>
      </w:r>
      <w:r w:rsidRPr="00436DBC">
        <w:rPr>
          <w:sz w:val="22"/>
          <w:szCs w:val="22"/>
          <w:u w:val="none"/>
        </w:rPr>
        <w:t xml:space="preserve">With your team, reflect on </w:t>
      </w:r>
      <w:proofErr w:type="gramStart"/>
      <w:r w:rsidRPr="00436DBC">
        <w:rPr>
          <w:sz w:val="22"/>
          <w:szCs w:val="22"/>
          <w:u w:val="none"/>
        </w:rPr>
        <w:t>past experiences</w:t>
      </w:r>
      <w:proofErr w:type="gramEnd"/>
      <w:r w:rsidRPr="00436DBC">
        <w:rPr>
          <w:sz w:val="22"/>
          <w:szCs w:val="22"/>
          <w:u w:val="none"/>
        </w:rPr>
        <w:t xml:space="preserve"> and discuss the following statements to come to consensus on the rating. Mark an X in the appropriate column.</w:t>
      </w:r>
    </w:p>
    <w:tbl>
      <w:tblPr>
        <w:tblpPr w:leftFromText="180" w:rightFromText="180" w:vertAnchor="text" w:horzAnchor="margin" w:tblpXSpec="center" w:tblpY="192"/>
        <w:tblW w:w="10804" w:type="dxa"/>
        <w:tblLayout w:type="fixed"/>
        <w:tblCellMar>
          <w:left w:w="0" w:type="dxa"/>
          <w:right w:w="0" w:type="dxa"/>
        </w:tblCellMar>
        <w:tblLook w:val="0000" w:firstRow="0" w:lastRow="0" w:firstColumn="0" w:lastColumn="0" w:noHBand="0" w:noVBand="0"/>
      </w:tblPr>
      <w:tblGrid>
        <w:gridCol w:w="9"/>
        <w:gridCol w:w="8860"/>
        <w:gridCol w:w="384"/>
        <w:gridCol w:w="385"/>
        <w:gridCol w:w="385"/>
        <w:gridCol w:w="385"/>
        <w:gridCol w:w="382"/>
        <w:gridCol w:w="14"/>
      </w:tblGrid>
      <w:tr w:rsidR="00CA740A" w:rsidTr="00CA740A">
        <w:trPr>
          <w:gridBefore w:val="1"/>
          <w:gridAfter w:val="1"/>
          <w:wBefore w:w="9" w:type="dxa"/>
          <w:wAfter w:w="14" w:type="dxa"/>
          <w:trHeight w:val="241"/>
        </w:trPr>
        <w:tc>
          <w:tcPr>
            <w:tcW w:w="8860"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rsidR="00CA740A" w:rsidRPr="00656C1C" w:rsidRDefault="00CA740A" w:rsidP="00CA740A">
            <w:pPr>
              <w:pStyle w:val="TableParagraph"/>
              <w:kinsoku w:val="0"/>
              <w:overflowPunct w:val="0"/>
              <w:jc w:val="center"/>
              <w:rPr>
                <w:rFonts w:cs="Arial"/>
                <w:b/>
                <w:bCs/>
                <w:sz w:val="22"/>
                <w:szCs w:val="22"/>
              </w:rPr>
            </w:pPr>
            <w:r w:rsidRPr="00656C1C">
              <w:rPr>
                <w:rFonts w:cs="Arial"/>
                <w:b/>
                <w:bCs/>
                <w:sz w:val="22"/>
                <w:szCs w:val="22"/>
              </w:rPr>
              <w:t>Self-Assessment Statement</w:t>
            </w:r>
          </w:p>
        </w:tc>
        <w:tc>
          <w:tcPr>
            <w:tcW w:w="384"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rsidR="00CA740A" w:rsidRPr="00656C1C" w:rsidRDefault="00CA740A" w:rsidP="00CA740A">
            <w:pPr>
              <w:pStyle w:val="TableParagraph"/>
              <w:kinsoku w:val="0"/>
              <w:overflowPunct w:val="0"/>
              <w:ind w:left="21"/>
              <w:rPr>
                <w:rFonts w:ascii="Arial" w:hAnsi="Arial" w:cs="Arial"/>
                <w:b/>
                <w:bCs/>
                <w:w w:val="99"/>
                <w:sz w:val="22"/>
                <w:szCs w:val="22"/>
              </w:rPr>
            </w:pPr>
            <w:r w:rsidRPr="00656C1C">
              <w:rPr>
                <w:rFonts w:ascii="Arial" w:hAnsi="Arial" w:cs="Arial"/>
                <w:b/>
                <w:bCs/>
                <w:w w:val="99"/>
                <w:sz w:val="22"/>
                <w:szCs w:val="22"/>
              </w:rPr>
              <w:t>1</w:t>
            </w:r>
          </w:p>
        </w:tc>
        <w:tc>
          <w:tcPr>
            <w:tcW w:w="385"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rsidR="00CA740A" w:rsidRPr="00656C1C" w:rsidRDefault="00CA740A" w:rsidP="00CA740A">
            <w:pPr>
              <w:pStyle w:val="TableParagraph"/>
              <w:kinsoku w:val="0"/>
              <w:overflowPunct w:val="0"/>
              <w:ind w:left="22"/>
              <w:rPr>
                <w:rFonts w:ascii="Arial" w:hAnsi="Arial" w:cs="Arial"/>
                <w:b/>
                <w:bCs/>
                <w:w w:val="99"/>
                <w:sz w:val="22"/>
                <w:szCs w:val="22"/>
              </w:rPr>
            </w:pPr>
            <w:r w:rsidRPr="00656C1C">
              <w:rPr>
                <w:rFonts w:ascii="Arial" w:hAnsi="Arial" w:cs="Arial"/>
                <w:b/>
                <w:bCs/>
                <w:w w:val="99"/>
                <w:sz w:val="22"/>
                <w:szCs w:val="22"/>
              </w:rPr>
              <w:t>2</w:t>
            </w:r>
          </w:p>
        </w:tc>
        <w:tc>
          <w:tcPr>
            <w:tcW w:w="385"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rsidR="00CA740A" w:rsidRPr="00656C1C" w:rsidRDefault="00CA740A" w:rsidP="00CA740A">
            <w:pPr>
              <w:pStyle w:val="TableParagraph"/>
              <w:kinsoku w:val="0"/>
              <w:overflowPunct w:val="0"/>
              <w:ind w:left="23"/>
              <w:rPr>
                <w:rFonts w:ascii="Arial" w:hAnsi="Arial" w:cs="Arial"/>
                <w:b/>
                <w:bCs/>
                <w:w w:val="99"/>
                <w:sz w:val="22"/>
                <w:szCs w:val="22"/>
              </w:rPr>
            </w:pPr>
            <w:r w:rsidRPr="00656C1C">
              <w:rPr>
                <w:rFonts w:ascii="Arial" w:hAnsi="Arial" w:cs="Arial"/>
                <w:b/>
                <w:bCs/>
                <w:w w:val="99"/>
                <w:sz w:val="22"/>
                <w:szCs w:val="22"/>
              </w:rPr>
              <w:t>3</w:t>
            </w:r>
          </w:p>
        </w:tc>
        <w:tc>
          <w:tcPr>
            <w:tcW w:w="385"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rsidR="00CA740A" w:rsidRPr="00656C1C" w:rsidRDefault="00CA740A" w:rsidP="00CA740A">
            <w:pPr>
              <w:pStyle w:val="TableParagraph"/>
              <w:kinsoku w:val="0"/>
              <w:overflowPunct w:val="0"/>
              <w:ind w:left="25"/>
              <w:rPr>
                <w:rFonts w:ascii="Arial" w:hAnsi="Arial" w:cs="Arial"/>
                <w:b/>
                <w:bCs/>
                <w:w w:val="99"/>
                <w:sz w:val="22"/>
                <w:szCs w:val="22"/>
              </w:rPr>
            </w:pPr>
            <w:r w:rsidRPr="00656C1C">
              <w:rPr>
                <w:rFonts w:ascii="Arial" w:hAnsi="Arial" w:cs="Arial"/>
                <w:b/>
                <w:bCs/>
                <w:w w:val="99"/>
                <w:sz w:val="22"/>
                <w:szCs w:val="22"/>
              </w:rPr>
              <w:t>4</w:t>
            </w:r>
          </w:p>
        </w:tc>
        <w:tc>
          <w:tcPr>
            <w:tcW w:w="382" w:type="dxa"/>
            <w:tcBorders>
              <w:top w:val="single" w:sz="12" w:space="0" w:color="000000"/>
              <w:left w:val="single" w:sz="12" w:space="0" w:color="000000"/>
              <w:bottom w:val="single" w:sz="12" w:space="0" w:color="000000"/>
              <w:right w:val="single" w:sz="12" w:space="0" w:color="000000"/>
            </w:tcBorders>
            <w:shd w:val="clear" w:color="auto" w:fill="F7CAAC" w:themeFill="accent2" w:themeFillTint="66"/>
          </w:tcPr>
          <w:p w:rsidR="00CA740A" w:rsidRPr="00656C1C" w:rsidRDefault="00CA740A" w:rsidP="00CA740A">
            <w:pPr>
              <w:pStyle w:val="TableParagraph"/>
              <w:kinsoku w:val="0"/>
              <w:overflowPunct w:val="0"/>
              <w:ind w:left="24"/>
              <w:rPr>
                <w:rFonts w:ascii="Arial" w:hAnsi="Arial" w:cs="Arial"/>
                <w:b/>
                <w:bCs/>
                <w:w w:val="99"/>
                <w:sz w:val="22"/>
                <w:szCs w:val="22"/>
              </w:rPr>
            </w:pPr>
            <w:r w:rsidRPr="00656C1C">
              <w:rPr>
                <w:rFonts w:ascii="Arial" w:hAnsi="Arial" w:cs="Arial"/>
                <w:b/>
                <w:bCs/>
                <w:w w:val="99"/>
                <w:sz w:val="22"/>
                <w:szCs w:val="22"/>
              </w:rPr>
              <w:t>5</w:t>
            </w:r>
          </w:p>
        </w:tc>
      </w:tr>
      <w:tr w:rsidR="00CA740A" w:rsidTr="00CA740A">
        <w:trPr>
          <w:gridBefore w:val="1"/>
          <w:gridAfter w:val="1"/>
          <w:wBefore w:w="9" w:type="dxa"/>
          <w:wAfter w:w="14" w:type="dxa"/>
          <w:trHeight w:val="663"/>
        </w:trPr>
        <w:tc>
          <w:tcPr>
            <w:tcW w:w="8860" w:type="dxa"/>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right="130" w:hanging="360"/>
              <w:rPr>
                <w:sz w:val="22"/>
                <w:szCs w:val="22"/>
              </w:rPr>
            </w:pPr>
            <w:r w:rsidRPr="00656C1C">
              <w:rPr>
                <w:b/>
                <w:bCs/>
                <w:sz w:val="22"/>
                <w:szCs w:val="22"/>
              </w:rPr>
              <w:t>1. Sense of Belonging</w:t>
            </w:r>
            <w:r w:rsidRPr="00656C1C">
              <w:rPr>
                <w:sz w:val="22"/>
                <w:szCs w:val="22"/>
              </w:rPr>
              <w:t>-—Ensure that children with disabilities experience a sense of belonging and have optimal opportunities to learn, develop</w:t>
            </w:r>
            <w:r w:rsidRPr="006820FC">
              <w:rPr>
                <w:sz w:val="22"/>
                <w:szCs w:val="22"/>
              </w:rPr>
              <w:t>, and form positive relationships alongside their peer models.</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2"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gridBefore w:val="1"/>
          <w:gridAfter w:val="1"/>
          <w:wBefore w:w="9" w:type="dxa"/>
          <w:wAfter w:w="14" w:type="dxa"/>
          <w:trHeight w:val="1104"/>
        </w:trPr>
        <w:tc>
          <w:tcPr>
            <w:tcW w:w="8860" w:type="dxa"/>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right="101" w:hanging="360"/>
              <w:rPr>
                <w:sz w:val="22"/>
                <w:szCs w:val="22"/>
              </w:rPr>
            </w:pPr>
            <w:r w:rsidRPr="00656C1C">
              <w:rPr>
                <w:b/>
                <w:bCs/>
                <w:sz w:val="22"/>
                <w:szCs w:val="22"/>
              </w:rPr>
              <w:t>2.  Integrated Service Delivery</w:t>
            </w:r>
            <w:r w:rsidRPr="00656C1C">
              <w:rPr>
                <w:sz w:val="22"/>
                <w:szCs w:val="22"/>
              </w:rPr>
              <w:t xml:space="preserve">-—Assessment is </w:t>
            </w:r>
            <w:proofErr w:type="gramStart"/>
            <w:r w:rsidRPr="00656C1C">
              <w:rPr>
                <w:sz w:val="22"/>
                <w:szCs w:val="22"/>
              </w:rPr>
              <w:t>on-going</w:t>
            </w:r>
            <w:proofErr w:type="gramEnd"/>
            <w:r w:rsidRPr="00656C1C">
              <w:rPr>
                <w:sz w:val="22"/>
                <w:szCs w:val="22"/>
              </w:rPr>
              <w:t>, done within the context of routines,</w:t>
            </w:r>
            <w:r w:rsidRPr="006820FC">
              <w:rPr>
                <w:sz w:val="22"/>
                <w:szCs w:val="22"/>
              </w:rPr>
              <w:t xml:space="preserve"> and has input of all the partners. IFSP/IEP outcomes/goals </w:t>
            </w:r>
            <w:proofErr w:type="gramStart"/>
            <w:r w:rsidRPr="006820FC">
              <w:rPr>
                <w:sz w:val="22"/>
                <w:szCs w:val="22"/>
              </w:rPr>
              <w:t>are written</w:t>
            </w:r>
            <w:proofErr w:type="gramEnd"/>
            <w:r w:rsidRPr="006820FC">
              <w:rPr>
                <w:sz w:val="22"/>
                <w:szCs w:val="22"/>
              </w:rPr>
              <w:t xml:space="preserve"> in functional terms, with input from all the partners and are supported by a functionally based, age-appropriate curriculum. These goals are embedded into daily routines and activities that are planned for</w:t>
            </w:r>
            <w:r w:rsidRPr="006820FC">
              <w:rPr>
                <w:spacing w:val="-8"/>
                <w:sz w:val="22"/>
                <w:szCs w:val="22"/>
              </w:rPr>
              <w:t xml:space="preserve"> </w:t>
            </w:r>
            <w:r w:rsidRPr="006820FC">
              <w:rPr>
                <w:sz w:val="22"/>
                <w:szCs w:val="22"/>
              </w:rPr>
              <w:t>jointly, i.e., the input of all identified partners.</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2"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1131"/>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right="86" w:hanging="360"/>
              <w:rPr>
                <w:sz w:val="22"/>
                <w:szCs w:val="22"/>
              </w:rPr>
            </w:pPr>
            <w:r w:rsidRPr="00656C1C">
              <w:rPr>
                <w:b/>
                <w:bCs/>
                <w:sz w:val="22"/>
                <w:szCs w:val="22"/>
              </w:rPr>
              <w:t>3. Reciprocal Consultation</w:t>
            </w:r>
            <w:r w:rsidRPr="00656C1C">
              <w:rPr>
                <w:sz w:val="22"/>
                <w:szCs w:val="22"/>
              </w:rPr>
              <w:t xml:space="preserve">—The knowledge base and skill level of everyone </w:t>
            </w:r>
            <w:proofErr w:type="gramStart"/>
            <w:r w:rsidRPr="00656C1C">
              <w:rPr>
                <w:sz w:val="22"/>
                <w:szCs w:val="22"/>
              </w:rPr>
              <w:t>is honored</w:t>
            </w:r>
            <w:proofErr w:type="gramEnd"/>
            <w:r w:rsidRPr="00656C1C">
              <w:rPr>
                <w:sz w:val="22"/>
                <w:szCs w:val="22"/>
              </w:rPr>
              <w:t xml:space="preserve">. Service </w:t>
            </w:r>
            <w:r w:rsidRPr="006820FC">
              <w:rPr>
                <w:sz w:val="22"/>
                <w:szCs w:val="22"/>
              </w:rPr>
              <w:t xml:space="preserve">providers and classroom staff share knowledge, learn from, and communicate with one another. Reciprocal consultation between classroom staff and service providers </w:t>
            </w:r>
            <w:r w:rsidRPr="00656C1C">
              <w:rPr>
                <w:sz w:val="22"/>
                <w:szCs w:val="22"/>
              </w:rPr>
              <w:t xml:space="preserve">is </w:t>
            </w:r>
            <w:proofErr w:type="gramStart"/>
            <w:r w:rsidRPr="006820FC">
              <w:rPr>
                <w:sz w:val="22"/>
                <w:szCs w:val="22"/>
              </w:rPr>
              <w:t>on-going</w:t>
            </w:r>
            <w:proofErr w:type="gramEnd"/>
            <w:r w:rsidRPr="006820FC">
              <w:rPr>
                <w:sz w:val="22"/>
                <w:szCs w:val="22"/>
              </w:rPr>
              <w:t xml:space="preserve"> to determine needs, develop strategies, assess progress, and maximize learning</w:t>
            </w:r>
            <w:r w:rsidRPr="00656C1C">
              <w:rPr>
                <w:sz w:val="22"/>
                <w:szCs w:val="22"/>
              </w:rPr>
              <w:t xml:space="preserve"> </w:t>
            </w:r>
            <w:r w:rsidRPr="006820FC">
              <w:rPr>
                <w:sz w:val="22"/>
                <w:szCs w:val="22"/>
              </w:rPr>
              <w:t>opportunities within the context of the routines of the child’s day.</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1167"/>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right="130" w:hanging="360"/>
              <w:rPr>
                <w:sz w:val="22"/>
                <w:szCs w:val="22"/>
              </w:rPr>
            </w:pPr>
            <w:r w:rsidRPr="00656C1C">
              <w:rPr>
                <w:b/>
                <w:bCs/>
                <w:sz w:val="22"/>
                <w:szCs w:val="22"/>
              </w:rPr>
              <w:t>4. Therapies</w:t>
            </w:r>
            <w:r w:rsidRPr="00656C1C">
              <w:rPr>
                <w:sz w:val="22"/>
                <w:szCs w:val="22"/>
              </w:rPr>
              <w:t xml:space="preserve">-—Therapeutic and specialized services and approaches </w:t>
            </w:r>
            <w:proofErr w:type="gramStart"/>
            <w:r w:rsidRPr="00656C1C">
              <w:rPr>
                <w:sz w:val="22"/>
                <w:szCs w:val="22"/>
              </w:rPr>
              <w:t>are integrated</w:t>
            </w:r>
            <w:proofErr w:type="gramEnd"/>
            <w:r w:rsidRPr="00656C1C">
              <w:rPr>
                <w:sz w:val="22"/>
                <w:szCs w:val="22"/>
              </w:rPr>
              <w:t xml:space="preserve"> into the child’s routines within the context of the daily routines of the classroom. Classroom </w:t>
            </w:r>
            <w:r w:rsidRPr="006820FC">
              <w:rPr>
                <w:sz w:val="22"/>
                <w:szCs w:val="22"/>
              </w:rPr>
              <w:t xml:space="preserve">staff and service providers share their respective expertise and explore routine-based strategies within the natural settings. These strategies and approaches reduce and eliminate the need for </w:t>
            </w:r>
            <w:proofErr w:type="gramStart"/>
            <w:r w:rsidRPr="006820FC">
              <w:rPr>
                <w:sz w:val="22"/>
                <w:szCs w:val="22"/>
              </w:rPr>
              <w:t>pull</w:t>
            </w:r>
            <w:r w:rsidRPr="00656C1C">
              <w:rPr>
                <w:sz w:val="22"/>
                <w:szCs w:val="22"/>
              </w:rPr>
              <w:t>-</w:t>
            </w:r>
            <w:r w:rsidRPr="006820FC">
              <w:rPr>
                <w:sz w:val="22"/>
                <w:szCs w:val="22"/>
              </w:rPr>
              <w:t>out</w:t>
            </w:r>
            <w:proofErr w:type="gramEnd"/>
            <w:r w:rsidRPr="006820FC">
              <w:rPr>
                <w:sz w:val="22"/>
                <w:szCs w:val="22"/>
              </w:rPr>
              <w:t xml:space="preserve"> therapy services.</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951"/>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right="101" w:hanging="360"/>
              <w:rPr>
                <w:sz w:val="22"/>
                <w:szCs w:val="22"/>
              </w:rPr>
            </w:pPr>
            <w:r w:rsidRPr="00656C1C">
              <w:rPr>
                <w:b/>
                <w:bCs/>
                <w:sz w:val="22"/>
                <w:szCs w:val="22"/>
              </w:rPr>
              <w:t>5. Materials</w:t>
            </w:r>
            <w:r w:rsidRPr="00656C1C">
              <w:rPr>
                <w:sz w:val="22"/>
                <w:szCs w:val="22"/>
              </w:rPr>
              <w:t xml:space="preserve">—Materials that are already present in a typical classroom are used. Accommodations and adaptations to these materials and the environment </w:t>
            </w:r>
            <w:proofErr w:type="gramStart"/>
            <w:r w:rsidRPr="00656C1C">
              <w:rPr>
                <w:sz w:val="22"/>
                <w:szCs w:val="22"/>
              </w:rPr>
              <w:t>are made</w:t>
            </w:r>
            <w:proofErr w:type="gramEnd"/>
            <w:r w:rsidRPr="00656C1C">
              <w:rPr>
                <w:sz w:val="22"/>
                <w:szCs w:val="22"/>
              </w:rPr>
              <w:t xml:space="preserve"> when appropriate. The use of s</w:t>
            </w:r>
            <w:r w:rsidRPr="006820FC">
              <w:rPr>
                <w:sz w:val="22"/>
                <w:szCs w:val="22"/>
              </w:rPr>
              <w:t xml:space="preserve">pecialized toys and materials </w:t>
            </w:r>
            <w:proofErr w:type="gramStart"/>
            <w:r w:rsidRPr="006820FC">
              <w:rPr>
                <w:sz w:val="22"/>
                <w:szCs w:val="22"/>
              </w:rPr>
              <w:t>is minimized</w:t>
            </w:r>
            <w:proofErr w:type="gramEnd"/>
            <w:r w:rsidRPr="006820FC">
              <w:rPr>
                <w:sz w:val="22"/>
                <w:szCs w:val="22"/>
              </w:rPr>
              <w:t>. Learning materials are age appropriate and accessible to all children.</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879"/>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hanging="360"/>
              <w:rPr>
                <w:sz w:val="22"/>
                <w:szCs w:val="22"/>
              </w:rPr>
            </w:pPr>
            <w:r w:rsidRPr="00656C1C">
              <w:rPr>
                <w:b/>
                <w:bCs/>
                <w:sz w:val="22"/>
                <w:szCs w:val="22"/>
              </w:rPr>
              <w:t>6. Professional Development</w:t>
            </w:r>
            <w:r w:rsidRPr="00656C1C">
              <w:rPr>
                <w:sz w:val="22"/>
                <w:szCs w:val="22"/>
              </w:rPr>
              <w:t>—Service p</w:t>
            </w:r>
            <w:r w:rsidRPr="006820FC">
              <w:rPr>
                <w:sz w:val="22"/>
                <w:szCs w:val="22"/>
              </w:rPr>
              <w:t xml:space="preserve">roviders and classroom staff have professional development opportunities that raise their level of knowledge and skill over time. They have access to the latest research, resources, and technical assistance and </w:t>
            </w:r>
            <w:proofErr w:type="gramStart"/>
            <w:r w:rsidRPr="006820FC">
              <w:rPr>
                <w:sz w:val="22"/>
                <w:szCs w:val="22"/>
              </w:rPr>
              <w:t>are supported</w:t>
            </w:r>
            <w:proofErr w:type="gramEnd"/>
            <w:r w:rsidRPr="006820FC">
              <w:rPr>
                <w:sz w:val="22"/>
                <w:szCs w:val="22"/>
              </w:rPr>
              <w:t xml:space="preserve"> to explore new approaches.</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960"/>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right="130" w:hanging="360"/>
              <w:rPr>
                <w:sz w:val="22"/>
                <w:szCs w:val="22"/>
              </w:rPr>
            </w:pPr>
            <w:r w:rsidRPr="00656C1C">
              <w:rPr>
                <w:b/>
                <w:bCs/>
                <w:sz w:val="22"/>
                <w:szCs w:val="22"/>
              </w:rPr>
              <w:t>7. Community Partnerships</w:t>
            </w:r>
            <w:r w:rsidRPr="00656C1C">
              <w:rPr>
                <w:sz w:val="22"/>
                <w:szCs w:val="22"/>
              </w:rPr>
              <w:t xml:space="preserve">—Partnerships </w:t>
            </w:r>
            <w:proofErr w:type="gramStart"/>
            <w:r w:rsidRPr="00656C1C">
              <w:rPr>
                <w:sz w:val="22"/>
                <w:szCs w:val="22"/>
              </w:rPr>
              <w:t>are established</w:t>
            </w:r>
            <w:proofErr w:type="gramEnd"/>
            <w:r w:rsidRPr="00656C1C">
              <w:rPr>
                <w:sz w:val="22"/>
                <w:szCs w:val="22"/>
              </w:rPr>
              <w:t xml:space="preserve"> with other early care and education prog</w:t>
            </w:r>
            <w:r w:rsidRPr="006820FC">
              <w:rPr>
                <w:sz w:val="22"/>
                <w:szCs w:val="22"/>
              </w:rPr>
              <w:t>rams within the community, providing a variety of inclusive options for young children and families. Partners collaborate to embed IFSP/IEP outcomes/goals and strategies into the daily routines and activities of the program and children.</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843"/>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right="634" w:hanging="360"/>
              <w:rPr>
                <w:sz w:val="22"/>
                <w:szCs w:val="22"/>
              </w:rPr>
            </w:pPr>
            <w:r w:rsidRPr="00656C1C">
              <w:rPr>
                <w:sz w:val="22"/>
                <w:szCs w:val="22"/>
              </w:rPr>
              <w:t xml:space="preserve">8. </w:t>
            </w:r>
            <w:r w:rsidRPr="00656C1C">
              <w:rPr>
                <w:b/>
                <w:bCs/>
                <w:sz w:val="22"/>
                <w:szCs w:val="22"/>
              </w:rPr>
              <w:t>Collaborative Agreements</w:t>
            </w:r>
            <w:r w:rsidRPr="006820FC">
              <w:rPr>
                <w:bCs/>
                <w:sz w:val="22"/>
                <w:szCs w:val="22"/>
              </w:rPr>
              <w:t>—</w:t>
            </w:r>
            <w:r w:rsidRPr="00656C1C">
              <w:rPr>
                <w:sz w:val="22"/>
                <w:szCs w:val="22"/>
              </w:rPr>
              <w:t>Administrators of partnering agencies meet together to develop and sign collaborative agreements (i.e.</w:t>
            </w:r>
            <w:r w:rsidRPr="006820FC">
              <w:rPr>
                <w:sz w:val="22"/>
                <w:szCs w:val="22"/>
              </w:rPr>
              <w:t>, Memorandum of Understanding) to establish the working relationship and commitments of their individual agencies.</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1019"/>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hanging="360"/>
              <w:rPr>
                <w:sz w:val="22"/>
                <w:szCs w:val="22"/>
              </w:rPr>
            </w:pPr>
            <w:r w:rsidRPr="00656C1C">
              <w:rPr>
                <w:b/>
                <w:bCs/>
                <w:sz w:val="22"/>
                <w:szCs w:val="22"/>
              </w:rPr>
              <w:t>9. Program Philosophy, Policies, and Procedures</w:t>
            </w:r>
            <w:r w:rsidRPr="00656C1C">
              <w:rPr>
                <w:sz w:val="22"/>
                <w:szCs w:val="22"/>
              </w:rPr>
              <w:t>—</w:t>
            </w:r>
            <w:r w:rsidRPr="006820FC">
              <w:rPr>
                <w:sz w:val="22"/>
                <w:szCs w:val="22"/>
              </w:rPr>
              <w:t xml:space="preserve">Policies and procedures are in place and aligned </w:t>
            </w:r>
            <w:r w:rsidRPr="00656C1C">
              <w:rPr>
                <w:sz w:val="22"/>
                <w:szCs w:val="22"/>
              </w:rPr>
              <w:t xml:space="preserve">that </w:t>
            </w:r>
            <w:r w:rsidRPr="006820FC">
              <w:rPr>
                <w:sz w:val="22"/>
                <w:szCs w:val="22"/>
              </w:rPr>
              <w:t xml:space="preserve">support inclusion and the use of inclusive practices. Policies and procedures are supported by a strong, well-understood, </w:t>
            </w:r>
            <w:r w:rsidRPr="00656C1C">
              <w:rPr>
                <w:sz w:val="22"/>
                <w:szCs w:val="22"/>
              </w:rPr>
              <w:t xml:space="preserve">and </w:t>
            </w:r>
            <w:r w:rsidRPr="006820FC">
              <w:rPr>
                <w:sz w:val="22"/>
                <w:szCs w:val="22"/>
              </w:rPr>
              <w:t>well-articulated position and philosophy statement on inclusion (refer to Policy &amp; Procedure Checklist for more information).</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618"/>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Pr="006820FC" w:rsidRDefault="00CA740A" w:rsidP="00CA740A">
            <w:pPr>
              <w:pStyle w:val="TableParagraph"/>
              <w:kinsoku w:val="0"/>
              <w:overflowPunct w:val="0"/>
              <w:spacing w:before="40"/>
              <w:ind w:left="475" w:right="216" w:hanging="360"/>
              <w:rPr>
                <w:sz w:val="22"/>
                <w:szCs w:val="22"/>
              </w:rPr>
            </w:pPr>
            <w:r w:rsidRPr="00656C1C">
              <w:rPr>
                <w:b/>
                <w:bCs/>
                <w:sz w:val="22"/>
                <w:szCs w:val="22"/>
              </w:rPr>
              <w:t>10. Parent-School Partnerships</w:t>
            </w:r>
            <w:r w:rsidRPr="00656C1C">
              <w:rPr>
                <w:sz w:val="22"/>
                <w:szCs w:val="22"/>
              </w:rPr>
              <w:t>—Practices are in place that provide a welcoming environment for families</w:t>
            </w:r>
            <w:r w:rsidRPr="006820FC">
              <w:rPr>
                <w:sz w:val="22"/>
                <w:szCs w:val="22"/>
              </w:rPr>
              <w:t>, which in turn sets the tone for the parent/agency partnerships.</w:t>
            </w: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r w:rsidR="00CA740A" w:rsidTr="00CA740A">
        <w:trPr>
          <w:trHeight w:val="879"/>
        </w:trPr>
        <w:tc>
          <w:tcPr>
            <w:tcW w:w="8869"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spacing w:before="40"/>
              <w:ind w:left="475" w:right="216" w:hanging="360"/>
              <w:rPr>
                <w:sz w:val="22"/>
                <w:szCs w:val="22"/>
              </w:rPr>
            </w:pPr>
            <w:r w:rsidRPr="00656C1C">
              <w:rPr>
                <w:b/>
                <w:bCs/>
                <w:sz w:val="22"/>
                <w:szCs w:val="22"/>
              </w:rPr>
              <w:t>11. Transition</w:t>
            </w:r>
            <w:r w:rsidRPr="00656C1C">
              <w:rPr>
                <w:sz w:val="22"/>
                <w:szCs w:val="22"/>
              </w:rPr>
              <w:t xml:space="preserve">—Children and families </w:t>
            </w:r>
            <w:proofErr w:type="gramStart"/>
            <w:r w:rsidRPr="00656C1C">
              <w:rPr>
                <w:sz w:val="22"/>
                <w:szCs w:val="22"/>
              </w:rPr>
              <w:t>are supported</w:t>
            </w:r>
            <w:proofErr w:type="gramEnd"/>
            <w:r w:rsidRPr="00656C1C">
              <w:rPr>
                <w:sz w:val="22"/>
                <w:szCs w:val="22"/>
              </w:rPr>
              <w:t xml:space="preserve"> in transition,</w:t>
            </w:r>
            <w:r w:rsidRPr="006820FC">
              <w:rPr>
                <w:sz w:val="22"/>
                <w:szCs w:val="22"/>
              </w:rPr>
              <w:t xml:space="preserve"> in and out of early care and education settings and services. Families </w:t>
            </w:r>
            <w:proofErr w:type="gramStart"/>
            <w:r w:rsidRPr="006820FC">
              <w:rPr>
                <w:sz w:val="22"/>
                <w:szCs w:val="22"/>
              </w:rPr>
              <w:t>are fully informed</w:t>
            </w:r>
            <w:proofErr w:type="gramEnd"/>
            <w:r w:rsidRPr="006820FC">
              <w:rPr>
                <w:sz w:val="22"/>
                <w:szCs w:val="22"/>
              </w:rPr>
              <w:t xml:space="preserve"> about all options for inclusion. Sending and receiving families, service providers, and classroom staff meet to plan for transition.</w:t>
            </w:r>
          </w:p>
          <w:p w:rsidR="00CA740A" w:rsidRPr="006820FC" w:rsidRDefault="00CA740A" w:rsidP="00CA740A">
            <w:pPr>
              <w:pStyle w:val="TableParagraph"/>
              <w:kinsoku w:val="0"/>
              <w:overflowPunct w:val="0"/>
              <w:spacing w:before="40"/>
              <w:ind w:left="475" w:right="216" w:hanging="360"/>
              <w:rPr>
                <w:sz w:val="22"/>
                <w:szCs w:val="22"/>
              </w:rPr>
            </w:pPr>
          </w:p>
        </w:tc>
        <w:tc>
          <w:tcPr>
            <w:tcW w:w="384"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85" w:type="dxa"/>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c>
          <w:tcPr>
            <w:tcW w:w="396" w:type="dxa"/>
            <w:gridSpan w:val="2"/>
            <w:tcBorders>
              <w:top w:val="single" w:sz="12" w:space="0" w:color="000000"/>
              <w:left w:val="single" w:sz="12" w:space="0" w:color="000000"/>
              <w:bottom w:val="single" w:sz="12" w:space="0" w:color="000000"/>
              <w:right w:val="single" w:sz="12" w:space="0" w:color="000000"/>
            </w:tcBorders>
          </w:tcPr>
          <w:p w:rsidR="00CA740A" w:rsidRDefault="00CA740A" w:rsidP="00CA740A">
            <w:pPr>
              <w:pStyle w:val="TableParagraph"/>
              <w:kinsoku w:val="0"/>
              <w:overflowPunct w:val="0"/>
              <w:rPr>
                <w:rFonts w:ascii="Times New Roman" w:hAnsi="Times New Roman" w:cs="Times New Roman"/>
                <w:sz w:val="18"/>
                <w:szCs w:val="18"/>
              </w:rPr>
            </w:pPr>
          </w:p>
        </w:tc>
      </w:tr>
    </w:tbl>
    <w:p w:rsidR="00CA740A" w:rsidRPr="00436DBC" w:rsidRDefault="00CA740A" w:rsidP="00CA740A">
      <w:pPr>
        <w:pStyle w:val="BodyText"/>
        <w:kinsoku w:val="0"/>
        <w:overflowPunct w:val="0"/>
        <w:rPr>
          <w:sz w:val="12"/>
          <w:szCs w:val="12"/>
          <w:u w:val="none"/>
        </w:rPr>
      </w:pPr>
    </w:p>
    <w:tbl>
      <w:tblPr>
        <w:tblpPr w:leftFromText="180" w:rightFromText="180" w:horzAnchor="margin" w:tblpXSpec="center" w:tblpY="240"/>
        <w:tblW w:w="11430" w:type="dxa"/>
        <w:tblLayout w:type="fixed"/>
        <w:tblCellMar>
          <w:left w:w="0" w:type="dxa"/>
          <w:right w:w="0" w:type="dxa"/>
        </w:tblCellMar>
        <w:tblLook w:val="0000" w:firstRow="0" w:lastRow="0" w:firstColumn="0" w:lastColumn="0" w:noHBand="0" w:noVBand="0"/>
      </w:tblPr>
      <w:tblGrid>
        <w:gridCol w:w="3060"/>
        <w:gridCol w:w="1787"/>
        <w:gridCol w:w="2263"/>
        <w:gridCol w:w="1840"/>
        <w:gridCol w:w="2480"/>
      </w:tblGrid>
      <w:tr w:rsidR="00CA740A" w:rsidTr="00CA740A">
        <w:trPr>
          <w:trHeight w:val="171"/>
        </w:trPr>
        <w:tc>
          <w:tcPr>
            <w:tcW w:w="3060" w:type="dxa"/>
            <w:tcBorders>
              <w:top w:val="single" w:sz="4" w:space="0" w:color="000000"/>
              <w:left w:val="single" w:sz="4" w:space="0" w:color="000000"/>
              <w:bottom w:val="single" w:sz="12" w:space="0" w:color="000000"/>
              <w:right w:val="single" w:sz="12" w:space="0" w:color="000000"/>
            </w:tcBorders>
            <w:shd w:val="clear" w:color="auto" w:fill="8EAADB" w:themeFill="accent5" w:themeFillTint="99"/>
            <w:vAlign w:val="center"/>
          </w:tcPr>
          <w:p w:rsidR="00CA740A" w:rsidRDefault="00CA740A" w:rsidP="00CA740A">
            <w:pPr>
              <w:pStyle w:val="TableParagraph"/>
              <w:kinsoku w:val="0"/>
              <w:overflowPunct w:val="0"/>
              <w:ind w:left="9"/>
              <w:jc w:val="center"/>
              <w:rPr>
                <w:rFonts w:ascii="Arial" w:hAnsi="Arial" w:cs="Arial"/>
                <w:b/>
                <w:bCs/>
                <w:w w:val="99"/>
                <w:sz w:val="20"/>
                <w:szCs w:val="20"/>
              </w:rPr>
            </w:pPr>
          </w:p>
          <w:p w:rsidR="00CA740A" w:rsidRDefault="00CA740A" w:rsidP="00CA740A">
            <w:pPr>
              <w:pStyle w:val="TableParagraph"/>
              <w:kinsoku w:val="0"/>
              <w:overflowPunct w:val="0"/>
              <w:ind w:left="9"/>
              <w:jc w:val="center"/>
              <w:rPr>
                <w:rFonts w:ascii="Arial" w:hAnsi="Arial" w:cs="Arial"/>
                <w:b/>
                <w:bCs/>
                <w:w w:val="99"/>
                <w:sz w:val="20"/>
                <w:szCs w:val="20"/>
              </w:rPr>
            </w:pPr>
          </w:p>
        </w:tc>
        <w:tc>
          <w:tcPr>
            <w:tcW w:w="1787" w:type="dxa"/>
            <w:tcBorders>
              <w:top w:val="single" w:sz="4" w:space="0" w:color="000000"/>
              <w:left w:val="single" w:sz="12" w:space="0" w:color="000000"/>
              <w:bottom w:val="single" w:sz="12" w:space="0" w:color="000000"/>
              <w:right w:val="single" w:sz="12" w:space="0" w:color="000000"/>
            </w:tcBorders>
            <w:shd w:val="clear" w:color="auto" w:fill="8EAADB" w:themeFill="accent5" w:themeFillTint="99"/>
            <w:vAlign w:val="center"/>
          </w:tcPr>
          <w:p w:rsidR="00CA740A" w:rsidRDefault="00CA740A" w:rsidP="00CA740A">
            <w:pPr>
              <w:pStyle w:val="TableParagraph"/>
              <w:kinsoku w:val="0"/>
              <w:overflowPunct w:val="0"/>
              <w:ind w:left="7"/>
              <w:jc w:val="center"/>
              <w:rPr>
                <w:rFonts w:ascii="Arial" w:hAnsi="Arial" w:cs="Arial"/>
                <w:b/>
                <w:bCs/>
                <w:w w:val="99"/>
                <w:sz w:val="20"/>
                <w:szCs w:val="20"/>
              </w:rPr>
            </w:pPr>
            <w:r>
              <w:rPr>
                <w:rFonts w:ascii="Arial" w:hAnsi="Arial" w:cs="Arial"/>
                <w:b/>
                <w:bCs/>
                <w:w w:val="99"/>
                <w:sz w:val="20"/>
                <w:szCs w:val="20"/>
              </w:rPr>
              <w:t>2</w:t>
            </w:r>
          </w:p>
        </w:tc>
        <w:tc>
          <w:tcPr>
            <w:tcW w:w="2263" w:type="dxa"/>
            <w:tcBorders>
              <w:top w:val="single" w:sz="4" w:space="0" w:color="000000"/>
              <w:left w:val="single" w:sz="12" w:space="0" w:color="000000"/>
              <w:bottom w:val="single" w:sz="12" w:space="0" w:color="000000"/>
              <w:right w:val="single" w:sz="12" w:space="0" w:color="000000"/>
            </w:tcBorders>
            <w:shd w:val="clear" w:color="auto" w:fill="8EAADB" w:themeFill="accent5" w:themeFillTint="99"/>
            <w:vAlign w:val="center"/>
          </w:tcPr>
          <w:p w:rsidR="00CA740A" w:rsidRDefault="00CA740A" w:rsidP="00CA740A">
            <w:pPr>
              <w:pStyle w:val="TableParagraph"/>
              <w:kinsoku w:val="0"/>
              <w:overflowPunct w:val="0"/>
              <w:ind w:left="6"/>
              <w:jc w:val="center"/>
              <w:rPr>
                <w:rFonts w:ascii="Arial" w:hAnsi="Arial" w:cs="Arial"/>
                <w:b/>
                <w:bCs/>
                <w:w w:val="99"/>
                <w:sz w:val="20"/>
                <w:szCs w:val="20"/>
              </w:rPr>
            </w:pPr>
            <w:r>
              <w:rPr>
                <w:rFonts w:ascii="Arial" w:hAnsi="Arial" w:cs="Arial"/>
                <w:b/>
                <w:bCs/>
                <w:w w:val="99"/>
                <w:sz w:val="20"/>
                <w:szCs w:val="20"/>
              </w:rPr>
              <w:t>3</w:t>
            </w:r>
          </w:p>
        </w:tc>
        <w:tc>
          <w:tcPr>
            <w:tcW w:w="1840" w:type="dxa"/>
            <w:tcBorders>
              <w:top w:val="single" w:sz="4" w:space="0" w:color="000000"/>
              <w:left w:val="single" w:sz="12" w:space="0" w:color="000000"/>
              <w:bottom w:val="single" w:sz="12" w:space="0" w:color="000000"/>
              <w:right w:val="single" w:sz="12" w:space="0" w:color="000000"/>
            </w:tcBorders>
            <w:shd w:val="clear" w:color="auto" w:fill="8EAADB" w:themeFill="accent5" w:themeFillTint="99"/>
            <w:vAlign w:val="center"/>
          </w:tcPr>
          <w:p w:rsidR="00CA740A" w:rsidRDefault="00CA740A" w:rsidP="00CA740A">
            <w:pPr>
              <w:pStyle w:val="TableParagraph"/>
              <w:kinsoku w:val="0"/>
              <w:overflowPunct w:val="0"/>
              <w:ind w:left="6"/>
              <w:jc w:val="center"/>
              <w:rPr>
                <w:rFonts w:ascii="Arial" w:hAnsi="Arial" w:cs="Arial"/>
                <w:b/>
                <w:bCs/>
                <w:w w:val="99"/>
                <w:sz w:val="20"/>
                <w:szCs w:val="20"/>
              </w:rPr>
            </w:pPr>
            <w:r>
              <w:rPr>
                <w:rFonts w:ascii="Arial" w:hAnsi="Arial" w:cs="Arial"/>
                <w:b/>
                <w:bCs/>
                <w:w w:val="99"/>
                <w:sz w:val="20"/>
                <w:szCs w:val="20"/>
              </w:rPr>
              <w:t>4</w:t>
            </w:r>
          </w:p>
        </w:tc>
        <w:tc>
          <w:tcPr>
            <w:tcW w:w="2480" w:type="dxa"/>
            <w:tcBorders>
              <w:top w:val="single" w:sz="4" w:space="0" w:color="000000"/>
              <w:left w:val="single" w:sz="12" w:space="0" w:color="000000"/>
              <w:bottom w:val="single" w:sz="12" w:space="0" w:color="000000"/>
              <w:right w:val="single" w:sz="4" w:space="0" w:color="000000"/>
            </w:tcBorders>
            <w:shd w:val="clear" w:color="auto" w:fill="8EAADB" w:themeFill="accent5" w:themeFillTint="99"/>
            <w:vAlign w:val="center"/>
          </w:tcPr>
          <w:p w:rsidR="00CA740A" w:rsidRDefault="00CA740A" w:rsidP="00CA740A">
            <w:pPr>
              <w:pStyle w:val="TableParagraph"/>
              <w:kinsoku w:val="0"/>
              <w:overflowPunct w:val="0"/>
              <w:ind w:left="4"/>
              <w:jc w:val="center"/>
              <w:rPr>
                <w:rFonts w:ascii="Arial" w:hAnsi="Arial" w:cs="Arial"/>
                <w:b/>
                <w:bCs/>
                <w:w w:val="99"/>
                <w:sz w:val="20"/>
                <w:szCs w:val="20"/>
              </w:rPr>
            </w:pPr>
            <w:r>
              <w:rPr>
                <w:rFonts w:ascii="Arial" w:hAnsi="Arial" w:cs="Arial"/>
                <w:b/>
                <w:bCs/>
                <w:w w:val="99"/>
                <w:sz w:val="20"/>
                <w:szCs w:val="20"/>
              </w:rPr>
              <w:t>5</w:t>
            </w:r>
          </w:p>
        </w:tc>
      </w:tr>
      <w:tr w:rsidR="00CA740A" w:rsidTr="00CA740A">
        <w:trPr>
          <w:trHeight w:val="209"/>
        </w:trPr>
        <w:tc>
          <w:tcPr>
            <w:tcW w:w="3060" w:type="dxa"/>
            <w:tcBorders>
              <w:top w:val="single" w:sz="12" w:space="0" w:color="000000"/>
              <w:left w:val="single" w:sz="4" w:space="0" w:color="000000"/>
              <w:bottom w:val="single" w:sz="4" w:space="0" w:color="000000"/>
              <w:right w:val="single" w:sz="12" w:space="0" w:color="000000"/>
            </w:tcBorders>
          </w:tcPr>
          <w:p w:rsidR="00CA740A" w:rsidRPr="00436DBC" w:rsidRDefault="00CA740A" w:rsidP="00CA740A">
            <w:pPr>
              <w:pStyle w:val="TableParagraph"/>
              <w:kinsoku w:val="0"/>
              <w:overflowPunct w:val="0"/>
              <w:ind w:left="168" w:right="165"/>
              <w:rPr>
                <w:rFonts w:cs="Arial"/>
                <w:sz w:val="20"/>
                <w:szCs w:val="20"/>
              </w:rPr>
            </w:pPr>
            <w:r w:rsidRPr="00436DBC">
              <w:rPr>
                <w:rFonts w:cs="Arial"/>
                <w:sz w:val="20"/>
                <w:szCs w:val="20"/>
              </w:rPr>
              <w:t>Not Yet Implemented</w:t>
            </w:r>
          </w:p>
        </w:tc>
        <w:tc>
          <w:tcPr>
            <w:tcW w:w="1787" w:type="dxa"/>
            <w:tcBorders>
              <w:top w:val="single" w:sz="12" w:space="0" w:color="000000"/>
              <w:left w:val="single" w:sz="12" w:space="0" w:color="000000"/>
              <w:bottom w:val="single" w:sz="4" w:space="0" w:color="000000"/>
              <w:right w:val="single" w:sz="12" w:space="0" w:color="000000"/>
            </w:tcBorders>
          </w:tcPr>
          <w:p w:rsidR="00CA740A" w:rsidRPr="00436DBC" w:rsidRDefault="00CA740A" w:rsidP="00CA740A">
            <w:pPr>
              <w:pStyle w:val="TableParagraph"/>
              <w:kinsoku w:val="0"/>
              <w:overflowPunct w:val="0"/>
              <w:rPr>
                <w:rFonts w:cs="Times New Roman"/>
                <w:sz w:val="18"/>
                <w:szCs w:val="18"/>
              </w:rPr>
            </w:pPr>
          </w:p>
        </w:tc>
        <w:tc>
          <w:tcPr>
            <w:tcW w:w="2263" w:type="dxa"/>
            <w:tcBorders>
              <w:top w:val="single" w:sz="12" w:space="0" w:color="000000"/>
              <w:left w:val="single" w:sz="12" w:space="0" w:color="000000"/>
              <w:bottom w:val="single" w:sz="4" w:space="0" w:color="000000"/>
              <w:right w:val="single" w:sz="12" w:space="0" w:color="000000"/>
            </w:tcBorders>
          </w:tcPr>
          <w:p w:rsidR="00CA740A" w:rsidRPr="00436DBC" w:rsidRDefault="00CA740A" w:rsidP="00CA740A">
            <w:pPr>
              <w:pStyle w:val="TableParagraph"/>
              <w:kinsoku w:val="0"/>
              <w:overflowPunct w:val="0"/>
              <w:ind w:left="107" w:right="104"/>
              <w:rPr>
                <w:rFonts w:cs="Arial"/>
                <w:sz w:val="20"/>
                <w:szCs w:val="20"/>
              </w:rPr>
            </w:pPr>
            <w:r w:rsidRPr="00436DBC">
              <w:rPr>
                <w:rFonts w:cs="Arial"/>
                <w:sz w:val="20"/>
                <w:szCs w:val="20"/>
              </w:rPr>
              <w:t>Partially Implemented</w:t>
            </w:r>
          </w:p>
        </w:tc>
        <w:tc>
          <w:tcPr>
            <w:tcW w:w="1840" w:type="dxa"/>
            <w:tcBorders>
              <w:top w:val="single" w:sz="12" w:space="0" w:color="000000"/>
              <w:left w:val="single" w:sz="12" w:space="0" w:color="000000"/>
              <w:bottom w:val="single" w:sz="4" w:space="0" w:color="000000"/>
              <w:right w:val="single" w:sz="12" w:space="0" w:color="000000"/>
            </w:tcBorders>
          </w:tcPr>
          <w:p w:rsidR="00CA740A" w:rsidRPr="00436DBC" w:rsidRDefault="00CA740A" w:rsidP="00CA740A">
            <w:pPr>
              <w:pStyle w:val="TableParagraph"/>
              <w:kinsoku w:val="0"/>
              <w:overflowPunct w:val="0"/>
              <w:rPr>
                <w:rFonts w:cs="Times New Roman"/>
                <w:sz w:val="18"/>
                <w:szCs w:val="18"/>
              </w:rPr>
            </w:pPr>
          </w:p>
        </w:tc>
        <w:tc>
          <w:tcPr>
            <w:tcW w:w="2480" w:type="dxa"/>
            <w:tcBorders>
              <w:top w:val="single" w:sz="12" w:space="0" w:color="000000"/>
              <w:left w:val="single" w:sz="12" w:space="0" w:color="000000"/>
              <w:bottom w:val="single" w:sz="4" w:space="0" w:color="000000"/>
              <w:right w:val="single" w:sz="4" w:space="0" w:color="000000"/>
            </w:tcBorders>
          </w:tcPr>
          <w:p w:rsidR="00CA740A" w:rsidRPr="00436DBC" w:rsidRDefault="00CA740A" w:rsidP="00CA740A">
            <w:pPr>
              <w:pStyle w:val="TableParagraph"/>
              <w:kinsoku w:val="0"/>
              <w:overflowPunct w:val="0"/>
              <w:ind w:left="265" w:right="258"/>
              <w:rPr>
                <w:rFonts w:cs="Arial"/>
                <w:sz w:val="20"/>
                <w:szCs w:val="20"/>
              </w:rPr>
            </w:pPr>
            <w:r w:rsidRPr="00436DBC">
              <w:rPr>
                <w:rFonts w:cs="Arial"/>
                <w:sz w:val="20"/>
                <w:szCs w:val="20"/>
              </w:rPr>
              <w:t>Fully Implemented</w:t>
            </w:r>
          </w:p>
        </w:tc>
      </w:tr>
    </w:tbl>
    <w:p w:rsidR="00CA740A" w:rsidRDefault="00CA740A" w:rsidP="00CA740A">
      <w:pPr>
        <w:pStyle w:val="BodyText"/>
        <w:kinsoku w:val="0"/>
        <w:overflowPunct w:val="0"/>
        <w:rPr>
          <w:sz w:val="12"/>
          <w:szCs w:val="12"/>
          <w:u w:val="none"/>
        </w:rPr>
      </w:pPr>
    </w:p>
    <w:p w:rsidR="00CA740A" w:rsidRPr="00491D95" w:rsidRDefault="00CA740A" w:rsidP="00CA740A">
      <w:pPr>
        <w:pStyle w:val="Heading1"/>
      </w:pPr>
      <w:bookmarkStart w:id="4" w:name="_Toc11251988"/>
      <w:r w:rsidRPr="00491D95">
        <w:t>Reflection on Inclusive Practices</w:t>
      </w:r>
      <w:bookmarkEnd w:id="4"/>
    </w:p>
    <w:p w:rsidR="00CA740A" w:rsidRDefault="00CA740A" w:rsidP="00CA740A">
      <w:pPr>
        <w:pStyle w:val="BodyText"/>
        <w:rPr>
          <w:u w:val="none"/>
        </w:rPr>
      </w:pPr>
    </w:p>
    <w:p w:rsidR="00CA740A" w:rsidRDefault="00CA740A" w:rsidP="00CA740A">
      <w:pPr>
        <w:pStyle w:val="BodyText"/>
        <w:rPr>
          <w:u w:val="none"/>
        </w:rPr>
      </w:pPr>
      <w:proofErr w:type="gramStart"/>
      <w:r>
        <w:rPr>
          <w:u w:val="none"/>
        </w:rPr>
        <w:t>1.</w:t>
      </w:r>
      <w:r w:rsidRPr="00290735">
        <w:rPr>
          <w:u w:val="none"/>
        </w:rPr>
        <w:t>What</w:t>
      </w:r>
      <w:proofErr w:type="gramEnd"/>
      <w:r w:rsidRPr="00290735">
        <w:rPr>
          <w:u w:val="none"/>
        </w:rPr>
        <w:t xml:space="preserve"> do you see as your areas of strength related to inclusive</w:t>
      </w:r>
      <w:r w:rsidRPr="00290735">
        <w:rPr>
          <w:spacing w:val="-5"/>
          <w:u w:val="none"/>
        </w:rPr>
        <w:t xml:space="preserve"> </w:t>
      </w:r>
      <w:r w:rsidRPr="00290735">
        <w:rPr>
          <w:u w:val="none"/>
        </w:rPr>
        <w:t>practices?</w:t>
      </w:r>
    </w:p>
    <w:p w:rsidR="00CA740A" w:rsidRPr="00290735" w:rsidRDefault="00CA740A" w:rsidP="00CA740A">
      <w:pPr>
        <w:pStyle w:val="BodyText"/>
        <w:rPr>
          <w:u w:val="none"/>
        </w:rPr>
      </w:pPr>
    </w:p>
    <w:p w:rsidR="00CA740A" w:rsidRPr="00290735" w:rsidRDefault="00CA740A" w:rsidP="00CA740A">
      <w:pPr>
        <w:pStyle w:val="BodyText"/>
        <w:rPr>
          <w:u w:val="none"/>
        </w:rPr>
      </w:pPr>
    </w:p>
    <w:p w:rsidR="00CA740A" w:rsidRPr="00290735" w:rsidRDefault="00CA740A" w:rsidP="00CA740A">
      <w:pPr>
        <w:pStyle w:val="BodyText"/>
        <w:rPr>
          <w:u w:val="none"/>
        </w:rPr>
      </w:pPr>
      <w:proofErr w:type="gramStart"/>
      <w:r>
        <w:rPr>
          <w:u w:val="none"/>
        </w:rPr>
        <w:t>2.</w:t>
      </w:r>
      <w:r w:rsidRPr="00290735">
        <w:rPr>
          <w:u w:val="none"/>
        </w:rPr>
        <w:t>What</w:t>
      </w:r>
      <w:proofErr w:type="gramEnd"/>
      <w:r w:rsidRPr="00290735">
        <w:rPr>
          <w:u w:val="none"/>
        </w:rPr>
        <w:t xml:space="preserve"> areas do you want to work on to improve the quality of services you</w:t>
      </w:r>
      <w:r w:rsidRPr="00290735">
        <w:rPr>
          <w:spacing w:val="-20"/>
          <w:u w:val="none"/>
        </w:rPr>
        <w:t xml:space="preserve"> </w:t>
      </w:r>
      <w:r w:rsidRPr="00290735">
        <w:rPr>
          <w:u w:val="none"/>
        </w:rPr>
        <w:t>provide?</w:t>
      </w:r>
    </w:p>
    <w:p w:rsidR="00CA740A" w:rsidRDefault="00CA740A" w:rsidP="00CA740A">
      <w:pPr>
        <w:tabs>
          <w:tab w:val="left" w:pos="926"/>
        </w:tabs>
        <w:kinsoku w:val="0"/>
        <w:overflowPunct w:val="0"/>
        <w:autoSpaceDE w:val="0"/>
        <w:autoSpaceDN w:val="0"/>
        <w:adjustRightInd w:val="0"/>
        <w:spacing w:after="0" w:line="240" w:lineRule="auto"/>
        <w:ind w:left="342"/>
      </w:pPr>
    </w:p>
    <w:p w:rsidR="00CA740A" w:rsidRDefault="00CA740A" w:rsidP="00CA740A">
      <w:pPr>
        <w:pStyle w:val="BodyText"/>
        <w:kinsoku w:val="0"/>
        <w:overflowPunct w:val="0"/>
        <w:ind w:left="342"/>
        <w:rPr>
          <w:sz w:val="20"/>
          <w:szCs w:val="20"/>
          <w:u w:val="none"/>
        </w:rPr>
      </w:pPr>
    </w:p>
    <w:p w:rsidR="00CA740A" w:rsidRPr="00491D95" w:rsidRDefault="00CA740A" w:rsidP="00CA740A">
      <w:pPr>
        <w:pStyle w:val="Heading1"/>
      </w:pPr>
      <w:bookmarkStart w:id="5" w:name="_Toc11251989"/>
      <w:r w:rsidRPr="00491D95">
        <w:t>For Promoting Community Collaboration &amp; Partnership</w:t>
      </w:r>
      <w:bookmarkEnd w:id="5"/>
    </w:p>
    <w:p w:rsidR="00CA740A" w:rsidRDefault="00CA740A" w:rsidP="00CA740A">
      <w:pPr>
        <w:pStyle w:val="BodyText"/>
        <w:kinsoku w:val="0"/>
        <w:overflowPunct w:val="0"/>
        <w:spacing w:before="240"/>
        <w:ind w:left="346"/>
        <w:rPr>
          <w:u w:val="none"/>
        </w:rPr>
      </w:pPr>
      <w:r>
        <w:rPr>
          <w:b/>
          <w:bCs/>
          <w:u w:val="none"/>
        </w:rPr>
        <w:t xml:space="preserve">DIRECTIONS: </w:t>
      </w:r>
      <w:r>
        <w:rPr>
          <w:u w:val="none"/>
        </w:rPr>
        <w:t>Think about the current policies and procedures of your program or agency. Review the following questions to determine if they are in need of revision to clarify your commitment to providing inclusive services and supports.</w:t>
      </w:r>
    </w:p>
    <w:p w:rsidR="00CA740A" w:rsidRDefault="00CA740A" w:rsidP="00CA740A">
      <w:pPr>
        <w:pStyle w:val="BodyText"/>
        <w:kinsoku w:val="0"/>
        <w:overflowPunct w:val="0"/>
        <w:ind w:left="342"/>
        <w:rPr>
          <w:rFonts w:ascii="Times New Roman" w:hAnsi="Times New Roman" w:cs="Times New Roman"/>
          <w:u w:color="000000"/>
        </w:rPr>
      </w:pPr>
    </w:p>
    <w:p w:rsidR="00CA740A" w:rsidRDefault="00CA740A" w:rsidP="00CA740A">
      <w:pPr>
        <w:pStyle w:val="BodyText"/>
        <w:kinsoku w:val="0"/>
        <w:overflowPunct w:val="0"/>
        <w:ind w:left="180"/>
        <w:rPr>
          <w:u w:val="none"/>
        </w:rPr>
      </w:pPr>
      <w:r>
        <w:rPr>
          <w:rFonts w:ascii="Times New Roman" w:hAnsi="Times New Roman" w:cs="Times New Roman"/>
          <w:u w:color="000000"/>
        </w:rPr>
        <w:t xml:space="preserve">        </w:t>
      </w:r>
      <w:r>
        <w:rPr>
          <w:rFonts w:ascii="Times New Roman" w:hAnsi="Times New Roman" w:cs="Times New Roman"/>
          <w:u w:val="none"/>
        </w:rPr>
        <w:t xml:space="preserve"> </w:t>
      </w:r>
      <w:r>
        <w:rPr>
          <w:u w:val="none"/>
        </w:rPr>
        <w:t>Do you have a writte</w:t>
      </w:r>
      <w:r>
        <w:rPr>
          <w:u w:val="none"/>
        </w:rPr>
        <w:t>n policy articulating your program’s value and priority for the</w:t>
      </w:r>
      <w:r>
        <w:rPr>
          <w:u w:val="none"/>
        </w:rPr>
        <w:t xml:space="preserve"> inclusion of </w:t>
      </w:r>
      <w:r>
        <w:rPr>
          <w:u w:val="none"/>
        </w:rPr>
        <w:tab/>
        <w:t xml:space="preserve">young children in </w:t>
      </w:r>
      <w:r>
        <w:rPr>
          <w:u w:val="none"/>
        </w:rPr>
        <w:t>early care and education settings?</w:t>
      </w:r>
    </w:p>
    <w:p w:rsidR="00CA740A" w:rsidRDefault="00CA740A" w:rsidP="00CA740A">
      <w:pPr>
        <w:pStyle w:val="BodyText"/>
        <w:kinsoku w:val="0"/>
        <w:overflowPunct w:val="0"/>
        <w:ind w:left="342"/>
        <w:rPr>
          <w:sz w:val="20"/>
          <w:szCs w:val="20"/>
          <w:u w:val="none"/>
        </w:rPr>
      </w:pPr>
    </w:p>
    <w:p w:rsidR="00CA740A" w:rsidRPr="00CA740A" w:rsidRDefault="00CA740A" w:rsidP="00CA740A">
      <w:pPr>
        <w:pStyle w:val="BodyText"/>
        <w:kinsoku w:val="0"/>
        <w:overflowPunct w:val="0"/>
        <w:ind w:left="759" w:right="915" w:hanging="551"/>
        <w:rPr>
          <w:u w:val="none"/>
        </w:rPr>
      </w:pPr>
      <w:r>
        <w:rPr>
          <w:u w:color="000000"/>
        </w:rPr>
        <w:t xml:space="preserve">         </w:t>
      </w:r>
      <w:r>
        <w:rPr>
          <w:u w:val="none"/>
        </w:rPr>
        <w:t xml:space="preserve"> Do your policies address collaboration and partnership with other early care and education entities in providing services for young children?</w:t>
      </w:r>
    </w:p>
    <w:p w:rsidR="00CA740A" w:rsidRDefault="00CA740A" w:rsidP="00CA740A">
      <w:pPr>
        <w:pStyle w:val="BodyText"/>
        <w:kinsoku w:val="0"/>
        <w:overflowPunct w:val="0"/>
        <w:ind w:left="342"/>
        <w:rPr>
          <w:sz w:val="20"/>
          <w:szCs w:val="20"/>
          <w:u w:val="none"/>
        </w:rPr>
      </w:pPr>
    </w:p>
    <w:p w:rsidR="00CA740A" w:rsidRDefault="00CA740A" w:rsidP="00CA740A">
      <w:pPr>
        <w:pStyle w:val="BodyText"/>
        <w:kinsoku w:val="0"/>
        <w:overflowPunct w:val="0"/>
        <w:ind w:left="759" w:right="728" w:hanging="551"/>
        <w:rPr>
          <w:u w:val="none"/>
        </w:rPr>
      </w:pPr>
      <w:r>
        <w:rPr>
          <w:u w:color="000000"/>
        </w:rPr>
        <w:t xml:space="preserve">         </w:t>
      </w:r>
      <w:r>
        <w:rPr>
          <w:u w:val="none"/>
        </w:rPr>
        <w:t xml:space="preserve"> Do your policies address collaboration and communication with other agencies and community partners in meeting the needs of young children with IFSPs/IEPs?</w:t>
      </w:r>
    </w:p>
    <w:p w:rsidR="00CA740A" w:rsidRDefault="00CA740A" w:rsidP="00CA740A">
      <w:pPr>
        <w:pStyle w:val="BodyText"/>
        <w:kinsoku w:val="0"/>
        <w:overflowPunct w:val="0"/>
        <w:ind w:left="342"/>
        <w:rPr>
          <w:sz w:val="20"/>
          <w:szCs w:val="20"/>
          <w:u w:val="none"/>
        </w:rPr>
      </w:pPr>
    </w:p>
    <w:p w:rsidR="00CA740A" w:rsidRDefault="00CA740A" w:rsidP="00CA740A">
      <w:pPr>
        <w:pStyle w:val="BodyText"/>
        <w:kinsoku w:val="0"/>
        <w:overflowPunct w:val="0"/>
        <w:ind w:left="759" w:right="915" w:hanging="551"/>
        <w:rPr>
          <w:u w:val="none"/>
        </w:rPr>
      </w:pPr>
      <w:r>
        <w:rPr>
          <w:u w:color="000000"/>
        </w:rPr>
        <w:t xml:space="preserve">         </w:t>
      </w:r>
      <w:r>
        <w:rPr>
          <w:u w:val="none"/>
        </w:rPr>
        <w:t xml:space="preserve"> Do your policies address the development and signing of written collaborative agreements with early care and education agencies on inclusion?</w:t>
      </w:r>
      <w:r>
        <w:rPr>
          <w:u w:val="none"/>
        </w:rPr>
        <w:t xml:space="preserve"> </w:t>
      </w:r>
    </w:p>
    <w:p w:rsidR="00CA740A" w:rsidRDefault="00CA740A" w:rsidP="00CA740A">
      <w:pPr>
        <w:pStyle w:val="BodyText"/>
        <w:kinsoku w:val="0"/>
        <w:overflowPunct w:val="0"/>
        <w:ind w:left="759" w:right="915" w:hanging="551"/>
        <w:rPr>
          <w:u w:val="none"/>
        </w:rPr>
      </w:pPr>
    </w:p>
    <w:p w:rsidR="00CA740A" w:rsidRDefault="00CA740A" w:rsidP="00CA740A">
      <w:pPr>
        <w:pStyle w:val="BodyText"/>
        <w:kinsoku w:val="0"/>
        <w:overflowPunct w:val="0"/>
        <w:rPr>
          <w:u w:val="none"/>
        </w:rPr>
      </w:pPr>
      <w:r>
        <w:rPr>
          <w:u w:val="none"/>
        </w:rPr>
        <w:t xml:space="preserve">   _____ </w:t>
      </w:r>
      <w:proofErr w:type="gramStart"/>
      <w:r>
        <w:rPr>
          <w:u w:val="none"/>
        </w:rPr>
        <w:t>Is</w:t>
      </w:r>
      <w:proofErr w:type="gramEnd"/>
      <w:r>
        <w:rPr>
          <w:u w:val="none"/>
        </w:rPr>
        <w:t xml:space="preserve"> there a systematic way that these policies are shared with staff?</w:t>
      </w:r>
    </w:p>
    <w:p w:rsidR="00CA740A" w:rsidRPr="00CA740A" w:rsidRDefault="00CA740A" w:rsidP="00CA740A">
      <w:pPr>
        <w:pStyle w:val="BodyText"/>
        <w:kinsoku w:val="0"/>
        <w:overflowPunct w:val="0"/>
        <w:rPr>
          <w:u w:val="none"/>
        </w:rPr>
      </w:pPr>
    </w:p>
    <w:p w:rsidR="00CA740A" w:rsidRDefault="00CA740A" w:rsidP="00CA740A">
      <w:pPr>
        <w:pStyle w:val="BodyText"/>
        <w:kinsoku w:val="0"/>
        <w:overflowPunct w:val="0"/>
        <w:ind w:left="759" w:right="728" w:hanging="551"/>
        <w:rPr>
          <w:u w:val="none"/>
        </w:rPr>
      </w:pPr>
      <w:r>
        <w:rPr>
          <w:u w:color="000000"/>
        </w:rPr>
        <w:t xml:space="preserve">         </w:t>
      </w:r>
      <w:r>
        <w:rPr>
          <w:u w:val="none"/>
        </w:rPr>
        <w:t xml:space="preserve"> Do your procedures support creating shared goals, objectives, and/or outcomes for young children to </w:t>
      </w:r>
      <w:proofErr w:type="gramStart"/>
      <w:r>
        <w:rPr>
          <w:u w:val="none"/>
        </w:rPr>
        <w:t>be implemented</w:t>
      </w:r>
      <w:proofErr w:type="gramEnd"/>
      <w:r>
        <w:rPr>
          <w:u w:val="none"/>
        </w:rPr>
        <w:t xml:space="preserve"> by agency partners?</w:t>
      </w:r>
    </w:p>
    <w:p w:rsidR="00CA740A" w:rsidRDefault="00CA740A" w:rsidP="00CA740A">
      <w:pPr>
        <w:pStyle w:val="BodyText"/>
        <w:kinsoku w:val="0"/>
        <w:overflowPunct w:val="0"/>
        <w:ind w:left="342"/>
        <w:rPr>
          <w:sz w:val="20"/>
          <w:szCs w:val="20"/>
          <w:u w:val="none"/>
        </w:rPr>
      </w:pPr>
    </w:p>
    <w:p w:rsidR="00CA740A" w:rsidRDefault="00CA740A" w:rsidP="00CA740A">
      <w:pPr>
        <w:pStyle w:val="BodyText"/>
        <w:kinsoku w:val="0"/>
        <w:overflowPunct w:val="0"/>
        <w:ind w:left="759" w:right="915" w:hanging="551"/>
        <w:rPr>
          <w:sz w:val="20"/>
          <w:szCs w:val="20"/>
          <w:u w:val="none"/>
        </w:rPr>
      </w:pPr>
      <w:r>
        <w:rPr>
          <w:u w:color="000000"/>
        </w:rPr>
        <w:t xml:space="preserve">         </w:t>
      </w:r>
      <w:r>
        <w:rPr>
          <w:u w:val="none"/>
        </w:rPr>
        <w:t xml:space="preserve"> Do your procedures support integrating specialized services documented on IFSPs/IEPs into daily routines and activities?</w:t>
      </w:r>
    </w:p>
    <w:p w:rsidR="00CA740A" w:rsidRDefault="00CA740A" w:rsidP="00CA740A">
      <w:pPr>
        <w:pStyle w:val="BodyText"/>
        <w:kinsoku w:val="0"/>
        <w:overflowPunct w:val="0"/>
        <w:ind w:left="342"/>
        <w:rPr>
          <w:sz w:val="20"/>
          <w:szCs w:val="20"/>
          <w:u w:val="none"/>
        </w:rPr>
      </w:pPr>
    </w:p>
    <w:p w:rsidR="00CA740A" w:rsidRDefault="00CA740A" w:rsidP="00CA740A">
      <w:pPr>
        <w:pStyle w:val="BodyText"/>
        <w:kinsoku w:val="0"/>
        <w:overflowPunct w:val="0"/>
        <w:ind w:left="270"/>
        <w:rPr>
          <w:u w:val="none"/>
        </w:rPr>
      </w:pPr>
      <w:r>
        <w:rPr>
          <w:u w:color="000000"/>
        </w:rPr>
        <w:t xml:space="preserve">         </w:t>
      </w:r>
      <w:r>
        <w:rPr>
          <w:u w:val="none"/>
        </w:rPr>
        <w:t>Do your procedures address providing time and resources for collaborative activities?</w:t>
      </w:r>
    </w:p>
    <w:p w:rsidR="00CA740A" w:rsidRDefault="00CA740A" w:rsidP="00CA740A">
      <w:pPr>
        <w:pStyle w:val="BodyText"/>
        <w:kinsoku w:val="0"/>
        <w:overflowPunct w:val="0"/>
        <w:ind w:left="342"/>
        <w:rPr>
          <w:sz w:val="20"/>
          <w:szCs w:val="20"/>
          <w:u w:val="none"/>
        </w:rPr>
      </w:pPr>
    </w:p>
    <w:p w:rsidR="00CA740A" w:rsidRDefault="00CA740A" w:rsidP="00CA740A">
      <w:pPr>
        <w:pStyle w:val="BodyText"/>
        <w:kinsoku w:val="0"/>
        <w:overflowPunct w:val="0"/>
        <w:ind w:left="759" w:right="915" w:hanging="551"/>
        <w:rPr>
          <w:u w:val="none"/>
        </w:rPr>
      </w:pPr>
      <w:r>
        <w:rPr>
          <w:u w:color="000000"/>
        </w:rPr>
        <w:t xml:space="preserve">         </w:t>
      </w:r>
      <w:r>
        <w:rPr>
          <w:u w:val="none"/>
        </w:rPr>
        <w:t xml:space="preserve"> Do your procedures promote mutual trust, respect, and open communication between other early-care and education programs in your community as part of your collaborative endeavors to provide inclusive services?</w:t>
      </w:r>
    </w:p>
    <w:p w:rsidR="00CA740A" w:rsidRDefault="00CA740A" w:rsidP="00CA740A">
      <w:pPr>
        <w:pStyle w:val="BodyText"/>
        <w:kinsoku w:val="0"/>
        <w:overflowPunct w:val="0"/>
        <w:ind w:left="342"/>
        <w:rPr>
          <w:sz w:val="20"/>
          <w:szCs w:val="20"/>
          <w:u w:val="none"/>
        </w:rPr>
      </w:pPr>
    </w:p>
    <w:p w:rsidR="00C138D1" w:rsidRDefault="00CA740A" w:rsidP="00CA740A">
      <w:pPr>
        <w:pStyle w:val="BodyText"/>
        <w:kinsoku w:val="0"/>
        <w:overflowPunct w:val="0"/>
        <w:ind w:left="810" w:hanging="540"/>
      </w:pPr>
      <w:r>
        <w:rPr>
          <w:u w:color="000000"/>
        </w:rPr>
        <w:lastRenderedPageBreak/>
        <w:t xml:space="preserve">         </w:t>
      </w:r>
      <w:r>
        <w:rPr>
          <w:u w:val="none"/>
        </w:rPr>
        <w:t xml:space="preserve"> </w:t>
      </w:r>
      <w:proofErr w:type="gramStart"/>
      <w:r>
        <w:rPr>
          <w:u w:val="none"/>
        </w:rPr>
        <w:t>Do your procedures support parent participation in meetings, communication, planning, and strategies development and implementation for inclusion?</w:t>
      </w:r>
      <w:proofErr w:type="gramEnd"/>
    </w:p>
    <w:sectPr w:rsidR="00C13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0A"/>
    <w:rsid w:val="00C138D1"/>
    <w:rsid w:val="00CA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5F08"/>
  <w15:chartTrackingRefBased/>
  <w15:docId w15:val="{C6DA7C06-6420-490C-AFD0-E2A55C2C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0A"/>
  </w:style>
  <w:style w:type="paragraph" w:styleId="Heading1">
    <w:name w:val="heading 1"/>
    <w:basedOn w:val="Normal"/>
    <w:next w:val="Normal"/>
    <w:link w:val="Heading1Char"/>
    <w:uiPriority w:val="9"/>
    <w:qFormat/>
    <w:rsid w:val="00CA740A"/>
    <w:pPr>
      <w:keepNext/>
      <w:keepLines/>
      <w:pBdr>
        <w:top w:val="single" w:sz="18" w:space="1" w:color="ED7D31" w:themeColor="accent2"/>
      </w:pBdr>
      <w:spacing w:before="240" w:after="40" w:line="240" w:lineRule="auto"/>
      <w:outlineLvl w:val="0"/>
    </w:pPr>
    <w:rPr>
      <w:rFonts w:asciiTheme="majorHAnsi" w:eastAsiaTheme="majorEastAsia" w:hAnsiTheme="majorHAnsi" w:cstheme="majorBidi"/>
      <w:b/>
      <w:smallCaps/>
      <w:noProof/>
      <w:color w:val="767171" w:themeColor="background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40A"/>
    <w:rPr>
      <w:rFonts w:asciiTheme="majorHAnsi" w:eastAsiaTheme="majorEastAsia" w:hAnsiTheme="majorHAnsi" w:cstheme="majorBidi"/>
      <w:b/>
      <w:smallCaps/>
      <w:noProof/>
      <w:color w:val="767171" w:themeColor="background2" w:themeShade="80"/>
      <w:sz w:val="26"/>
      <w:szCs w:val="26"/>
    </w:rPr>
  </w:style>
  <w:style w:type="paragraph" w:styleId="BodyText">
    <w:name w:val="Body Text"/>
    <w:basedOn w:val="Normal"/>
    <w:link w:val="BodyTextChar"/>
    <w:uiPriority w:val="1"/>
    <w:qFormat/>
    <w:rsid w:val="00CA740A"/>
    <w:pPr>
      <w:autoSpaceDE w:val="0"/>
      <w:autoSpaceDN w:val="0"/>
      <w:adjustRightInd w:val="0"/>
      <w:spacing w:after="0" w:line="240" w:lineRule="auto"/>
    </w:pPr>
    <w:rPr>
      <w:rFonts w:ascii="Arial Narrow" w:hAnsi="Arial Narrow" w:cs="Arial Narrow"/>
      <w:sz w:val="24"/>
      <w:szCs w:val="24"/>
      <w:u w:val="single"/>
    </w:rPr>
  </w:style>
  <w:style w:type="character" w:customStyle="1" w:styleId="BodyTextChar">
    <w:name w:val="Body Text Char"/>
    <w:basedOn w:val="DefaultParagraphFont"/>
    <w:link w:val="BodyText"/>
    <w:uiPriority w:val="1"/>
    <w:rsid w:val="00CA740A"/>
    <w:rPr>
      <w:rFonts w:ascii="Arial Narrow" w:hAnsi="Arial Narrow" w:cs="Arial Narrow"/>
      <w:sz w:val="24"/>
      <w:szCs w:val="24"/>
      <w:u w:val="single"/>
    </w:rPr>
  </w:style>
  <w:style w:type="paragraph" w:customStyle="1" w:styleId="TableParagraph">
    <w:name w:val="Table Paragraph"/>
    <w:basedOn w:val="Normal"/>
    <w:uiPriority w:val="1"/>
    <w:qFormat/>
    <w:rsid w:val="00CA740A"/>
    <w:pPr>
      <w:autoSpaceDE w:val="0"/>
      <w:autoSpaceDN w:val="0"/>
      <w:adjustRightInd w:val="0"/>
      <w:spacing w:after="0" w:line="240" w:lineRule="auto"/>
    </w:pPr>
    <w:rPr>
      <w:rFonts w:ascii="Arial Narrow" w:hAnsi="Arial Narrow" w:cs="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Dannenberg</dc:creator>
  <cp:keywords/>
  <dc:description/>
  <cp:lastModifiedBy>Mary E. Dannenberg</cp:lastModifiedBy>
  <cp:revision>1</cp:revision>
  <dcterms:created xsi:type="dcterms:W3CDTF">2019-07-19T15:33:00Z</dcterms:created>
  <dcterms:modified xsi:type="dcterms:W3CDTF">2019-07-19T15:40:00Z</dcterms:modified>
</cp:coreProperties>
</file>