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A5591" w14:textId="4215FF16" w:rsidR="00536EB0" w:rsidRDefault="00621D5B" w:rsidP="00536EB0">
      <w:pPr>
        <w:pStyle w:val="PlainText"/>
        <w:rPr>
          <w:rFonts w:ascii="Times New Roman" w:eastAsia="MS Mincho" w:hAnsi="Times New Roman"/>
          <w:b/>
          <w:sz w:val="20"/>
          <w:szCs w:val="20"/>
        </w:rPr>
      </w:pPr>
      <w:bookmarkStart w:id="0" w:name="_GoBack"/>
      <w:bookmarkEnd w:id="0"/>
      <w:r>
        <w:rPr>
          <w:rFonts w:ascii="Times New Roman" w:eastAsia="MS Mincho" w:hAnsi="Times New Roman"/>
          <w:b/>
          <w:sz w:val="20"/>
          <w:szCs w:val="20"/>
        </w:rPr>
        <w:t>This is a short-form amendment to 6.29.1 NMAC, Subsection M of Section 9</w:t>
      </w:r>
      <w:r w:rsidR="001D503F">
        <w:rPr>
          <w:rFonts w:ascii="Times New Roman" w:eastAsia="MS Mincho" w:hAnsi="Times New Roman"/>
          <w:b/>
          <w:sz w:val="20"/>
          <w:szCs w:val="20"/>
        </w:rPr>
        <w:t>, effective 12/14/2021.</w:t>
      </w:r>
    </w:p>
    <w:p w14:paraId="73EAB3FA" w14:textId="77777777" w:rsidR="00BC324B" w:rsidRDefault="00BC324B" w:rsidP="00536EB0">
      <w:pPr>
        <w:pStyle w:val="PlainText"/>
        <w:rPr>
          <w:rFonts w:ascii="Times New Roman" w:eastAsia="MS Mincho" w:hAnsi="Times New Roman"/>
          <w:b/>
          <w:sz w:val="20"/>
          <w:szCs w:val="20"/>
        </w:rPr>
      </w:pPr>
    </w:p>
    <w:p w14:paraId="60E7CAED" w14:textId="27090193" w:rsidR="001D503F" w:rsidRDefault="001D503F" w:rsidP="00536EB0">
      <w:pPr>
        <w:pStyle w:val="PlainText"/>
        <w:rPr>
          <w:rFonts w:ascii="Times New Roman" w:eastAsia="MS Mincho" w:hAnsi="Times New Roman"/>
          <w:b/>
          <w:sz w:val="20"/>
          <w:szCs w:val="20"/>
        </w:rPr>
      </w:pPr>
      <w:r>
        <w:rPr>
          <w:rFonts w:ascii="Times New Roman" w:eastAsia="MS Mincho" w:hAnsi="Times New Roman"/>
          <w:b/>
          <w:sz w:val="20"/>
          <w:szCs w:val="20"/>
        </w:rPr>
        <w:t>Expla</w:t>
      </w:r>
      <w:r w:rsidR="00BC324B">
        <w:rPr>
          <w:rFonts w:ascii="Times New Roman" w:eastAsia="MS Mincho" w:hAnsi="Times New Roman"/>
          <w:b/>
          <w:sz w:val="20"/>
          <w:szCs w:val="20"/>
        </w:rPr>
        <w:t>natory Paragraph</w:t>
      </w:r>
      <w:r>
        <w:rPr>
          <w:rFonts w:ascii="Times New Roman" w:eastAsia="MS Mincho" w:hAnsi="Times New Roman"/>
          <w:b/>
          <w:sz w:val="20"/>
          <w:szCs w:val="20"/>
        </w:rPr>
        <w:t>:  Subsections A through L</w:t>
      </w:r>
      <w:r w:rsidR="00BC324B">
        <w:rPr>
          <w:rFonts w:ascii="Times New Roman" w:eastAsia="MS Mincho" w:hAnsi="Times New Roman"/>
          <w:b/>
          <w:sz w:val="20"/>
          <w:szCs w:val="20"/>
        </w:rPr>
        <w:t>,</w:t>
      </w:r>
      <w:r>
        <w:rPr>
          <w:rFonts w:ascii="Times New Roman" w:eastAsia="MS Mincho" w:hAnsi="Times New Roman"/>
          <w:b/>
          <w:sz w:val="20"/>
          <w:szCs w:val="20"/>
        </w:rPr>
        <w:t xml:space="preserve"> and N through </w:t>
      </w:r>
      <w:r w:rsidR="00BC324B">
        <w:rPr>
          <w:rFonts w:ascii="Times New Roman" w:eastAsia="MS Mincho" w:hAnsi="Times New Roman"/>
          <w:b/>
          <w:sz w:val="20"/>
          <w:szCs w:val="20"/>
        </w:rPr>
        <w:t>R</w:t>
      </w:r>
      <w:r>
        <w:rPr>
          <w:rFonts w:ascii="Times New Roman" w:eastAsia="MS Mincho" w:hAnsi="Times New Roman"/>
          <w:b/>
          <w:sz w:val="20"/>
          <w:szCs w:val="20"/>
        </w:rPr>
        <w:t xml:space="preserve"> were not shown as no changes were made to those subsections.</w:t>
      </w:r>
    </w:p>
    <w:p w14:paraId="02403900" w14:textId="77777777" w:rsidR="001D503F" w:rsidRPr="00621D5B" w:rsidRDefault="001D503F" w:rsidP="00536EB0">
      <w:pPr>
        <w:pStyle w:val="PlainText"/>
        <w:rPr>
          <w:rFonts w:ascii="Times New Roman" w:eastAsia="MS Mincho" w:hAnsi="Times New Roman"/>
          <w:b/>
          <w:sz w:val="20"/>
          <w:szCs w:val="20"/>
        </w:rPr>
      </w:pPr>
    </w:p>
    <w:p w14:paraId="7C91731D" w14:textId="5B113729" w:rsidR="006873F6" w:rsidRDefault="006873F6" w:rsidP="006873F6">
      <w:pPr>
        <w:rPr>
          <w:rFonts w:ascii="Times New Roman" w:eastAsia="MS Mincho" w:hAnsi="Times New Roman"/>
          <w:b/>
          <w:bCs/>
          <w:sz w:val="20"/>
          <w:szCs w:val="20"/>
        </w:rPr>
      </w:pPr>
      <w:r w:rsidRPr="006873F6">
        <w:rPr>
          <w:rFonts w:ascii="Times New Roman" w:eastAsia="MS Mincho" w:hAnsi="Times New Roman"/>
          <w:b/>
          <w:bCs/>
          <w:sz w:val="20"/>
          <w:szCs w:val="20"/>
        </w:rPr>
        <w:t>6.29.1.9</w:t>
      </w:r>
      <w:r w:rsidRPr="006873F6">
        <w:rPr>
          <w:rFonts w:ascii="Times New Roman" w:eastAsia="MS Mincho" w:hAnsi="Times New Roman"/>
          <w:b/>
          <w:bCs/>
          <w:sz w:val="20"/>
          <w:szCs w:val="20"/>
        </w:rPr>
        <w:tab/>
      </w:r>
      <w:r w:rsidRPr="006873F6">
        <w:rPr>
          <w:rFonts w:ascii="Times New Roman" w:eastAsia="MS Mincho" w:hAnsi="Times New Roman"/>
          <w:b/>
          <w:bCs/>
          <w:sz w:val="20"/>
          <w:szCs w:val="20"/>
        </w:rPr>
        <w:tab/>
        <w:t>PROCEDURAL REQUIREMENTS:</w:t>
      </w:r>
    </w:p>
    <w:p w14:paraId="5F109033" w14:textId="489F1575" w:rsidR="001D503F" w:rsidRDefault="001D503F" w:rsidP="006873F6">
      <w:pPr>
        <w:rPr>
          <w:rFonts w:ascii="Times New Roman" w:eastAsia="MS Mincho" w:hAnsi="Times New Roman"/>
          <w:b/>
          <w:bCs/>
          <w:sz w:val="20"/>
          <w:szCs w:val="20"/>
        </w:rPr>
      </w:pPr>
    </w:p>
    <w:p w14:paraId="1A06F63C" w14:textId="6A50A6F3" w:rsidR="001D503F" w:rsidRPr="001D503F" w:rsidRDefault="001D503F" w:rsidP="006873F6">
      <w:pPr>
        <w:rPr>
          <w:rFonts w:ascii="Times New Roman" w:eastAsia="MS Mincho" w:hAnsi="Times New Roman"/>
          <w:bCs/>
          <w:sz w:val="20"/>
          <w:szCs w:val="20"/>
        </w:rPr>
      </w:pPr>
      <w:r w:rsidRPr="001D503F">
        <w:rPr>
          <w:rFonts w:ascii="Times New Roman" w:eastAsia="MS Mincho" w:hAnsi="Times New Roman"/>
          <w:bCs/>
          <w:sz w:val="20"/>
          <w:szCs w:val="20"/>
        </w:rPr>
        <w:t>***</w:t>
      </w:r>
    </w:p>
    <w:p w14:paraId="44527D85" w14:textId="4A97A1F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b/>
          <w:sz w:val="20"/>
          <w:szCs w:val="20"/>
        </w:rPr>
        <w:t>M.</w:t>
      </w:r>
      <w:r w:rsidRPr="006873F6">
        <w:rPr>
          <w:rFonts w:ascii="Times New Roman" w:eastAsia="MS Mincho" w:hAnsi="Times New Roman"/>
          <w:sz w:val="20"/>
          <w:szCs w:val="20"/>
        </w:rPr>
        <w:tab/>
        <w:t xml:space="preserve">Statewide student assessment system.  As stated in 22-2-8.13 NMSA 1978, students' knowledge and skills are assessed and evaluated though the New Mexico content standards with benchmarks and performance standards, the </w:t>
      </w:r>
      <w:r w:rsidR="00306C91" w:rsidRPr="002C1F6B">
        <w:rPr>
          <w:rFonts w:ascii="Times New Roman" w:eastAsia="MS Mincho" w:hAnsi="Times New Roman"/>
          <w:sz w:val="20"/>
          <w:szCs w:val="20"/>
        </w:rPr>
        <w:t>system of assessments</w:t>
      </w:r>
      <w:r w:rsidR="00306C91">
        <w:rPr>
          <w:rFonts w:ascii="Times New Roman" w:eastAsia="MS Mincho" w:hAnsi="Times New Roman"/>
          <w:sz w:val="20"/>
          <w:szCs w:val="20"/>
          <w:u w:val="single"/>
        </w:rPr>
        <w:t>,</w:t>
      </w:r>
      <w:r w:rsidR="00C76076">
        <w:rPr>
          <w:rFonts w:ascii="Times New Roman" w:eastAsia="MS Mincho" w:hAnsi="Times New Roman"/>
          <w:sz w:val="20"/>
          <w:szCs w:val="20"/>
        </w:rPr>
        <w:t xml:space="preserve"> and local measures.</w:t>
      </w:r>
    </w:p>
    <w:p w14:paraId="2BA6222C" w14:textId="381D4EAD" w:rsidR="006873F6" w:rsidRPr="00391EF4"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(1)</w:t>
      </w:r>
      <w:r w:rsidRPr="006873F6">
        <w:rPr>
          <w:rFonts w:ascii="Times New Roman" w:eastAsia="MS Mincho" w:hAnsi="Times New Roman"/>
          <w:sz w:val="20"/>
          <w:szCs w:val="20"/>
        </w:rPr>
        <w:tab/>
        <w:t>The statewide student assessment system.  All public school students, with the exceptions indicated below, shall participate in the</w:t>
      </w:r>
      <w:r w:rsidRPr="002C1F6B">
        <w:rPr>
          <w:rFonts w:ascii="Times New Roman" w:eastAsia="MS Mincho" w:hAnsi="Times New Roman"/>
          <w:sz w:val="20"/>
          <w:szCs w:val="20"/>
        </w:rPr>
        <w:t xml:space="preserve"> </w:t>
      </w:r>
      <w:r w:rsidR="00F62236" w:rsidRPr="002C1F6B">
        <w:rPr>
          <w:rFonts w:ascii="Times New Roman" w:eastAsia="MS Mincho" w:hAnsi="Times New Roman"/>
          <w:sz w:val="20"/>
          <w:szCs w:val="20"/>
        </w:rPr>
        <w:t>system of assessments</w:t>
      </w:r>
      <w:r w:rsidRPr="002C1F6B">
        <w:rPr>
          <w:rFonts w:ascii="Times New Roman" w:eastAsia="MS Mincho" w:hAnsi="Times New Roman"/>
          <w:sz w:val="20"/>
          <w:szCs w:val="20"/>
        </w:rPr>
        <w:t>, which includes</w:t>
      </w:r>
      <w:r w:rsidR="00391EF4" w:rsidRPr="002C1F6B">
        <w:rPr>
          <w:rFonts w:ascii="Times New Roman" w:eastAsia="MS Mincho" w:hAnsi="Times New Roman"/>
          <w:sz w:val="20"/>
          <w:szCs w:val="20"/>
        </w:rPr>
        <w:t xml:space="preserve"> </w:t>
      </w:r>
      <w:r w:rsidRPr="002C1F6B">
        <w:rPr>
          <w:rFonts w:ascii="Times New Roman" w:eastAsia="MS Mincho" w:hAnsi="Times New Roman"/>
          <w:sz w:val="20"/>
          <w:szCs w:val="20"/>
        </w:rPr>
        <w:t xml:space="preserve">standards-based assessments in grades 3 through 8 and </w:t>
      </w:r>
      <w:r w:rsidR="00391EF4" w:rsidRPr="002C1F6B">
        <w:rPr>
          <w:rFonts w:ascii="Times New Roman" w:eastAsia="MS Mincho" w:hAnsi="Times New Roman"/>
          <w:sz w:val="20"/>
          <w:szCs w:val="20"/>
        </w:rPr>
        <w:t>high school.</w:t>
      </w:r>
    </w:p>
    <w:p w14:paraId="1F79B712"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(2)</w:t>
      </w:r>
      <w:r w:rsidRPr="006873F6">
        <w:rPr>
          <w:rFonts w:ascii="Times New Roman" w:eastAsia="MS Mincho" w:hAnsi="Times New Roman"/>
          <w:sz w:val="20"/>
          <w:szCs w:val="20"/>
        </w:rPr>
        <w:tab/>
        <w:t>Exceptions.  Exceptions include special provisions and requirements for the assessment of English language learners and students with IEPs.</w:t>
      </w:r>
    </w:p>
    <w:p w14:paraId="1B70F326" w14:textId="3A7D0C81"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w:t>
      </w:r>
      <w:r w:rsidRPr="002C1F6B">
        <w:rPr>
          <w:rFonts w:ascii="Times New Roman" w:eastAsia="MS Mincho" w:hAnsi="Times New Roman"/>
          <w:b/>
          <w:sz w:val="20"/>
          <w:szCs w:val="20"/>
        </w:rPr>
        <w:t>a)</w:t>
      </w:r>
      <w:r w:rsidRPr="002C1F6B">
        <w:rPr>
          <w:rFonts w:ascii="Times New Roman" w:eastAsia="MS Mincho" w:hAnsi="Times New Roman"/>
          <w:sz w:val="20"/>
          <w:szCs w:val="20"/>
        </w:rPr>
        <w:tab/>
        <w:t>English language learners.  Students who have limited English language skills (i.e., students who are “English language learners”</w:t>
      </w:r>
      <w:r w:rsidR="00705899" w:rsidRPr="002C1F6B">
        <w:rPr>
          <w:rFonts w:ascii="Times New Roman" w:eastAsia="MS Mincho" w:hAnsi="Times New Roman"/>
          <w:sz w:val="20"/>
          <w:szCs w:val="20"/>
        </w:rPr>
        <w:t>)</w:t>
      </w:r>
      <w:r w:rsidRPr="002C1F6B">
        <w:rPr>
          <w:rFonts w:ascii="Times New Roman" w:eastAsia="MS Mincho" w:hAnsi="Times New Roman"/>
          <w:sz w:val="20"/>
          <w:szCs w:val="20"/>
        </w:rPr>
        <w:t xml:space="preserve"> </w:t>
      </w:r>
      <w:r w:rsidR="00B048DB" w:rsidRPr="002C1F6B">
        <w:rPr>
          <w:rFonts w:ascii="Times New Roman" w:eastAsia="MS Mincho" w:hAnsi="Times New Roman"/>
          <w:sz w:val="20"/>
          <w:szCs w:val="20"/>
        </w:rPr>
        <w:t xml:space="preserve">as determined by the department-approved English language proficiency </w:t>
      </w:r>
      <w:r w:rsidR="005A186B">
        <w:rPr>
          <w:rFonts w:ascii="Times New Roman" w:eastAsia="MS Mincho" w:hAnsi="Times New Roman"/>
          <w:sz w:val="20"/>
          <w:szCs w:val="20"/>
          <w:u w:val="single"/>
        </w:rPr>
        <w:t>screening</w:t>
      </w:r>
      <w:r w:rsidR="005A186B">
        <w:rPr>
          <w:rFonts w:ascii="Times New Roman" w:eastAsia="MS Mincho" w:hAnsi="Times New Roman"/>
          <w:sz w:val="20"/>
          <w:szCs w:val="20"/>
        </w:rPr>
        <w:t xml:space="preserve"> </w:t>
      </w:r>
      <w:r w:rsidR="00B048DB" w:rsidRPr="002C1F6B">
        <w:rPr>
          <w:rFonts w:ascii="Times New Roman" w:eastAsia="MS Mincho" w:hAnsi="Times New Roman"/>
          <w:sz w:val="20"/>
          <w:szCs w:val="20"/>
        </w:rPr>
        <w:t xml:space="preserve">assessment </w:t>
      </w:r>
      <w:r w:rsidRPr="002C1F6B">
        <w:rPr>
          <w:rFonts w:ascii="Times New Roman" w:eastAsia="MS Mincho" w:hAnsi="Times New Roman"/>
          <w:sz w:val="20"/>
          <w:szCs w:val="20"/>
        </w:rPr>
        <w:t xml:space="preserve">shall participate in the statewide </w:t>
      </w:r>
      <w:r w:rsidR="00391EF4" w:rsidRPr="002C1F6B">
        <w:rPr>
          <w:rFonts w:ascii="Times New Roman" w:eastAsia="MS Mincho" w:hAnsi="Times New Roman"/>
          <w:sz w:val="20"/>
          <w:szCs w:val="20"/>
        </w:rPr>
        <w:t xml:space="preserve">assessment </w:t>
      </w:r>
      <w:r w:rsidRPr="002C1F6B">
        <w:rPr>
          <w:rFonts w:ascii="Times New Roman" w:eastAsia="MS Mincho" w:hAnsi="Times New Roman"/>
          <w:sz w:val="20"/>
          <w:szCs w:val="20"/>
        </w:rPr>
        <w:t>program.  The following considerations specify how assessment shall be conducted.</w:t>
      </w:r>
    </w:p>
    <w:p w14:paraId="572CC8D4" w14:textId="7A835534" w:rsidR="006873F6" w:rsidRPr="00DE7B09"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 xml:space="preserve">Length of enrollment in U.S. schools.  The options for participation of English language learners in the New Mexico standards-based assessment program depend on the length of time that the </w:t>
      </w:r>
      <w:r w:rsidR="00DE7B09">
        <w:rPr>
          <w:rFonts w:ascii="Times New Roman" w:eastAsia="MS Mincho" w:hAnsi="Times New Roman"/>
          <w:sz w:val="20"/>
          <w:szCs w:val="20"/>
        </w:rPr>
        <w:t>student has been enrolled in U.</w:t>
      </w:r>
      <w:r w:rsidRPr="006873F6">
        <w:rPr>
          <w:rFonts w:ascii="Times New Roman" w:eastAsia="MS Mincho" w:hAnsi="Times New Roman"/>
          <w:sz w:val="20"/>
          <w:szCs w:val="20"/>
        </w:rPr>
        <w:t xml:space="preserve">S. public schools.  For students who are new to U.S. schools, the following applies:  Students who are enrolled for the first year in a U.S. school may </w:t>
      </w:r>
      <w:r w:rsidRPr="002474DA">
        <w:rPr>
          <w:rFonts w:ascii="Times New Roman" w:eastAsia="MS Mincho" w:hAnsi="Times New Roman"/>
          <w:sz w:val="20"/>
          <w:szCs w:val="20"/>
        </w:rPr>
        <w:t>receive</w:t>
      </w:r>
      <w:r w:rsidRPr="00A25A30">
        <w:rPr>
          <w:rFonts w:ascii="Times New Roman" w:eastAsia="MS Mincho" w:hAnsi="Times New Roman"/>
          <w:sz w:val="20"/>
          <w:szCs w:val="20"/>
        </w:rPr>
        <w:t xml:space="preserve"> </w:t>
      </w:r>
      <w:r w:rsidR="002474DA" w:rsidRPr="00A25A30">
        <w:rPr>
          <w:rFonts w:ascii="Times New Roman" w:eastAsia="MS Mincho" w:hAnsi="Times New Roman"/>
          <w:sz w:val="20"/>
          <w:szCs w:val="20"/>
        </w:rPr>
        <w:t>an</w:t>
      </w:r>
      <w:r w:rsidR="002474DA">
        <w:rPr>
          <w:rFonts w:ascii="Times New Roman" w:eastAsia="MS Mincho" w:hAnsi="Times New Roman"/>
          <w:sz w:val="20"/>
          <w:szCs w:val="20"/>
        </w:rPr>
        <w:t xml:space="preserve"> </w:t>
      </w:r>
      <w:r w:rsidRPr="002474DA">
        <w:rPr>
          <w:rFonts w:ascii="Times New Roman" w:eastAsia="MS Mincho" w:hAnsi="Times New Roman"/>
          <w:sz w:val="20"/>
          <w:szCs w:val="20"/>
        </w:rPr>
        <w:t>exemption</w:t>
      </w:r>
      <w:r w:rsidRPr="006873F6">
        <w:rPr>
          <w:rFonts w:ascii="Times New Roman" w:eastAsia="MS Mincho" w:hAnsi="Times New Roman"/>
          <w:sz w:val="20"/>
          <w:szCs w:val="20"/>
        </w:rPr>
        <w:t xml:space="preserve"> from the </w:t>
      </w:r>
      <w:r w:rsidR="003231B8" w:rsidRPr="002C1F6B">
        <w:rPr>
          <w:rFonts w:ascii="Times New Roman" w:eastAsia="MS Mincho" w:hAnsi="Times New Roman"/>
          <w:sz w:val="20"/>
          <w:szCs w:val="20"/>
        </w:rPr>
        <w:t>system of</w:t>
      </w:r>
      <w:r w:rsidR="003231B8" w:rsidRPr="00F5195F">
        <w:rPr>
          <w:rFonts w:ascii="Times New Roman" w:eastAsia="MS Mincho" w:hAnsi="Times New Roman"/>
          <w:sz w:val="20"/>
          <w:szCs w:val="20"/>
          <w:u w:val="single"/>
        </w:rPr>
        <w:t xml:space="preserve"> </w:t>
      </w:r>
      <w:r w:rsidR="003231B8" w:rsidRPr="002C1F6B">
        <w:rPr>
          <w:rFonts w:ascii="Times New Roman" w:eastAsia="MS Mincho" w:hAnsi="Times New Roman"/>
          <w:sz w:val="20"/>
          <w:szCs w:val="20"/>
        </w:rPr>
        <w:t>assessments</w:t>
      </w:r>
      <w:r w:rsidR="00F5195F" w:rsidRPr="002C1F6B">
        <w:rPr>
          <w:rFonts w:ascii="Times New Roman" w:eastAsia="MS Mincho" w:hAnsi="Times New Roman"/>
          <w:sz w:val="20"/>
          <w:szCs w:val="20"/>
        </w:rPr>
        <w:t xml:space="preserve"> </w:t>
      </w:r>
      <w:r w:rsidRPr="002C1F6B">
        <w:rPr>
          <w:rFonts w:ascii="Times New Roman" w:eastAsia="MS Mincho" w:hAnsi="Times New Roman"/>
          <w:sz w:val="20"/>
          <w:szCs w:val="20"/>
        </w:rPr>
        <w:t xml:space="preserve">for </w:t>
      </w:r>
      <w:r w:rsidR="00F5195F" w:rsidRPr="002C1F6B">
        <w:rPr>
          <w:rFonts w:ascii="Times New Roman" w:eastAsia="MS Mincho" w:hAnsi="Times New Roman"/>
          <w:sz w:val="20"/>
          <w:szCs w:val="20"/>
        </w:rPr>
        <w:t>English language arts, including all subtests therein</w:t>
      </w:r>
      <w:r w:rsidRPr="002C1F6B">
        <w:rPr>
          <w:rFonts w:ascii="Times New Roman" w:eastAsia="MS Mincho" w:hAnsi="Times New Roman"/>
          <w:sz w:val="20"/>
          <w:szCs w:val="20"/>
        </w:rPr>
        <w:t xml:space="preserve">. </w:t>
      </w:r>
      <w:r w:rsidR="002C1F6B" w:rsidRPr="002C1F6B">
        <w:rPr>
          <w:rFonts w:ascii="Times New Roman" w:eastAsia="MS Mincho" w:hAnsi="Times New Roman"/>
          <w:sz w:val="20"/>
          <w:szCs w:val="20"/>
        </w:rPr>
        <w:t xml:space="preserve"> </w:t>
      </w:r>
      <w:r w:rsidRPr="002C1F6B">
        <w:rPr>
          <w:rFonts w:ascii="Times New Roman" w:eastAsia="MS Mincho" w:hAnsi="Times New Roman"/>
          <w:sz w:val="20"/>
          <w:szCs w:val="20"/>
        </w:rPr>
        <w:t xml:space="preserve">In all other content areas of the </w:t>
      </w:r>
      <w:r w:rsidR="00BD00DD" w:rsidRPr="002C1F6B">
        <w:rPr>
          <w:rFonts w:ascii="Times New Roman" w:eastAsia="MS Mincho" w:hAnsi="Times New Roman"/>
          <w:sz w:val="20"/>
          <w:szCs w:val="20"/>
        </w:rPr>
        <w:t>system of assessments</w:t>
      </w:r>
      <w:r w:rsidR="00DE7B09" w:rsidRPr="002C1F6B">
        <w:rPr>
          <w:rFonts w:ascii="Times New Roman" w:eastAsia="MS Mincho" w:hAnsi="Times New Roman"/>
          <w:sz w:val="20"/>
          <w:szCs w:val="20"/>
        </w:rPr>
        <w:t xml:space="preserve">, </w:t>
      </w:r>
      <w:r w:rsidRPr="002C1F6B">
        <w:rPr>
          <w:rFonts w:ascii="Times New Roman" w:eastAsia="MS Mincho" w:hAnsi="Times New Roman"/>
          <w:sz w:val="20"/>
          <w:szCs w:val="20"/>
        </w:rPr>
        <w:t xml:space="preserve">the student shall participate in the Spanish-language version of the assessment (if available and appropriate) or in the English-language version with accommodations provided, if they are determined to be appropriate by the local school’s team, as described in (iii) of Subparagraph (a) of Paragraph (2) of Subsection M of 6.29.1.9 NMAC.  For the subtests other than reading, the test completion status shall be student tested all sessions, and the types of accommodations that are provided, if any, shall be indicated </w:t>
      </w:r>
      <w:r w:rsidR="00B048DB" w:rsidRPr="002C1F6B">
        <w:rPr>
          <w:rFonts w:ascii="Times New Roman" w:eastAsia="MS Mincho" w:hAnsi="Times New Roman"/>
          <w:sz w:val="20"/>
          <w:szCs w:val="20"/>
        </w:rPr>
        <w:t xml:space="preserve">in </w:t>
      </w:r>
      <w:r w:rsidRPr="002C1F6B">
        <w:rPr>
          <w:rFonts w:ascii="Times New Roman" w:eastAsia="MS Mincho" w:hAnsi="Times New Roman"/>
          <w:sz w:val="20"/>
          <w:szCs w:val="20"/>
        </w:rPr>
        <w:t xml:space="preserve">the student </w:t>
      </w:r>
      <w:r w:rsidR="00B048DB" w:rsidRPr="002C1F6B">
        <w:rPr>
          <w:rFonts w:ascii="Times New Roman" w:eastAsia="MS Mincho" w:hAnsi="Times New Roman"/>
          <w:sz w:val="20"/>
          <w:szCs w:val="20"/>
        </w:rPr>
        <w:t>information system</w:t>
      </w:r>
      <w:r w:rsidRPr="002C1F6B">
        <w:rPr>
          <w:rFonts w:ascii="Times New Roman" w:eastAsia="MS Mincho" w:hAnsi="Times New Roman"/>
          <w:sz w:val="20"/>
          <w:szCs w:val="20"/>
        </w:rPr>
        <w:t xml:space="preserve">.  Students who have been in U.S. schools for </w:t>
      </w:r>
      <w:r w:rsidR="005D7560" w:rsidRPr="002C1F6B">
        <w:rPr>
          <w:rFonts w:ascii="Times New Roman" w:eastAsia="MS Mincho" w:hAnsi="Times New Roman"/>
          <w:sz w:val="20"/>
          <w:szCs w:val="20"/>
        </w:rPr>
        <w:t xml:space="preserve">at least 12 months and </w:t>
      </w:r>
      <w:r w:rsidRPr="002C1F6B">
        <w:rPr>
          <w:rFonts w:ascii="Times New Roman" w:eastAsia="MS Mincho" w:hAnsi="Times New Roman"/>
          <w:sz w:val="20"/>
          <w:szCs w:val="20"/>
        </w:rPr>
        <w:t>less than three consecutive years shall participate in the statewide assessment program in one of three ways:  the student may</w:t>
      </w:r>
      <w:r w:rsidRPr="006873F6">
        <w:rPr>
          <w:rFonts w:ascii="Times New Roman" w:eastAsia="MS Mincho" w:hAnsi="Times New Roman"/>
          <w:sz w:val="20"/>
          <w:szCs w:val="20"/>
        </w:rPr>
        <w:t xml:space="preserve"> participate in the standard administration of the English-language version of the assessment without accommodations; the student may participate in the English-language version of the assessment with appropriate accommodations; or the student may participate in the standard administration of the Spanish-language version of the assessment, wh</w:t>
      </w:r>
      <w:r w:rsidR="002C1F6B">
        <w:rPr>
          <w:rFonts w:ascii="Times New Roman" w:eastAsia="MS Mincho" w:hAnsi="Times New Roman"/>
          <w:sz w:val="20"/>
          <w:szCs w:val="20"/>
        </w:rPr>
        <w:t>ere available and appropriate.</w:t>
      </w:r>
    </w:p>
    <w:p w14:paraId="6C21468D" w14:textId="3A57C67D"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 xml:space="preserve">Waivers for home language assessment.  Students who have been in U.S. schools </w:t>
      </w:r>
      <w:r w:rsidRPr="002C1F6B">
        <w:rPr>
          <w:rFonts w:ascii="Times New Roman" w:eastAsia="MS Mincho" w:hAnsi="Times New Roman"/>
          <w:sz w:val="20"/>
          <w:szCs w:val="20"/>
        </w:rPr>
        <w:t>for three or more consecutive years shall participate in the English-language version of the assessment with or without allowable accommodations, unless</w:t>
      </w:r>
      <w:r w:rsidR="002C1F6B" w:rsidRPr="002C1F6B">
        <w:rPr>
          <w:rFonts w:ascii="Times New Roman" w:eastAsia="MS Mincho" w:hAnsi="Times New Roman"/>
          <w:sz w:val="20"/>
          <w:szCs w:val="20"/>
        </w:rPr>
        <w:t xml:space="preserve"> </w:t>
      </w:r>
      <w:r w:rsidR="00433FF9" w:rsidRPr="002C1F6B">
        <w:rPr>
          <w:rFonts w:ascii="Times New Roman" w:eastAsia="MS Mincho" w:hAnsi="Times New Roman"/>
          <w:sz w:val="20"/>
          <w:szCs w:val="20"/>
        </w:rPr>
        <w:t>a request based on the determination of the local education agency t</w:t>
      </w:r>
      <w:r w:rsidRPr="002C1F6B">
        <w:rPr>
          <w:rFonts w:ascii="Times New Roman" w:eastAsia="MS Mincho" w:hAnsi="Times New Roman"/>
          <w:sz w:val="20"/>
          <w:szCs w:val="20"/>
        </w:rPr>
        <w:t xml:space="preserve">o continue the testing of the student in the home language of Spanish </w:t>
      </w:r>
      <w:r w:rsidR="00537AB2" w:rsidRPr="002C1F6B">
        <w:rPr>
          <w:rFonts w:ascii="Times New Roman" w:eastAsia="MS Mincho" w:hAnsi="Times New Roman"/>
          <w:sz w:val="20"/>
          <w:szCs w:val="20"/>
        </w:rPr>
        <w:t xml:space="preserve">and the request </w:t>
      </w:r>
      <w:r w:rsidRPr="002C1F6B">
        <w:rPr>
          <w:rFonts w:ascii="Times New Roman" w:eastAsia="MS Mincho" w:hAnsi="Times New Roman"/>
          <w:sz w:val="20"/>
          <w:szCs w:val="20"/>
        </w:rPr>
        <w:t>is approved by the secretary.  If, after three consecutive years in U.S. schools, the district or charter school determines (on a case-by-case basis) that academic assessments in the student's home language of Spanish would yield more accurate and reliable information about the student's knowledge of a subject, the district or charter school may request a waiver from the secretary to continue to assess the student in the home language of Spanish.  Approved waivers are effective for the current year only; annual waiver requests may be approved for a maximum of two years.  The waiver request shall be submitted to the secretary for approval at least three months before the assessment, by the district's superintendent or the charter school administrator.  The request shall</w:t>
      </w:r>
      <w:r w:rsidR="00433FF9" w:rsidRPr="002C1F6B">
        <w:rPr>
          <w:rFonts w:ascii="Times New Roman" w:eastAsia="MS Mincho" w:hAnsi="Times New Roman"/>
          <w:sz w:val="20"/>
          <w:szCs w:val="20"/>
        </w:rPr>
        <w:t xml:space="preserve"> include:</w:t>
      </w:r>
      <w:r w:rsidR="002C1F6B" w:rsidRPr="002C1F6B">
        <w:rPr>
          <w:rFonts w:ascii="Times New Roman" w:eastAsia="MS Mincho" w:hAnsi="Times New Roman"/>
          <w:sz w:val="20"/>
          <w:szCs w:val="20"/>
        </w:rPr>
        <w:t xml:space="preserve"> </w:t>
      </w:r>
      <w:r w:rsidRPr="002C1F6B">
        <w:rPr>
          <w:rFonts w:ascii="Times New Roman" w:eastAsia="MS Mincho" w:hAnsi="Times New Roman"/>
          <w:sz w:val="20"/>
          <w:szCs w:val="20"/>
        </w:rPr>
        <w:t xml:space="preserve">student name, student state identification number, school in which the student is currently enrolled, student's grade level, student's </w:t>
      </w:r>
      <w:r w:rsidR="00126212" w:rsidRPr="002C1F6B">
        <w:rPr>
          <w:rFonts w:ascii="Times New Roman" w:eastAsia="MS Mincho" w:hAnsi="Times New Roman"/>
          <w:sz w:val="20"/>
          <w:szCs w:val="20"/>
        </w:rPr>
        <w:t xml:space="preserve">most recent department-approved </w:t>
      </w:r>
      <w:r w:rsidR="002C1F6B" w:rsidRPr="002C1F6B">
        <w:rPr>
          <w:rFonts w:ascii="Times New Roman" w:eastAsia="MS Mincho" w:hAnsi="Times New Roman"/>
          <w:sz w:val="20"/>
          <w:szCs w:val="20"/>
        </w:rPr>
        <w:t>English language proficiency</w:t>
      </w:r>
      <w:r w:rsidRPr="002C1F6B">
        <w:rPr>
          <w:rFonts w:ascii="Times New Roman" w:eastAsia="MS Mincho" w:hAnsi="Times New Roman"/>
          <w:sz w:val="20"/>
          <w:szCs w:val="20"/>
        </w:rPr>
        <w:t>,</w:t>
      </w:r>
      <w:r w:rsidR="00AB132C" w:rsidRPr="002C1F6B">
        <w:rPr>
          <w:rFonts w:ascii="Times New Roman" w:eastAsia="MS Mincho" w:hAnsi="Times New Roman"/>
          <w:sz w:val="20"/>
          <w:szCs w:val="20"/>
        </w:rPr>
        <w:t xml:space="preserve"> </w:t>
      </w:r>
      <w:r w:rsidR="00433FF9" w:rsidRPr="002C1F6B">
        <w:rPr>
          <w:rFonts w:ascii="Times New Roman" w:eastAsia="MS Mincho" w:hAnsi="Times New Roman"/>
          <w:sz w:val="20"/>
          <w:szCs w:val="20"/>
        </w:rPr>
        <w:t xml:space="preserve">assessment date and overall composite score, </w:t>
      </w:r>
      <w:r w:rsidR="00AB132C" w:rsidRPr="002C1F6B">
        <w:rPr>
          <w:rFonts w:ascii="Times New Roman" w:eastAsia="MS Mincho" w:hAnsi="Times New Roman"/>
          <w:sz w:val="20"/>
          <w:szCs w:val="20"/>
        </w:rPr>
        <w:t>length of enrollment in U.S. school</w:t>
      </w:r>
      <w:r w:rsidR="004E4C2E" w:rsidRPr="002C1F6B">
        <w:rPr>
          <w:rFonts w:ascii="Times New Roman" w:eastAsia="MS Mincho" w:hAnsi="Times New Roman"/>
          <w:sz w:val="20"/>
          <w:szCs w:val="20"/>
        </w:rPr>
        <w:t>s</w:t>
      </w:r>
      <w:r w:rsidR="00AB132C" w:rsidRPr="002C1F6B">
        <w:rPr>
          <w:rFonts w:ascii="Times New Roman" w:eastAsia="MS Mincho" w:hAnsi="Times New Roman"/>
          <w:sz w:val="20"/>
          <w:szCs w:val="20"/>
        </w:rPr>
        <w:t>,</w:t>
      </w:r>
      <w:r w:rsidRPr="002C1F6B">
        <w:rPr>
          <w:rFonts w:ascii="Times New Roman" w:eastAsia="MS Mincho" w:hAnsi="Times New Roman"/>
          <w:sz w:val="20"/>
          <w:szCs w:val="20"/>
        </w:rPr>
        <w:t xml:space="preserve"> an indication of whether this is the first or second waiver request for the student, the reason or justification for the waiver request, and names of the school team members involved in the decision to request the waiver.</w:t>
      </w:r>
    </w:p>
    <w:p w14:paraId="539C91BF"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(iii)</w:t>
      </w:r>
      <w:r w:rsidRPr="006873F6">
        <w:rPr>
          <w:rFonts w:ascii="Times New Roman" w:eastAsia="MS Mincho" w:hAnsi="Times New Roman"/>
          <w:sz w:val="20"/>
          <w:szCs w:val="20"/>
        </w:rPr>
        <w:tab/>
        <w:t xml:space="preserve">Accommodations.  Districts and charter schools shall provide accommodations to English language learners after consideration of their appropriateness for the individual student.  To determine the appropriateness of allowing accommodations, the district or charter school shall consider the student's level of proficiency in all domains of language (listening, speaking, reading, writing and comprehension) and the nature of the school's instructional program.  The district or charter school shall ensure that students do not </w:t>
      </w:r>
      <w:r w:rsidRPr="006873F6">
        <w:rPr>
          <w:rFonts w:ascii="Times New Roman" w:eastAsia="MS Mincho" w:hAnsi="Times New Roman"/>
          <w:sz w:val="20"/>
          <w:szCs w:val="20"/>
        </w:rPr>
        <w:lastRenderedPageBreak/>
        <w:t xml:space="preserve">receive accommodations without current justification supported by data.  District and school staff may obtain the technical assistance on procedures for accommodations from the department's district test coordinator's manual or from the department.  Each school shall utilize a team to review individual student progress in order to determine accommodations.  For students being served on an individualized education program (IEP) or Section 504 Plan, those teams (IEP or Section 504) will respectively determine appropriate test accommodations.  For all other students, the school may use its student assistance team (SAT) or form another school-based team for this purpose, but the team shall be comprised of at least three school staff, including staff who are familiar with the student's abilities and language needs, standardized test procedures and valid ELL test accommodations. Team members may include:  the student's bilingual multicultural education- or TESOL-endorsed teacher, the bilingual multicultural education program coordinator, the student's other teacher(s), administrators or school test coordinators, or the school counselor.  The student's parent or guardian, the student and other staff members may be also included, as appropriate.  The team shall base its decisions about appropriate accommodations on the following:  annual review of the student's progress in </w:t>
      </w:r>
      <w:r w:rsidRPr="00A25A30">
        <w:rPr>
          <w:rFonts w:ascii="Times New Roman" w:eastAsia="MS Mincho" w:hAnsi="Times New Roman"/>
          <w:sz w:val="20"/>
          <w:szCs w:val="20"/>
        </w:rPr>
        <w:t>attaining</w:t>
      </w:r>
      <w:r w:rsidRPr="006873F6">
        <w:rPr>
          <w:rFonts w:ascii="Times New Roman" w:eastAsia="MS Mincho" w:hAnsi="Times New Roman"/>
          <w:sz w:val="20"/>
          <w:szCs w:val="20"/>
        </w:rPr>
        <w:t xml:space="preserve"> English proficiency, student's current English language proficiency, including the student's experience and time in U. S. schools, student's expected date for exiting English language learner accommodations, student's familiarity with the accommodation under consideration, the primary language of instruction used in the content area to be assessed and the length of time that the student has received instruction in that language, and the student's grade level.  Written documentation of accommodation decisions made by the team shall be stored in the student's cumulative file and shall be reported to the department's bureau of assessment and evaluation.</w:t>
      </w:r>
    </w:p>
    <w:p w14:paraId="38903669" w14:textId="77777777"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(b)</w:t>
      </w:r>
      <w:r w:rsidRPr="006873F6">
        <w:rPr>
          <w:rFonts w:ascii="Times New Roman" w:eastAsia="MS Mincho" w:hAnsi="Times New Roman"/>
          <w:sz w:val="20"/>
          <w:szCs w:val="20"/>
        </w:rPr>
        <w:tab/>
        <w:t>Students with IEPs.  Students with IEPs who receive special education and related services shall participate in all statewide and district-wide assessments of student achievement or in state-approved alternate assessments.  Pursuant to Subsection E of 6.31.2.11 NMAC, 34 CFR 300.320 (a)(2)(ii) and 34 CFR 300.320(a)(6), the IEPs for such students shall specify which assessments each student will participate in and what, if any, accommodations or modifications in administration are needed to enable the student to participate.  The IEPs for students who will not participate in a particular statewide or district-wide assessment shall meet state-approved criteria, methods and instruments.</w:t>
      </w:r>
    </w:p>
    <w:p w14:paraId="0F8434D0" w14:textId="6204B0F8"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(c)</w:t>
      </w:r>
      <w:r w:rsidRPr="006873F6">
        <w:rPr>
          <w:rFonts w:ascii="Times New Roman" w:eastAsia="MS Mincho" w:hAnsi="Times New Roman"/>
          <w:sz w:val="20"/>
          <w:szCs w:val="20"/>
        </w:rPr>
        <w:tab/>
        <w:t xml:space="preserve">Waiver of the </w:t>
      </w:r>
      <w:r w:rsidR="00E76E4B" w:rsidRPr="002C1F6B">
        <w:rPr>
          <w:rFonts w:ascii="Times New Roman" w:eastAsia="MS Mincho" w:hAnsi="Times New Roman"/>
          <w:sz w:val="20"/>
          <w:szCs w:val="20"/>
        </w:rPr>
        <w:t>high school</w:t>
      </w:r>
      <w:r w:rsidRPr="002C1F6B">
        <w:rPr>
          <w:rFonts w:ascii="Times New Roman" w:eastAsia="MS Mincho" w:hAnsi="Times New Roman"/>
          <w:sz w:val="20"/>
          <w:szCs w:val="20"/>
        </w:rPr>
        <w:t xml:space="preserve"> </w:t>
      </w:r>
      <w:r w:rsidR="00E76E4B" w:rsidRPr="002C1F6B">
        <w:rPr>
          <w:rFonts w:ascii="Times New Roman" w:eastAsia="MS Mincho" w:hAnsi="Times New Roman"/>
          <w:sz w:val="20"/>
          <w:szCs w:val="20"/>
        </w:rPr>
        <w:t>system of assessments</w:t>
      </w:r>
      <w:r w:rsidRPr="006873F6">
        <w:rPr>
          <w:rFonts w:ascii="Times New Roman" w:eastAsia="MS Mincho" w:hAnsi="Times New Roman"/>
          <w:sz w:val="20"/>
          <w:szCs w:val="20"/>
        </w:rPr>
        <w:t xml:space="preserve"> (graduation requirement assessment).</w:t>
      </w:r>
    </w:p>
    <w:p w14:paraId="5DEABACB" w14:textId="263C6482" w:rsidR="006873F6" w:rsidRP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w:t>
      </w:r>
      <w:r w:rsidRPr="006873F6">
        <w:rPr>
          <w:rFonts w:ascii="Times New Roman" w:eastAsia="MS Mincho" w:hAnsi="Times New Roman"/>
          <w:sz w:val="20"/>
          <w:szCs w:val="20"/>
        </w:rPr>
        <w:tab/>
        <w:t>With the approval of the local board of education or charter school governing body, the local superintendent or charter school administrator may request written approval from the secretary to award a diploma to a student who has not passed the</w:t>
      </w:r>
      <w:r w:rsidR="002C1F6B">
        <w:rPr>
          <w:rFonts w:ascii="Times New Roman" w:eastAsia="MS Mincho" w:hAnsi="Times New Roman"/>
          <w:sz w:val="20"/>
          <w:szCs w:val="20"/>
        </w:rPr>
        <w:t xml:space="preserve"> </w:t>
      </w:r>
      <w:r w:rsidR="00E76E4B" w:rsidRPr="002C1F6B">
        <w:rPr>
          <w:rFonts w:ascii="Times New Roman" w:eastAsia="MS Mincho" w:hAnsi="Times New Roman"/>
          <w:sz w:val="20"/>
          <w:szCs w:val="20"/>
        </w:rPr>
        <w:t>high school</w:t>
      </w:r>
      <w:r w:rsidRPr="002C1F6B">
        <w:rPr>
          <w:rFonts w:ascii="Times New Roman" w:eastAsia="MS Mincho" w:hAnsi="Times New Roman"/>
          <w:sz w:val="20"/>
          <w:szCs w:val="20"/>
        </w:rPr>
        <w:t xml:space="preserve"> </w:t>
      </w:r>
      <w:r w:rsidR="00E76E4B" w:rsidRPr="002C1F6B">
        <w:rPr>
          <w:rFonts w:ascii="Times New Roman" w:eastAsia="MS Mincho" w:hAnsi="Times New Roman"/>
          <w:sz w:val="20"/>
          <w:szCs w:val="20"/>
        </w:rPr>
        <w:t>system of assessments</w:t>
      </w:r>
      <w:r w:rsidRPr="002C1F6B">
        <w:rPr>
          <w:rFonts w:ascii="Times New Roman" w:eastAsia="MS Mincho" w:hAnsi="Times New Roman"/>
          <w:sz w:val="20"/>
          <w:szCs w:val="20"/>
        </w:rPr>
        <w:t>.</w:t>
      </w:r>
      <w:r w:rsidRPr="006873F6">
        <w:rPr>
          <w:rFonts w:ascii="Times New Roman" w:eastAsia="MS Mincho" w:hAnsi="Times New Roman"/>
          <w:sz w:val="20"/>
          <w:szCs w:val="20"/>
        </w:rPr>
        <w:t xml:space="preserve">  The district or charter school shall document student attainment of required competencies through an alternative assessment procedure and shall submit such a request using the department's </w:t>
      </w:r>
      <w:r w:rsidR="00E76E4B" w:rsidRPr="002C1F6B">
        <w:rPr>
          <w:rFonts w:ascii="Times New Roman" w:eastAsia="MS Mincho" w:hAnsi="Times New Roman"/>
          <w:i/>
          <w:sz w:val="20"/>
          <w:szCs w:val="20"/>
        </w:rPr>
        <w:t>high school</w:t>
      </w:r>
      <w:r w:rsidRPr="002C1F6B">
        <w:rPr>
          <w:rFonts w:ascii="Times New Roman" w:eastAsia="MS Mincho" w:hAnsi="Times New Roman"/>
          <w:i/>
          <w:sz w:val="20"/>
          <w:szCs w:val="20"/>
        </w:rPr>
        <w:t xml:space="preserve"> </w:t>
      </w:r>
      <w:r w:rsidR="00E76E4B" w:rsidRPr="002C1F6B">
        <w:rPr>
          <w:rFonts w:ascii="Times New Roman" w:eastAsia="MS Mincho" w:hAnsi="Times New Roman"/>
          <w:i/>
          <w:sz w:val="20"/>
          <w:szCs w:val="20"/>
        </w:rPr>
        <w:t>system of assessments</w:t>
      </w:r>
      <w:r w:rsidR="00B44E80">
        <w:rPr>
          <w:rFonts w:ascii="Times New Roman" w:eastAsia="MS Mincho" w:hAnsi="Times New Roman"/>
          <w:i/>
          <w:sz w:val="20"/>
          <w:szCs w:val="20"/>
        </w:rPr>
        <w:t xml:space="preserve"> </w:t>
      </w:r>
      <w:r w:rsidRPr="006873F6">
        <w:rPr>
          <w:rFonts w:ascii="Times New Roman" w:eastAsia="MS Mincho" w:hAnsi="Times New Roman"/>
          <w:i/>
          <w:sz w:val="20"/>
          <w:szCs w:val="20"/>
        </w:rPr>
        <w:t>waiver request</w:t>
      </w:r>
      <w:r w:rsidRPr="006873F6">
        <w:rPr>
          <w:rFonts w:ascii="Times New Roman" w:eastAsia="MS Mincho" w:hAnsi="Times New Roman"/>
          <w:sz w:val="20"/>
          <w:szCs w:val="20"/>
        </w:rPr>
        <w:t xml:space="preserve"> form. This form shall include: name of superintendent; district/school; mailing address; phone; fax; email address; name of a secondary contact person including the same information; date of submission; statement of applicable district or charter school policy, list of students for whom the waiver request is being made including:  student name, school, date of board approval, and statement of whether or not competencies are documented through an alternative assessment; and rationale for request.</w:t>
      </w:r>
    </w:p>
    <w:p w14:paraId="110CF689" w14:textId="3C7EB9FE" w:rsidR="006873F6" w:rsidRDefault="006873F6" w:rsidP="006873F6">
      <w:pPr>
        <w:rPr>
          <w:rFonts w:ascii="Times New Roman" w:eastAsia="MS Mincho" w:hAnsi="Times New Roman"/>
          <w:sz w:val="20"/>
          <w:szCs w:val="20"/>
        </w:rPr>
      </w:pP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sz w:val="20"/>
          <w:szCs w:val="20"/>
        </w:rPr>
        <w:tab/>
      </w:r>
      <w:r w:rsidRPr="006873F6">
        <w:rPr>
          <w:rFonts w:ascii="Times New Roman" w:eastAsia="MS Mincho" w:hAnsi="Times New Roman"/>
          <w:b/>
          <w:sz w:val="20"/>
          <w:szCs w:val="20"/>
        </w:rPr>
        <w:t>(ii)</w:t>
      </w:r>
      <w:r w:rsidRPr="006873F6">
        <w:rPr>
          <w:rFonts w:ascii="Times New Roman" w:eastAsia="MS Mincho" w:hAnsi="Times New Roman"/>
          <w:sz w:val="20"/>
          <w:szCs w:val="20"/>
        </w:rPr>
        <w:tab/>
        <w:t>With appropriate documentation, a passing score on another state's graduation requirement asse</w:t>
      </w:r>
      <w:r w:rsidR="00E76E4B">
        <w:rPr>
          <w:rFonts w:ascii="Times New Roman" w:eastAsia="MS Mincho" w:hAnsi="Times New Roman"/>
          <w:sz w:val="20"/>
          <w:szCs w:val="20"/>
        </w:rPr>
        <w:t>s</w:t>
      </w:r>
      <w:r w:rsidR="002C1F6B">
        <w:rPr>
          <w:rFonts w:ascii="Times New Roman" w:eastAsia="MS Mincho" w:hAnsi="Times New Roman"/>
          <w:sz w:val="20"/>
          <w:szCs w:val="20"/>
        </w:rPr>
        <w:t xml:space="preserve">sment shall substitute for the </w:t>
      </w:r>
      <w:r w:rsidR="00E76E4B" w:rsidRPr="00A25A30">
        <w:rPr>
          <w:rFonts w:ascii="Times New Roman" w:eastAsia="MS Mincho" w:hAnsi="Times New Roman"/>
          <w:sz w:val="20"/>
          <w:szCs w:val="20"/>
        </w:rPr>
        <w:t>high school</w:t>
      </w:r>
      <w:r w:rsidR="002C1F6B" w:rsidRPr="00A25A30">
        <w:rPr>
          <w:rFonts w:ascii="Times New Roman" w:eastAsia="MS Mincho" w:hAnsi="Times New Roman"/>
          <w:sz w:val="20"/>
          <w:szCs w:val="20"/>
        </w:rPr>
        <w:t xml:space="preserve"> system of assessments</w:t>
      </w:r>
      <w:r w:rsidRPr="00A25A30">
        <w:rPr>
          <w:rFonts w:ascii="Times New Roman" w:eastAsia="MS Mincho" w:hAnsi="Times New Roman"/>
          <w:sz w:val="20"/>
          <w:szCs w:val="20"/>
        </w:rPr>
        <w:t>.</w:t>
      </w:r>
    </w:p>
    <w:p w14:paraId="64B21F7C" w14:textId="24148048" w:rsidR="001D503F" w:rsidRDefault="001D503F" w:rsidP="006873F6">
      <w:pPr>
        <w:rPr>
          <w:rFonts w:ascii="Times New Roman" w:eastAsia="MS Mincho" w:hAnsi="Times New Roman"/>
          <w:sz w:val="20"/>
          <w:szCs w:val="20"/>
        </w:rPr>
      </w:pPr>
    </w:p>
    <w:p w14:paraId="418A06D9" w14:textId="4A85611A" w:rsidR="001D503F" w:rsidRDefault="001D503F" w:rsidP="006873F6">
      <w:pPr>
        <w:rPr>
          <w:rFonts w:ascii="Times New Roman" w:eastAsia="MS Mincho" w:hAnsi="Times New Roman"/>
          <w:sz w:val="20"/>
          <w:szCs w:val="20"/>
        </w:rPr>
      </w:pPr>
      <w:r w:rsidRPr="001D503F">
        <w:rPr>
          <w:rFonts w:ascii="Times New Roman" w:eastAsia="MS Mincho" w:hAnsi="Times New Roman"/>
          <w:sz w:val="20"/>
          <w:szCs w:val="20"/>
        </w:rPr>
        <w:t>***</w:t>
      </w:r>
    </w:p>
    <w:p w14:paraId="79EAFD7B" w14:textId="77777777" w:rsidR="001D503F" w:rsidRPr="001D503F" w:rsidRDefault="001D503F" w:rsidP="006873F6">
      <w:pPr>
        <w:rPr>
          <w:rFonts w:ascii="Times New Roman" w:eastAsia="MS Mincho" w:hAnsi="Times New Roman"/>
          <w:sz w:val="20"/>
          <w:szCs w:val="20"/>
        </w:rPr>
      </w:pPr>
    </w:p>
    <w:p w14:paraId="7AE8F6FC" w14:textId="413A52AD" w:rsidR="006873F6" w:rsidRPr="006873F6" w:rsidRDefault="006873F6" w:rsidP="006873F6">
      <w:pPr>
        <w:rPr>
          <w:rFonts w:ascii="Times New Roman" w:eastAsia="MS Mincho" w:hAnsi="Times New Roman"/>
          <w:bCs/>
          <w:sz w:val="20"/>
          <w:szCs w:val="20"/>
        </w:rPr>
      </w:pPr>
      <w:r w:rsidRPr="006873F6">
        <w:rPr>
          <w:rFonts w:ascii="Times New Roman" w:eastAsia="MS Mincho" w:hAnsi="Times New Roman"/>
          <w:bCs/>
          <w:sz w:val="20"/>
          <w:szCs w:val="20"/>
        </w:rPr>
        <w:t xml:space="preserve">[6.29.1.9 NMAC - Rp, 6.30.2.10 NMAC, </w:t>
      </w:r>
      <w:r w:rsidR="00965B91">
        <w:rPr>
          <w:rFonts w:ascii="Times New Roman" w:eastAsia="MS Mincho" w:hAnsi="Times New Roman"/>
          <w:bCs/>
          <w:sz w:val="20"/>
          <w:szCs w:val="20"/>
        </w:rPr>
        <w:t>6/30/2009</w:t>
      </w:r>
      <w:r w:rsidRPr="006873F6">
        <w:rPr>
          <w:rFonts w:ascii="Times New Roman" w:eastAsia="MS Mincho" w:hAnsi="Times New Roman"/>
          <w:bCs/>
          <w:sz w:val="20"/>
          <w:szCs w:val="20"/>
        </w:rPr>
        <w:t>; A, 02</w:t>
      </w:r>
      <w:r w:rsidR="001D503F">
        <w:rPr>
          <w:rFonts w:ascii="Times New Roman" w:eastAsia="MS Mincho" w:hAnsi="Times New Roman"/>
          <w:bCs/>
          <w:sz w:val="20"/>
          <w:szCs w:val="20"/>
        </w:rPr>
        <w:t>/</w:t>
      </w:r>
      <w:r w:rsidRPr="006873F6">
        <w:rPr>
          <w:rFonts w:ascii="Times New Roman" w:eastAsia="MS Mincho" w:hAnsi="Times New Roman"/>
          <w:bCs/>
          <w:sz w:val="20"/>
          <w:szCs w:val="20"/>
        </w:rPr>
        <w:t>12</w:t>
      </w:r>
      <w:r w:rsidR="001D503F">
        <w:rPr>
          <w:rFonts w:ascii="Times New Roman" w:eastAsia="MS Mincho" w:hAnsi="Times New Roman"/>
          <w:bCs/>
          <w:sz w:val="20"/>
          <w:szCs w:val="20"/>
        </w:rPr>
        <w:t>/</w:t>
      </w:r>
      <w:r w:rsidRPr="006873F6">
        <w:rPr>
          <w:rFonts w:ascii="Times New Roman" w:eastAsia="MS Mincho" w:hAnsi="Times New Roman"/>
          <w:bCs/>
          <w:sz w:val="20"/>
          <w:szCs w:val="20"/>
        </w:rPr>
        <w:t xml:space="preserve">2010; A, </w:t>
      </w:r>
      <w:r w:rsidR="0003720C">
        <w:rPr>
          <w:rFonts w:ascii="Times New Roman" w:eastAsia="MS Mincho" w:hAnsi="Times New Roman"/>
          <w:bCs/>
          <w:sz w:val="20"/>
          <w:szCs w:val="20"/>
        </w:rPr>
        <w:t>10/31/2011</w:t>
      </w:r>
      <w:r w:rsidRPr="006873F6">
        <w:rPr>
          <w:rFonts w:ascii="Times New Roman" w:eastAsia="MS Mincho" w:hAnsi="Times New Roman"/>
          <w:bCs/>
          <w:sz w:val="20"/>
          <w:szCs w:val="20"/>
        </w:rPr>
        <w:t xml:space="preserve">; A, </w:t>
      </w:r>
      <w:r w:rsidR="003B7B2D">
        <w:rPr>
          <w:rFonts w:ascii="Times New Roman" w:eastAsia="MS Mincho" w:hAnsi="Times New Roman"/>
          <w:bCs/>
          <w:sz w:val="20"/>
          <w:szCs w:val="20"/>
        </w:rPr>
        <w:t>2/28/2017</w:t>
      </w:r>
      <w:r w:rsidRPr="006873F6">
        <w:rPr>
          <w:rFonts w:ascii="Times New Roman" w:eastAsia="MS Mincho" w:hAnsi="Times New Roman"/>
          <w:bCs/>
          <w:sz w:val="20"/>
          <w:szCs w:val="20"/>
        </w:rPr>
        <w:t>; A, 07/25/2017</w:t>
      </w:r>
      <w:r w:rsidR="007C7FA6">
        <w:rPr>
          <w:rFonts w:ascii="Times New Roman" w:eastAsia="MS Mincho" w:hAnsi="Times New Roman"/>
          <w:bCs/>
          <w:sz w:val="20"/>
          <w:szCs w:val="20"/>
        </w:rPr>
        <w:t xml:space="preserve">; A, </w:t>
      </w:r>
      <w:r w:rsidR="00A76E16">
        <w:rPr>
          <w:rFonts w:ascii="Times New Roman" w:eastAsia="MS Mincho" w:hAnsi="Times New Roman"/>
          <w:bCs/>
          <w:sz w:val="20"/>
          <w:szCs w:val="20"/>
        </w:rPr>
        <w:t>12/15/2020</w:t>
      </w:r>
      <w:r w:rsidR="004850A2">
        <w:rPr>
          <w:rFonts w:ascii="Times New Roman" w:eastAsia="MS Mincho" w:hAnsi="Times New Roman"/>
          <w:bCs/>
          <w:sz w:val="20"/>
          <w:szCs w:val="20"/>
        </w:rPr>
        <w:t>; A, 12/14/2021</w:t>
      </w:r>
      <w:r w:rsidRPr="006873F6">
        <w:rPr>
          <w:rFonts w:ascii="Times New Roman" w:eastAsia="MS Mincho" w:hAnsi="Times New Roman"/>
          <w:bCs/>
          <w:sz w:val="20"/>
          <w:szCs w:val="20"/>
        </w:rPr>
        <w:t>]</w:t>
      </w:r>
    </w:p>
    <w:p w14:paraId="512EDC05" w14:textId="1737DC28" w:rsidR="00194F6A" w:rsidRPr="00954D10" w:rsidRDefault="00194F6A" w:rsidP="00194F6A">
      <w:pPr>
        <w:pStyle w:val="PlainText"/>
        <w:rPr>
          <w:rFonts w:ascii="Times New Roman" w:eastAsia="MS Mincho" w:hAnsi="Times New Roman"/>
          <w:sz w:val="20"/>
          <w:szCs w:val="20"/>
        </w:rPr>
      </w:pPr>
    </w:p>
    <w:sectPr w:rsidR="00194F6A" w:rsidRPr="00954D10" w:rsidSect="00536EB0">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D01B9" w14:textId="77777777" w:rsidR="008F0330" w:rsidRDefault="008F0330">
      <w:r>
        <w:separator/>
      </w:r>
    </w:p>
  </w:endnote>
  <w:endnote w:type="continuationSeparator" w:id="0">
    <w:p w14:paraId="2312689B" w14:textId="77777777" w:rsidR="008F0330" w:rsidRDefault="008F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pperplate">
    <w:altName w:val="Courier New"/>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1EB7" w14:textId="77777777" w:rsidR="00586BCF" w:rsidRDefault="00586BCF" w:rsidP="00536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82A86" w14:textId="77777777" w:rsidR="00586BCF" w:rsidRDefault="00586BCF" w:rsidP="00536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F5E2" w14:textId="1CFFEDC1" w:rsidR="00586BCF" w:rsidRPr="00F74540" w:rsidRDefault="00586BCF">
    <w:pPr>
      <w:pStyle w:val="Footer"/>
      <w:rPr>
        <w:rFonts w:ascii="Times New Roman" w:hAnsi="Times New Roman"/>
        <w:sz w:val="20"/>
        <w:szCs w:val="20"/>
      </w:rPr>
    </w:pPr>
    <w:r w:rsidRPr="00F74540">
      <w:rPr>
        <w:rFonts w:ascii="Times New Roman" w:hAnsi="Times New Roman"/>
        <w:sz w:val="20"/>
        <w:szCs w:val="20"/>
      </w:rPr>
      <w:t>6.29.1 NMAC</w:t>
    </w:r>
    <w:r w:rsidRPr="00F74540">
      <w:rPr>
        <w:rFonts w:ascii="Times New Roman" w:hAnsi="Times New Roman"/>
        <w:sz w:val="20"/>
        <w:szCs w:val="20"/>
      </w:rPr>
      <w:ptab w:relativeTo="margin" w:alignment="right" w:leader="none"/>
    </w:r>
    <w:sdt>
      <w:sdtPr>
        <w:rPr>
          <w:rFonts w:ascii="Times New Roman" w:hAnsi="Times New Roman"/>
          <w:sz w:val="20"/>
          <w:szCs w:val="20"/>
        </w:rPr>
        <w:id w:val="184873072"/>
        <w:docPartObj>
          <w:docPartGallery w:val="Page Numbers (Bottom of Page)"/>
          <w:docPartUnique/>
        </w:docPartObj>
      </w:sdtPr>
      <w:sdtEndPr>
        <w:rPr>
          <w:noProof/>
        </w:rPr>
      </w:sdtEndPr>
      <w:sdtContent>
        <w:r w:rsidRPr="00F74540">
          <w:rPr>
            <w:rFonts w:ascii="Times New Roman" w:hAnsi="Times New Roman"/>
            <w:sz w:val="20"/>
            <w:szCs w:val="20"/>
          </w:rPr>
          <w:fldChar w:fldCharType="begin"/>
        </w:r>
        <w:r w:rsidRPr="00F74540">
          <w:rPr>
            <w:rFonts w:ascii="Times New Roman" w:hAnsi="Times New Roman"/>
            <w:sz w:val="20"/>
            <w:szCs w:val="20"/>
          </w:rPr>
          <w:instrText xml:space="preserve"> PAGE   \* MERGEFORMAT </w:instrText>
        </w:r>
        <w:r w:rsidRPr="00F74540">
          <w:rPr>
            <w:rFonts w:ascii="Times New Roman" w:hAnsi="Times New Roman"/>
            <w:sz w:val="20"/>
            <w:szCs w:val="20"/>
          </w:rPr>
          <w:fldChar w:fldCharType="separate"/>
        </w:r>
        <w:r w:rsidR="008865A9">
          <w:rPr>
            <w:rFonts w:ascii="Times New Roman" w:hAnsi="Times New Roman"/>
            <w:noProof/>
            <w:sz w:val="20"/>
            <w:szCs w:val="20"/>
          </w:rPr>
          <w:t>1</w:t>
        </w:r>
        <w:r w:rsidRPr="00F74540">
          <w:rPr>
            <w:rFonts w:ascii="Times New Roman" w:hAnsi="Times New Roman"/>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241EC" w14:textId="77777777" w:rsidR="008F0330" w:rsidRDefault="008F0330">
      <w:r>
        <w:separator/>
      </w:r>
    </w:p>
  </w:footnote>
  <w:footnote w:type="continuationSeparator" w:id="0">
    <w:p w14:paraId="1CBE2D19" w14:textId="77777777" w:rsidR="008F0330" w:rsidRDefault="008F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7F19" w14:textId="19994649" w:rsidR="005A186B" w:rsidRDefault="008F0330">
    <w:pPr>
      <w:pStyle w:val="Header"/>
    </w:pPr>
    <w:r>
      <w:rPr>
        <w:noProof/>
      </w:rPr>
      <w:pict w14:anchorId="346EC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29016" o:spid="_x0000_s205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Copperplat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B5A1" w14:textId="54ECA097" w:rsidR="005A186B" w:rsidRPr="004850A2" w:rsidRDefault="008F0330" w:rsidP="004850A2">
    <w:pPr>
      <w:rPr>
        <w:rFonts w:ascii="Times New Roman" w:hAnsi="Times New Roman"/>
        <w:b/>
        <w:sz w:val="20"/>
        <w:szCs w:val="20"/>
      </w:rPr>
    </w:pPr>
    <w:r>
      <w:rPr>
        <w:noProof/>
      </w:rPr>
      <w:pict w14:anchorId="0FDAB8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29017" o:spid="_x0000_s2054"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Copperplat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280A1" w14:textId="4D99836E" w:rsidR="005A186B" w:rsidRDefault="008F0330">
    <w:pPr>
      <w:pStyle w:val="Header"/>
    </w:pPr>
    <w:r>
      <w:rPr>
        <w:noProof/>
      </w:rPr>
      <w:pict w14:anchorId="25B5E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29015" o:spid="_x0000_s2052"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Copperplate&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F"/>
    <w:rsid w:val="00014ECD"/>
    <w:rsid w:val="000343F1"/>
    <w:rsid w:val="0003720C"/>
    <w:rsid w:val="000416A8"/>
    <w:rsid w:val="00045212"/>
    <w:rsid w:val="00047C57"/>
    <w:rsid w:val="000663F8"/>
    <w:rsid w:val="00075AF9"/>
    <w:rsid w:val="000771B1"/>
    <w:rsid w:val="00081969"/>
    <w:rsid w:val="00097B13"/>
    <w:rsid w:val="000A0295"/>
    <w:rsid w:val="000B1697"/>
    <w:rsid w:val="000C21F4"/>
    <w:rsid w:val="000C3F8C"/>
    <w:rsid w:val="000D37D9"/>
    <w:rsid w:val="000D547F"/>
    <w:rsid w:val="000E2CA2"/>
    <w:rsid w:val="00126212"/>
    <w:rsid w:val="0012757C"/>
    <w:rsid w:val="001568CB"/>
    <w:rsid w:val="00166637"/>
    <w:rsid w:val="001806DF"/>
    <w:rsid w:val="00194F6A"/>
    <w:rsid w:val="001B1DEA"/>
    <w:rsid w:val="001C7DF1"/>
    <w:rsid w:val="001D1E9A"/>
    <w:rsid w:val="001D503F"/>
    <w:rsid w:val="00212605"/>
    <w:rsid w:val="00215E67"/>
    <w:rsid w:val="00226D4B"/>
    <w:rsid w:val="00246819"/>
    <w:rsid w:val="002474DA"/>
    <w:rsid w:val="00260BB1"/>
    <w:rsid w:val="00274BF4"/>
    <w:rsid w:val="0027543D"/>
    <w:rsid w:val="00281456"/>
    <w:rsid w:val="002B4ED4"/>
    <w:rsid w:val="002C1F6B"/>
    <w:rsid w:val="002D7581"/>
    <w:rsid w:val="00306C91"/>
    <w:rsid w:val="00314C2E"/>
    <w:rsid w:val="00314EEC"/>
    <w:rsid w:val="00315953"/>
    <w:rsid w:val="003231B8"/>
    <w:rsid w:val="00325494"/>
    <w:rsid w:val="00325DB1"/>
    <w:rsid w:val="00327C3D"/>
    <w:rsid w:val="003304D9"/>
    <w:rsid w:val="003323F1"/>
    <w:rsid w:val="00343F3E"/>
    <w:rsid w:val="003469D7"/>
    <w:rsid w:val="00346AA4"/>
    <w:rsid w:val="00351BD9"/>
    <w:rsid w:val="00356153"/>
    <w:rsid w:val="00366B19"/>
    <w:rsid w:val="00391539"/>
    <w:rsid w:val="00391EF4"/>
    <w:rsid w:val="00394DAC"/>
    <w:rsid w:val="003A4916"/>
    <w:rsid w:val="003B15DB"/>
    <w:rsid w:val="003B7B2D"/>
    <w:rsid w:val="003C19E9"/>
    <w:rsid w:val="003C4F07"/>
    <w:rsid w:val="003E23C1"/>
    <w:rsid w:val="003E4873"/>
    <w:rsid w:val="003F7353"/>
    <w:rsid w:val="00413BB9"/>
    <w:rsid w:val="00415BE3"/>
    <w:rsid w:val="0043329D"/>
    <w:rsid w:val="00433FF9"/>
    <w:rsid w:val="004375A3"/>
    <w:rsid w:val="00441A10"/>
    <w:rsid w:val="00444889"/>
    <w:rsid w:val="00450CEF"/>
    <w:rsid w:val="00462238"/>
    <w:rsid w:val="00476A9F"/>
    <w:rsid w:val="004850A2"/>
    <w:rsid w:val="004B4A8D"/>
    <w:rsid w:val="004C184C"/>
    <w:rsid w:val="004C7AD6"/>
    <w:rsid w:val="004D27D7"/>
    <w:rsid w:val="004D2E20"/>
    <w:rsid w:val="004D45BB"/>
    <w:rsid w:val="004D6A28"/>
    <w:rsid w:val="004D782E"/>
    <w:rsid w:val="004E39EB"/>
    <w:rsid w:val="004E4C2E"/>
    <w:rsid w:val="004F70ED"/>
    <w:rsid w:val="0050554D"/>
    <w:rsid w:val="00512E7E"/>
    <w:rsid w:val="00515323"/>
    <w:rsid w:val="0053193B"/>
    <w:rsid w:val="005367F7"/>
    <w:rsid w:val="00536EB0"/>
    <w:rsid w:val="00537AB2"/>
    <w:rsid w:val="005531F4"/>
    <w:rsid w:val="00553BB8"/>
    <w:rsid w:val="00554CAE"/>
    <w:rsid w:val="00557A07"/>
    <w:rsid w:val="005712FD"/>
    <w:rsid w:val="00586BCF"/>
    <w:rsid w:val="005A186B"/>
    <w:rsid w:val="005B569C"/>
    <w:rsid w:val="005D17CC"/>
    <w:rsid w:val="005D7560"/>
    <w:rsid w:val="005F3C10"/>
    <w:rsid w:val="00601CF1"/>
    <w:rsid w:val="006049F8"/>
    <w:rsid w:val="00607518"/>
    <w:rsid w:val="00616839"/>
    <w:rsid w:val="00621D5B"/>
    <w:rsid w:val="0063208F"/>
    <w:rsid w:val="006423E1"/>
    <w:rsid w:val="00654B39"/>
    <w:rsid w:val="00656A1F"/>
    <w:rsid w:val="006607DC"/>
    <w:rsid w:val="00661E15"/>
    <w:rsid w:val="0067144F"/>
    <w:rsid w:val="006743AC"/>
    <w:rsid w:val="00677E17"/>
    <w:rsid w:val="006873F6"/>
    <w:rsid w:val="00687A52"/>
    <w:rsid w:val="006B1A0D"/>
    <w:rsid w:val="006D44D0"/>
    <w:rsid w:val="006F7154"/>
    <w:rsid w:val="007017BC"/>
    <w:rsid w:val="00705899"/>
    <w:rsid w:val="00706FFE"/>
    <w:rsid w:val="007160EF"/>
    <w:rsid w:val="0073005D"/>
    <w:rsid w:val="00742967"/>
    <w:rsid w:val="00755773"/>
    <w:rsid w:val="00760F16"/>
    <w:rsid w:val="00762173"/>
    <w:rsid w:val="00767558"/>
    <w:rsid w:val="0076765C"/>
    <w:rsid w:val="0077164A"/>
    <w:rsid w:val="00797959"/>
    <w:rsid w:val="007A2CD8"/>
    <w:rsid w:val="007B4077"/>
    <w:rsid w:val="007C5250"/>
    <w:rsid w:val="007C6177"/>
    <w:rsid w:val="007C7FA6"/>
    <w:rsid w:val="007E4F2B"/>
    <w:rsid w:val="00817615"/>
    <w:rsid w:val="00817659"/>
    <w:rsid w:val="00825BFD"/>
    <w:rsid w:val="008305BD"/>
    <w:rsid w:val="008364D4"/>
    <w:rsid w:val="008509DA"/>
    <w:rsid w:val="00850F0E"/>
    <w:rsid w:val="00866F09"/>
    <w:rsid w:val="00874068"/>
    <w:rsid w:val="00875BAA"/>
    <w:rsid w:val="00876A4A"/>
    <w:rsid w:val="00885152"/>
    <w:rsid w:val="008865A9"/>
    <w:rsid w:val="008A397C"/>
    <w:rsid w:val="008B3223"/>
    <w:rsid w:val="008C5619"/>
    <w:rsid w:val="008C6D53"/>
    <w:rsid w:val="008D042C"/>
    <w:rsid w:val="008F0330"/>
    <w:rsid w:val="008F6A48"/>
    <w:rsid w:val="00903E5E"/>
    <w:rsid w:val="00904298"/>
    <w:rsid w:val="0092078C"/>
    <w:rsid w:val="0092687C"/>
    <w:rsid w:val="00927D59"/>
    <w:rsid w:val="00945272"/>
    <w:rsid w:val="00954D10"/>
    <w:rsid w:val="00963F96"/>
    <w:rsid w:val="00965B91"/>
    <w:rsid w:val="0097075A"/>
    <w:rsid w:val="00971C24"/>
    <w:rsid w:val="00973691"/>
    <w:rsid w:val="009B64CB"/>
    <w:rsid w:val="009D38E8"/>
    <w:rsid w:val="009D5474"/>
    <w:rsid w:val="00A0260A"/>
    <w:rsid w:val="00A10827"/>
    <w:rsid w:val="00A13AE0"/>
    <w:rsid w:val="00A25A30"/>
    <w:rsid w:val="00A304EE"/>
    <w:rsid w:val="00A413AB"/>
    <w:rsid w:val="00A471E6"/>
    <w:rsid w:val="00A616CC"/>
    <w:rsid w:val="00A76E16"/>
    <w:rsid w:val="00A805ED"/>
    <w:rsid w:val="00A86B98"/>
    <w:rsid w:val="00A86E5C"/>
    <w:rsid w:val="00AB132C"/>
    <w:rsid w:val="00AB7147"/>
    <w:rsid w:val="00AB7B2C"/>
    <w:rsid w:val="00AE1EC4"/>
    <w:rsid w:val="00AE375D"/>
    <w:rsid w:val="00B048DB"/>
    <w:rsid w:val="00B14CFC"/>
    <w:rsid w:val="00B25F0E"/>
    <w:rsid w:val="00B44E80"/>
    <w:rsid w:val="00B50B16"/>
    <w:rsid w:val="00B54C2D"/>
    <w:rsid w:val="00B656E3"/>
    <w:rsid w:val="00B81F31"/>
    <w:rsid w:val="00B837DC"/>
    <w:rsid w:val="00B85FA0"/>
    <w:rsid w:val="00BA20DD"/>
    <w:rsid w:val="00BB182C"/>
    <w:rsid w:val="00BB4EB9"/>
    <w:rsid w:val="00BC324B"/>
    <w:rsid w:val="00BC3EB2"/>
    <w:rsid w:val="00BD00DD"/>
    <w:rsid w:val="00BD4973"/>
    <w:rsid w:val="00BD7CDA"/>
    <w:rsid w:val="00BE261E"/>
    <w:rsid w:val="00BF2158"/>
    <w:rsid w:val="00BF47EE"/>
    <w:rsid w:val="00C01EA3"/>
    <w:rsid w:val="00C214B8"/>
    <w:rsid w:val="00C25D19"/>
    <w:rsid w:val="00C25E9A"/>
    <w:rsid w:val="00C42871"/>
    <w:rsid w:val="00C43D81"/>
    <w:rsid w:val="00C5799D"/>
    <w:rsid w:val="00C67188"/>
    <w:rsid w:val="00C74EBC"/>
    <w:rsid w:val="00C76076"/>
    <w:rsid w:val="00C8500D"/>
    <w:rsid w:val="00C87CA6"/>
    <w:rsid w:val="00C94DC6"/>
    <w:rsid w:val="00CA3EBE"/>
    <w:rsid w:val="00CA4772"/>
    <w:rsid w:val="00CA6402"/>
    <w:rsid w:val="00CB1B37"/>
    <w:rsid w:val="00CB4D09"/>
    <w:rsid w:val="00CD7F65"/>
    <w:rsid w:val="00D04CB7"/>
    <w:rsid w:val="00D26CD3"/>
    <w:rsid w:val="00D328E4"/>
    <w:rsid w:val="00D46224"/>
    <w:rsid w:val="00D51020"/>
    <w:rsid w:val="00D63F38"/>
    <w:rsid w:val="00D666F2"/>
    <w:rsid w:val="00D7128B"/>
    <w:rsid w:val="00D775AA"/>
    <w:rsid w:val="00D87859"/>
    <w:rsid w:val="00D90F89"/>
    <w:rsid w:val="00D91C42"/>
    <w:rsid w:val="00D9750A"/>
    <w:rsid w:val="00DB050B"/>
    <w:rsid w:val="00DB328B"/>
    <w:rsid w:val="00DC41C2"/>
    <w:rsid w:val="00DD2ADE"/>
    <w:rsid w:val="00DE7B09"/>
    <w:rsid w:val="00DF645F"/>
    <w:rsid w:val="00DF6921"/>
    <w:rsid w:val="00E01503"/>
    <w:rsid w:val="00E10FD7"/>
    <w:rsid w:val="00E17A5B"/>
    <w:rsid w:val="00E24122"/>
    <w:rsid w:val="00E506E7"/>
    <w:rsid w:val="00E550E0"/>
    <w:rsid w:val="00E711FC"/>
    <w:rsid w:val="00E76E4B"/>
    <w:rsid w:val="00E7758F"/>
    <w:rsid w:val="00E92547"/>
    <w:rsid w:val="00E95E1A"/>
    <w:rsid w:val="00EA7518"/>
    <w:rsid w:val="00EB7DAD"/>
    <w:rsid w:val="00EC5F2A"/>
    <w:rsid w:val="00EF170F"/>
    <w:rsid w:val="00EF1978"/>
    <w:rsid w:val="00F0211F"/>
    <w:rsid w:val="00F06D13"/>
    <w:rsid w:val="00F11121"/>
    <w:rsid w:val="00F1775B"/>
    <w:rsid w:val="00F2446B"/>
    <w:rsid w:val="00F352F4"/>
    <w:rsid w:val="00F5195F"/>
    <w:rsid w:val="00F53C34"/>
    <w:rsid w:val="00F62236"/>
    <w:rsid w:val="00F638DC"/>
    <w:rsid w:val="00F7249B"/>
    <w:rsid w:val="00F74441"/>
    <w:rsid w:val="00F74540"/>
    <w:rsid w:val="00F846F4"/>
    <w:rsid w:val="00FA27E9"/>
    <w:rsid w:val="00FA350C"/>
    <w:rsid w:val="00FB2DEA"/>
    <w:rsid w:val="00FC4485"/>
    <w:rsid w:val="00FE0500"/>
    <w:rsid w:val="00FE3933"/>
    <w:rsid w:val="00FF225F"/>
    <w:rsid w:val="00FF3E2D"/>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4C314548"/>
  <w15:docId w15:val="{EEF5EAE1-3C73-4CDA-B762-C83A1745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pperplate" w:hAnsi="Copperplate"/>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B24109"/>
    <w:rPr>
      <w:rFonts w:ascii="Courier" w:hAnsi="Courier"/>
      <w:sz w:val="24"/>
    </w:rPr>
  </w:style>
  <w:style w:type="paragraph" w:styleId="Footer">
    <w:name w:val="footer"/>
    <w:basedOn w:val="Normal"/>
    <w:link w:val="FooterChar"/>
    <w:uiPriority w:val="99"/>
    <w:rsid w:val="00BF7533"/>
    <w:pPr>
      <w:tabs>
        <w:tab w:val="center" w:pos="4320"/>
        <w:tab w:val="right" w:pos="8640"/>
      </w:tabs>
    </w:pPr>
  </w:style>
  <w:style w:type="character" w:styleId="PageNumber">
    <w:name w:val="page number"/>
    <w:rsid w:val="004465D4"/>
    <w:rPr>
      <w:rFonts w:ascii="Times New Roman" w:hAnsi="Times New Roman"/>
      <w:sz w:val="20"/>
    </w:rPr>
  </w:style>
  <w:style w:type="paragraph" w:styleId="Header">
    <w:name w:val="header"/>
    <w:basedOn w:val="Normal"/>
    <w:link w:val="HeaderChar"/>
    <w:uiPriority w:val="99"/>
    <w:rsid w:val="00DE7480"/>
    <w:pPr>
      <w:tabs>
        <w:tab w:val="center" w:pos="4320"/>
        <w:tab w:val="right" w:pos="8640"/>
      </w:tabs>
    </w:pPr>
  </w:style>
  <w:style w:type="paragraph" w:customStyle="1" w:styleId="StylePlainTextTimesNewRoman10ptBold">
    <w:name w:val="Style Plain Text + Times New Roman 10 pt Bold"/>
    <w:basedOn w:val="Normal"/>
    <w:next w:val="Normal"/>
    <w:link w:val="StylePlainTextTimesNewRoman10ptBoldChar"/>
    <w:rsid w:val="00045212"/>
    <w:rPr>
      <w:rFonts w:ascii="Times New Roman" w:hAnsi="Times New Roman"/>
      <w:b/>
      <w:bCs/>
      <w:sz w:val="20"/>
    </w:rPr>
  </w:style>
  <w:style w:type="character" w:customStyle="1" w:styleId="StylePlainTextTimesNewRoman10ptBoldChar">
    <w:name w:val="Style Plain Text + Times New Roman 10 pt Bold Char"/>
    <w:link w:val="StylePlainTextTimesNewRoman10ptBold"/>
    <w:rsid w:val="00045212"/>
    <w:rPr>
      <w:b/>
      <w:bCs/>
      <w:szCs w:val="24"/>
      <w:lang w:val="en-US" w:eastAsia="en-US" w:bidi="ar-SA"/>
    </w:rPr>
  </w:style>
  <w:style w:type="character" w:customStyle="1" w:styleId="PlainTextChar">
    <w:name w:val="Plain Text Char"/>
    <w:link w:val="PlainText"/>
    <w:uiPriority w:val="99"/>
    <w:rsid w:val="00C67188"/>
    <w:rPr>
      <w:rFonts w:ascii="Courier" w:hAnsi="Courier"/>
      <w:sz w:val="24"/>
      <w:szCs w:val="24"/>
    </w:rPr>
  </w:style>
  <w:style w:type="character" w:styleId="CommentReference">
    <w:name w:val="annotation reference"/>
    <w:uiPriority w:val="99"/>
    <w:unhideWhenUsed/>
    <w:rsid w:val="00444889"/>
    <w:rPr>
      <w:sz w:val="16"/>
      <w:szCs w:val="16"/>
    </w:rPr>
  </w:style>
  <w:style w:type="character" w:customStyle="1" w:styleId="FooterChar">
    <w:name w:val="Footer Char"/>
    <w:basedOn w:val="DefaultParagraphFont"/>
    <w:link w:val="Footer"/>
    <w:uiPriority w:val="99"/>
    <w:rsid w:val="00441A10"/>
    <w:rPr>
      <w:rFonts w:ascii="Copperplate" w:hAnsi="Copperplate"/>
      <w:sz w:val="22"/>
      <w:szCs w:val="24"/>
    </w:rPr>
  </w:style>
  <w:style w:type="paragraph" w:styleId="BalloonText">
    <w:name w:val="Balloon Text"/>
    <w:basedOn w:val="Normal"/>
    <w:link w:val="BalloonTextChar"/>
    <w:rsid w:val="00441A10"/>
    <w:rPr>
      <w:rFonts w:ascii="Tahoma" w:hAnsi="Tahoma" w:cs="Tahoma"/>
      <w:sz w:val="16"/>
      <w:szCs w:val="16"/>
    </w:rPr>
  </w:style>
  <w:style w:type="character" w:customStyle="1" w:styleId="BalloonTextChar">
    <w:name w:val="Balloon Text Char"/>
    <w:basedOn w:val="DefaultParagraphFont"/>
    <w:link w:val="BalloonText"/>
    <w:rsid w:val="00441A10"/>
    <w:rPr>
      <w:rFonts w:ascii="Tahoma" w:hAnsi="Tahoma" w:cs="Tahoma"/>
      <w:sz w:val="16"/>
      <w:szCs w:val="16"/>
    </w:rPr>
  </w:style>
  <w:style w:type="character" w:customStyle="1" w:styleId="HeaderChar">
    <w:name w:val="Header Char"/>
    <w:basedOn w:val="DefaultParagraphFont"/>
    <w:link w:val="Header"/>
    <w:uiPriority w:val="99"/>
    <w:rsid w:val="006743AC"/>
    <w:rPr>
      <w:rFonts w:ascii="Copperplate" w:hAnsi="Copperplate"/>
      <w:sz w:val="22"/>
      <w:szCs w:val="24"/>
    </w:rPr>
  </w:style>
  <w:style w:type="paragraph" w:styleId="CommentText">
    <w:name w:val="annotation text"/>
    <w:basedOn w:val="Normal"/>
    <w:link w:val="CommentTextChar"/>
    <w:rsid w:val="002B4ED4"/>
    <w:rPr>
      <w:sz w:val="20"/>
      <w:szCs w:val="20"/>
    </w:rPr>
  </w:style>
  <w:style w:type="character" w:customStyle="1" w:styleId="CommentTextChar">
    <w:name w:val="Comment Text Char"/>
    <w:basedOn w:val="DefaultParagraphFont"/>
    <w:link w:val="CommentText"/>
    <w:rsid w:val="002B4ED4"/>
    <w:rPr>
      <w:rFonts w:ascii="Copperplate" w:hAnsi="Copperplate"/>
    </w:rPr>
  </w:style>
  <w:style w:type="paragraph" w:styleId="CommentSubject">
    <w:name w:val="annotation subject"/>
    <w:basedOn w:val="CommentText"/>
    <w:next w:val="CommentText"/>
    <w:link w:val="CommentSubjectChar"/>
    <w:rsid w:val="002B4ED4"/>
    <w:rPr>
      <w:b/>
      <w:bCs/>
    </w:rPr>
  </w:style>
  <w:style w:type="character" w:customStyle="1" w:styleId="CommentSubjectChar">
    <w:name w:val="Comment Subject Char"/>
    <w:basedOn w:val="CommentTextChar"/>
    <w:link w:val="CommentSubject"/>
    <w:rsid w:val="002B4ED4"/>
    <w:rPr>
      <w:rFonts w:ascii="Copperplate" w:hAnsi="Copperplate"/>
      <w:b/>
      <w:bCs/>
    </w:rPr>
  </w:style>
  <w:style w:type="character" w:styleId="Hyperlink">
    <w:name w:val="Hyperlink"/>
    <w:basedOn w:val="DefaultParagraphFont"/>
    <w:unhideWhenUsed/>
    <w:rsid w:val="00DF6921"/>
    <w:rPr>
      <w:color w:val="0000FF" w:themeColor="hyperlink"/>
      <w:u w:val="single"/>
    </w:rPr>
  </w:style>
  <w:style w:type="character" w:styleId="FollowedHyperlink">
    <w:name w:val="FollowedHyperlink"/>
    <w:basedOn w:val="DefaultParagraphFont"/>
    <w:semiHidden/>
    <w:unhideWhenUsed/>
    <w:rsid w:val="006D44D0"/>
    <w:rPr>
      <w:color w:val="800080" w:themeColor="followedHyperlink"/>
      <w:u w:val="single"/>
    </w:rPr>
  </w:style>
  <w:style w:type="character" w:customStyle="1" w:styleId="statutes">
    <w:name w:val="statutes"/>
    <w:basedOn w:val="DefaultParagraphFont"/>
    <w:rsid w:val="00B54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8991">
      <w:bodyDiv w:val="1"/>
      <w:marLeft w:val="0"/>
      <w:marRight w:val="0"/>
      <w:marTop w:val="0"/>
      <w:marBottom w:val="0"/>
      <w:divBdr>
        <w:top w:val="none" w:sz="0" w:space="0" w:color="auto"/>
        <w:left w:val="none" w:sz="0" w:space="0" w:color="auto"/>
        <w:bottom w:val="none" w:sz="0" w:space="0" w:color="auto"/>
        <w:right w:val="none" w:sz="0" w:space="0" w:color="auto"/>
      </w:divBdr>
    </w:div>
    <w:div w:id="202136318">
      <w:bodyDiv w:val="1"/>
      <w:marLeft w:val="0"/>
      <w:marRight w:val="0"/>
      <w:marTop w:val="0"/>
      <w:marBottom w:val="0"/>
      <w:divBdr>
        <w:top w:val="none" w:sz="0" w:space="0" w:color="auto"/>
        <w:left w:val="none" w:sz="0" w:space="0" w:color="auto"/>
        <w:bottom w:val="none" w:sz="0" w:space="0" w:color="auto"/>
        <w:right w:val="none" w:sz="0" w:space="0" w:color="auto"/>
      </w:divBdr>
    </w:div>
    <w:div w:id="963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5386C-8802-4252-9792-40B8E1E1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6.29.1 NMAC</vt:lpstr>
    </vt:vector>
  </TitlesOfParts>
  <Company>SRCA</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6.29.1 NMAC</dc:title>
  <dc:creator>Dennis Branch</dc:creator>
  <cp:lastModifiedBy>Heidi MacDonald</cp:lastModifiedBy>
  <cp:revision>2</cp:revision>
  <cp:lastPrinted>2017-02-13T15:30:00Z</cp:lastPrinted>
  <dcterms:created xsi:type="dcterms:W3CDTF">2021-09-24T22:19:00Z</dcterms:created>
  <dcterms:modified xsi:type="dcterms:W3CDTF">2021-09-24T22:19:00Z</dcterms:modified>
</cp:coreProperties>
</file>