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B59E" w14:textId="77777777" w:rsidR="000E207C" w:rsidRPr="00C33CDC" w:rsidRDefault="000E207C" w:rsidP="000E207C">
      <w:pPr>
        <w:pStyle w:val="Heading1"/>
      </w:pPr>
      <w:bookmarkStart w:id="0" w:name="_Toc97723285"/>
      <w:r w:rsidRPr="00C33CDC">
        <w:t>ADVISEMENT EQUITY ALIGNMENT AND VIABILITY CHECKLIST</w:t>
      </w:r>
      <w:bookmarkEnd w:id="0"/>
    </w:p>
    <w:p w14:paraId="15F868D6" w14:textId="77777777" w:rsidR="000E207C" w:rsidRPr="0004360C" w:rsidRDefault="000E207C" w:rsidP="000E207C">
      <w:r w:rsidRPr="0004360C">
        <w:t>Use this list to ensure alignment with the department’s mission / vision statements and to increase the feasibility and success of the advisement. </w:t>
      </w:r>
    </w:p>
    <w:p w14:paraId="75DA85B9" w14:textId="77777777" w:rsidR="000E207C" w:rsidRPr="0004360C" w:rsidRDefault="000E207C" w:rsidP="000E207C">
      <w:r w:rsidRPr="0004360C">
        <w:t>If there is a barrier or obstacle, specifically address it in your advisement package.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5065"/>
        <w:gridCol w:w="1620"/>
        <w:gridCol w:w="6835"/>
      </w:tblGrid>
      <w:tr w:rsidR="000E207C" w:rsidRPr="0004360C" w14:paraId="3826F202" w14:textId="77777777" w:rsidTr="00244EAE">
        <w:trPr>
          <w:trHeight w:val="573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48FBF2" w14:textId="77777777" w:rsidR="000E207C" w:rsidRPr="0004360C" w:rsidRDefault="000E207C" w:rsidP="00244EAE"/>
          <w:p w14:paraId="19F668EE" w14:textId="77777777" w:rsidR="000E207C" w:rsidRPr="0004360C" w:rsidRDefault="000E207C" w:rsidP="00244EAE">
            <w:r w:rsidRPr="0004360C">
              <w:fldChar w:fldCharType="begin"/>
            </w:r>
            <w:r w:rsidRPr="0004360C">
              <w:instrText xml:space="preserve"> INCLUDEPICTURE "https://lh5.googleusercontent.com/iio_x1BP70xelx4XZKOY2aD5lmmE_xeJpypZaW9DhDfkREm6J1qMW1rTnlBXqan3jPOuJyOp8oNY07JnYaQUSX9YJ4x_8eHkyEYrx8q7lnHfjRqXDXHCJLXNscpBZDnSres_I5g=s0" \* MERGEFORMATINET </w:instrText>
            </w:r>
            <w:r w:rsidRPr="0004360C">
              <w:fldChar w:fldCharType="separate"/>
            </w:r>
            <w:r w:rsidRPr="0004360C">
              <w:rPr>
                <w:noProof/>
              </w:rPr>
              <w:drawing>
                <wp:inline distT="0" distB="0" distL="0" distR="0" wp14:anchorId="0E9ADD90" wp14:editId="66328ADE">
                  <wp:extent cx="405765" cy="405765"/>
                  <wp:effectExtent l="0" t="0" r="635" b="635"/>
                  <wp:docPr id="3" name="Picture 3" descr="Shape,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, arrow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60C">
              <w:fldChar w:fldCharType="end"/>
            </w:r>
          </w:p>
        </w:tc>
        <w:tc>
          <w:tcPr>
            <w:tcW w:w="5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242929" w14:textId="77777777" w:rsidR="000E207C" w:rsidRPr="0004360C" w:rsidRDefault="000E207C" w:rsidP="00244EAE">
            <w:r w:rsidRPr="0004360C">
              <w:t>EQUITY ALIGNMENT CHECKLIST</w:t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4BD44D" w14:textId="77777777" w:rsidR="000E207C" w:rsidRPr="0004360C" w:rsidRDefault="000E207C" w:rsidP="00244EAE">
            <w:r w:rsidRPr="0004360C">
              <w:t>YES       NO</w:t>
            </w:r>
          </w:p>
        </w:tc>
        <w:tc>
          <w:tcPr>
            <w:tcW w:w="6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1C4F9C" w14:textId="77777777" w:rsidR="000E207C" w:rsidRPr="0004360C" w:rsidRDefault="000E207C" w:rsidP="00244EAE">
            <w:r w:rsidRPr="0004360C">
              <w:t>VIABILITY QUESTIONS</w:t>
            </w:r>
          </w:p>
        </w:tc>
      </w:tr>
      <w:tr w:rsidR="000E207C" w:rsidRPr="0004360C" w14:paraId="2074910A" w14:textId="77777777" w:rsidTr="00244EAE">
        <w:trPr>
          <w:trHeight w:val="674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1F0494" w14:textId="77777777" w:rsidR="000E207C" w:rsidRPr="0004360C" w:rsidRDefault="000E207C" w:rsidP="00244EAE"/>
        </w:tc>
        <w:tc>
          <w:tcPr>
            <w:tcW w:w="5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FF710A" w14:textId="77777777" w:rsidR="000E207C" w:rsidRPr="0004360C" w:rsidRDefault="000E207C" w:rsidP="00244EAE">
            <w:r w:rsidRPr="0004360C">
              <w:t>This advisement aligns with the department and division mission and vision statements</w:t>
            </w:r>
            <w:r>
              <w:t>, strategic plan, and Martinez and Yazzie Action Plan</w:t>
            </w:r>
            <w:r w:rsidRPr="0004360C">
              <w:t>.</w:t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A06D36" w14:textId="77777777" w:rsidR="000E207C" w:rsidRPr="0004360C" w:rsidRDefault="000E207C" w:rsidP="00244EAE"/>
        </w:tc>
        <w:tc>
          <w:tcPr>
            <w:tcW w:w="6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8AB5FD" w14:textId="77777777" w:rsidR="000E207C" w:rsidRPr="0004360C" w:rsidRDefault="000E207C" w:rsidP="00244EAE">
            <w:r w:rsidRPr="0004360C">
              <w:t>Does this advisement require policy or statutory additions/changes? If yes, ensure that your presentation includes ideas for the new policy or change.</w:t>
            </w:r>
          </w:p>
        </w:tc>
      </w:tr>
      <w:tr w:rsidR="000E207C" w:rsidRPr="0004360C" w14:paraId="5D5B8EC7" w14:textId="77777777" w:rsidTr="00244EAE">
        <w:trPr>
          <w:trHeight w:val="1016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ECF64A" w14:textId="77777777" w:rsidR="000E207C" w:rsidRPr="0004360C" w:rsidRDefault="000E207C" w:rsidP="00244EAE"/>
        </w:tc>
        <w:tc>
          <w:tcPr>
            <w:tcW w:w="5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B13D90" w14:textId="77777777" w:rsidR="000E207C" w:rsidRPr="0004360C" w:rsidRDefault="000E207C" w:rsidP="00244EAE">
            <w:r w:rsidRPr="0004360C">
              <w:t xml:space="preserve">This advisement is aligned to the needs of </w:t>
            </w:r>
            <w:r>
              <w:t>Hispanic</w:t>
            </w:r>
            <w:r w:rsidRPr="0004360C">
              <w:t xml:space="preserve"> students and families.</w:t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939E7E" w14:textId="77777777" w:rsidR="000E207C" w:rsidRPr="0004360C" w:rsidRDefault="000E207C" w:rsidP="00244EAE"/>
        </w:tc>
        <w:tc>
          <w:tcPr>
            <w:tcW w:w="6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34382B" w14:textId="77777777" w:rsidR="000E207C" w:rsidRPr="0004360C" w:rsidRDefault="000E207C" w:rsidP="00244EAE">
            <w:r w:rsidRPr="0004360C">
              <w:t>Is this advisement within the purview of the NMPED? If no, revise or table.</w:t>
            </w:r>
          </w:p>
        </w:tc>
      </w:tr>
      <w:tr w:rsidR="000E207C" w:rsidRPr="0004360C" w14:paraId="1930CF26" w14:textId="77777777" w:rsidTr="00244EAE">
        <w:trPr>
          <w:trHeight w:val="573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815B3C" w14:textId="77777777" w:rsidR="000E207C" w:rsidRPr="0004360C" w:rsidRDefault="000E207C" w:rsidP="00244EAE"/>
        </w:tc>
        <w:tc>
          <w:tcPr>
            <w:tcW w:w="5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95D8B3" w14:textId="77777777" w:rsidR="000E207C" w:rsidRPr="0004360C" w:rsidRDefault="000E207C" w:rsidP="00244EAE">
            <w:r w:rsidRPr="0004360C">
              <w:t xml:space="preserve">This advisement is aligned to available local, state, and </w:t>
            </w:r>
            <w:r>
              <w:t>federal</w:t>
            </w:r>
            <w:r w:rsidRPr="0004360C">
              <w:t xml:space="preserve"> data.</w:t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A724F0" w14:textId="77777777" w:rsidR="000E207C" w:rsidRPr="0004360C" w:rsidRDefault="000E207C" w:rsidP="00244EAE"/>
        </w:tc>
        <w:tc>
          <w:tcPr>
            <w:tcW w:w="6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410A31" w14:textId="77777777" w:rsidR="000E207C" w:rsidRPr="0004360C" w:rsidRDefault="000E207C" w:rsidP="00244EAE">
            <w:r w:rsidRPr="0004360C">
              <w:t>Does this advisement require a change to the</w:t>
            </w:r>
            <w:r>
              <w:t xml:space="preserve"> </w:t>
            </w:r>
            <w:r w:rsidRPr="0004360C">
              <w:t>strategic plan</w:t>
            </w:r>
            <w:r>
              <w:t xml:space="preserve"> or Martinez and Yazzie Action Plan</w:t>
            </w:r>
            <w:r w:rsidRPr="0004360C">
              <w:t>? If yes, be prepared to support it with research and details of the process and suggestions for the change to the strategic plan(s).</w:t>
            </w:r>
          </w:p>
        </w:tc>
      </w:tr>
      <w:tr w:rsidR="000E207C" w:rsidRPr="0004360C" w14:paraId="12375189" w14:textId="77777777" w:rsidTr="00244EAE">
        <w:trPr>
          <w:trHeight w:val="573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879404" w14:textId="77777777" w:rsidR="000E207C" w:rsidRPr="0004360C" w:rsidRDefault="000E207C" w:rsidP="00244EAE"/>
        </w:tc>
        <w:tc>
          <w:tcPr>
            <w:tcW w:w="5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45FB33" w14:textId="77777777" w:rsidR="000E207C" w:rsidRPr="0004360C" w:rsidRDefault="000E207C" w:rsidP="00244EAE">
            <w:r w:rsidRPr="0004360C">
              <w:t xml:space="preserve">All members of the </w:t>
            </w:r>
            <w:r>
              <w:t>HEAC</w:t>
            </w:r>
            <w:r w:rsidRPr="0004360C">
              <w:t xml:space="preserve"> were actively engaged in the advisement process.</w:t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C2B1A3" w14:textId="77777777" w:rsidR="000E207C" w:rsidRPr="0004360C" w:rsidRDefault="000E207C" w:rsidP="00244EAE"/>
        </w:tc>
        <w:tc>
          <w:tcPr>
            <w:tcW w:w="6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25A4FC" w14:textId="77777777" w:rsidR="000E207C" w:rsidRPr="0004360C" w:rsidRDefault="000E207C" w:rsidP="00244EAE">
            <w:r w:rsidRPr="0004360C">
              <w:t>Is this advisement multi-layered? If yes, streamline or break into multiple advisements.</w:t>
            </w:r>
          </w:p>
        </w:tc>
      </w:tr>
      <w:tr w:rsidR="000E207C" w:rsidRPr="0004360C" w14:paraId="26F1342D" w14:textId="77777777" w:rsidTr="00244EAE">
        <w:trPr>
          <w:trHeight w:val="573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3F9D27" w14:textId="77777777" w:rsidR="000E207C" w:rsidRPr="0004360C" w:rsidRDefault="000E207C" w:rsidP="00244EAE"/>
        </w:tc>
        <w:tc>
          <w:tcPr>
            <w:tcW w:w="5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7CDDB2" w14:textId="77777777" w:rsidR="000E207C" w:rsidRPr="0004360C" w:rsidRDefault="000E207C" w:rsidP="00244EAE">
            <w:r w:rsidRPr="0004360C">
              <w:t>A consensus was reached during the process. </w:t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51F1AC" w14:textId="77777777" w:rsidR="000E207C" w:rsidRPr="0004360C" w:rsidRDefault="000E207C" w:rsidP="00244EAE"/>
        </w:tc>
        <w:tc>
          <w:tcPr>
            <w:tcW w:w="6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B11EA2" w14:textId="77777777" w:rsidR="000E207C" w:rsidRPr="0004360C" w:rsidRDefault="000E207C" w:rsidP="00244EAE">
            <w:r w:rsidRPr="0004360C">
              <w:t>Does this advisement impact other community members or partners? If yes, be prepared to share how they were engaged in the process. </w:t>
            </w:r>
          </w:p>
        </w:tc>
      </w:tr>
      <w:tr w:rsidR="000E207C" w:rsidRPr="0004360C" w14:paraId="207175D1" w14:textId="77777777" w:rsidTr="00244EAE">
        <w:trPr>
          <w:trHeight w:val="556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6B57A0" w14:textId="77777777" w:rsidR="000E207C" w:rsidRPr="0004360C" w:rsidRDefault="000E207C" w:rsidP="00244EAE"/>
        </w:tc>
        <w:tc>
          <w:tcPr>
            <w:tcW w:w="5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0D4E38" w14:textId="77777777" w:rsidR="000E207C" w:rsidRPr="0004360C" w:rsidRDefault="000E207C" w:rsidP="00244EAE">
            <w:r w:rsidRPr="0004360C">
              <w:t xml:space="preserve">This advisement is supported by </w:t>
            </w:r>
            <w:r>
              <w:t>HE partners.</w:t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7EA3EA" w14:textId="77777777" w:rsidR="000E207C" w:rsidRPr="0004360C" w:rsidRDefault="000E207C" w:rsidP="00244EAE"/>
        </w:tc>
        <w:tc>
          <w:tcPr>
            <w:tcW w:w="6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634596" w14:textId="77777777" w:rsidR="000E207C" w:rsidRPr="0004360C" w:rsidRDefault="000E207C" w:rsidP="00244EAE">
            <w:r w:rsidRPr="0004360C">
              <w:t>Does this advisement impact the work of many programs/departments within the NMPED thus creating collaboration challenges? If yes, be ready to provide collaboration ideas/resolution or to narrow the advisement.</w:t>
            </w:r>
          </w:p>
        </w:tc>
      </w:tr>
    </w:tbl>
    <w:p w14:paraId="3BC1A31A" w14:textId="77777777" w:rsidR="000E207C" w:rsidRPr="0004360C" w:rsidRDefault="000E207C" w:rsidP="000E207C"/>
    <w:p w14:paraId="295FE98A" w14:textId="77777777" w:rsidR="00A66223" w:rsidRDefault="00A66223"/>
    <w:sectPr w:rsidR="00A66223" w:rsidSect="000E20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7C"/>
    <w:rsid w:val="000E207C"/>
    <w:rsid w:val="00591F8F"/>
    <w:rsid w:val="008E42E6"/>
    <w:rsid w:val="00901547"/>
    <w:rsid w:val="00A6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DCC2C"/>
  <w15:chartTrackingRefBased/>
  <w15:docId w15:val="{603A035B-9260-4403-9ED4-E18CC616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7C"/>
    <w:pPr>
      <w:spacing w:after="180" w:line="274" w:lineRule="auto"/>
      <w:jc w:val="both"/>
    </w:pPr>
    <w:rPr>
      <w:rFonts w:ascii="Roboto Condensed" w:eastAsia="Calibri" w:hAnsi="Roboto Condensed" w:cs="Calibri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0154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autoRedefine/>
    <w:qFormat/>
    <w:rsid w:val="00901547"/>
    <w:pPr>
      <w:adjustRightInd w:val="0"/>
      <w:spacing w:after="200" w:line="276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autoRedefine/>
    <w:uiPriority w:val="1"/>
    <w:qFormat/>
    <w:rsid w:val="00901547"/>
    <w:pPr>
      <w:spacing w:after="200" w:line="276" w:lineRule="auto"/>
    </w:pPr>
    <w:rPr>
      <w:rFonts w:asciiTheme="minorHAnsi" w:eastAsia="Roboto Condensed" w:hAnsiTheme="minorHAnsi" w:cstheme="minorBidi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01547"/>
    <w:rPr>
      <w:rFonts w:eastAsia="Roboto Condensed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0154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Emslie, Julia Rosa, PED</dc:creator>
  <cp:keywords/>
  <dc:description/>
  <cp:lastModifiedBy>Emslie, Julia Rosa, PED</cp:lastModifiedBy>
  <cp:revision>1</cp:revision>
  <dcterms:created xsi:type="dcterms:W3CDTF">2023-03-06T20:29:00Z</dcterms:created>
  <dcterms:modified xsi:type="dcterms:W3CDTF">2023-03-06T20:29:00Z</dcterms:modified>
</cp:coreProperties>
</file>