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972"/>
        <w:tblW w:w="11605" w:type="dxa"/>
        <w:tblLook w:val="04A0" w:firstRow="1" w:lastRow="0" w:firstColumn="1" w:lastColumn="0" w:noHBand="0" w:noVBand="1"/>
      </w:tblPr>
      <w:tblGrid>
        <w:gridCol w:w="6390"/>
        <w:gridCol w:w="5215"/>
      </w:tblGrid>
      <w:tr w:rsidR="002577F9" w14:paraId="377FDB84" w14:textId="77777777" w:rsidTr="00B81AE4">
        <w:trPr>
          <w:trHeight w:val="620"/>
        </w:trPr>
        <w:tc>
          <w:tcPr>
            <w:tcW w:w="11605" w:type="dxa"/>
            <w:gridSpan w:val="2"/>
            <w:shd w:val="clear" w:color="auto" w:fill="C5E0B3" w:themeFill="accent6" w:themeFillTint="66"/>
          </w:tcPr>
          <w:p w14:paraId="6887A989" w14:textId="7FC7DCD2" w:rsidR="002577F9" w:rsidRPr="00B81AE4" w:rsidRDefault="002577F9" w:rsidP="00B81AE4">
            <w:pPr>
              <w:jc w:val="center"/>
              <w:rPr>
                <w:rFonts w:ascii="Congenial Black" w:hAnsi="Congenial Black"/>
                <w:b/>
                <w:bCs/>
                <w:sz w:val="52"/>
                <w:szCs w:val="52"/>
              </w:rPr>
            </w:pPr>
            <w:r w:rsidRPr="00B81AE4">
              <w:rPr>
                <w:rFonts w:ascii="Congenial Black" w:hAnsi="Congenial Black"/>
                <w:b/>
                <w:bCs/>
                <w:sz w:val="52"/>
                <w:szCs w:val="52"/>
              </w:rPr>
              <w:t>Information for School-Aged Youth</w:t>
            </w:r>
          </w:p>
        </w:tc>
      </w:tr>
      <w:tr w:rsidR="002577F9" w:rsidRPr="002577F9" w14:paraId="175A79ED" w14:textId="77777777" w:rsidTr="00B81AE4">
        <w:trPr>
          <w:trHeight w:val="701"/>
        </w:trPr>
        <w:tc>
          <w:tcPr>
            <w:tcW w:w="11605" w:type="dxa"/>
            <w:gridSpan w:val="2"/>
            <w:shd w:val="clear" w:color="auto" w:fill="B4C6E7" w:themeFill="accent1" w:themeFillTint="66"/>
          </w:tcPr>
          <w:p w14:paraId="5387AF3C" w14:textId="7C2DC369" w:rsidR="002577F9" w:rsidRPr="00B81AE4" w:rsidRDefault="002577F9" w:rsidP="00B81AE4">
            <w:pPr>
              <w:jc w:val="center"/>
              <w:rPr>
                <w:rFonts w:ascii="Congenial Black" w:hAnsi="Congenial Black"/>
                <w:b/>
                <w:bCs/>
                <w:sz w:val="40"/>
                <w:szCs w:val="40"/>
              </w:rPr>
            </w:pPr>
            <w:r w:rsidRPr="00B81AE4">
              <w:rPr>
                <w:rFonts w:ascii="Congenial Black" w:hAnsi="Congenial Black"/>
                <w:b/>
                <w:bCs/>
                <w:sz w:val="40"/>
                <w:szCs w:val="40"/>
              </w:rPr>
              <w:t>You may qualify for certain rights and protections under the federal McKinney-Vento Act.</w:t>
            </w:r>
          </w:p>
        </w:tc>
      </w:tr>
      <w:tr w:rsidR="007331FD" w14:paraId="16CE4240" w14:textId="5765F15A" w:rsidTr="00B81AE4">
        <w:trPr>
          <w:trHeight w:val="4067"/>
        </w:trPr>
        <w:tc>
          <w:tcPr>
            <w:tcW w:w="6390" w:type="dxa"/>
            <w:shd w:val="clear" w:color="auto" w:fill="B4C6E7" w:themeFill="accent1" w:themeFillTint="66"/>
          </w:tcPr>
          <w:p w14:paraId="16633F8A" w14:textId="77777777" w:rsidR="007331FD" w:rsidRPr="00B81AE4" w:rsidRDefault="007331FD" w:rsidP="00B81AE4">
            <w:pPr>
              <w:rPr>
                <w:b/>
                <w:bCs/>
                <w:sz w:val="26"/>
                <w:szCs w:val="26"/>
                <w:u w:val="single"/>
              </w:rPr>
            </w:pPr>
          </w:p>
          <w:p w14:paraId="6DF76485" w14:textId="7DDAD19C" w:rsidR="002577F9" w:rsidRPr="00B81AE4" w:rsidRDefault="002577F9" w:rsidP="00B81AE4">
            <w:pPr>
              <w:rPr>
                <w:rFonts w:ascii="Congenial Black" w:hAnsi="Congenial Black"/>
                <w:b/>
                <w:bCs/>
                <w:sz w:val="26"/>
                <w:szCs w:val="26"/>
                <w:u w:val="single"/>
              </w:rPr>
            </w:pPr>
            <w:r w:rsidRPr="00B81AE4">
              <w:rPr>
                <w:rFonts w:ascii="Congenial Black" w:hAnsi="Congenial Black"/>
                <w:b/>
                <w:bCs/>
                <w:sz w:val="26"/>
                <w:szCs w:val="26"/>
                <w:u w:val="single"/>
              </w:rPr>
              <w:t>If you live in any of the following situations:</w:t>
            </w:r>
          </w:p>
          <w:p w14:paraId="4EA83632" w14:textId="77777777" w:rsidR="00B81AE4" w:rsidRPr="00B81AE4" w:rsidRDefault="00B81AE4" w:rsidP="00B81AE4">
            <w:pPr>
              <w:spacing w:after="0" w:line="240" w:lineRule="auto"/>
              <w:rPr>
                <w:rFonts w:ascii="Congenial Black" w:hAnsi="Congenial Black"/>
                <w:b/>
                <w:bCs/>
                <w:sz w:val="26"/>
                <w:szCs w:val="26"/>
                <w:u w:val="single"/>
              </w:rPr>
            </w:pPr>
          </w:p>
          <w:p w14:paraId="46D8369B" w14:textId="30BDF4D2" w:rsidR="002577F9" w:rsidRPr="00B81AE4" w:rsidRDefault="002577F9" w:rsidP="00B81AE4">
            <w:pPr>
              <w:pStyle w:val="ListParagraph"/>
              <w:numPr>
                <w:ilvl w:val="0"/>
                <w:numId w:val="1"/>
              </w:numPr>
              <w:spacing w:after="0" w:line="240" w:lineRule="auto"/>
              <w:rPr>
                <w:rFonts w:ascii="Congenial Black" w:hAnsi="Congenial Black"/>
                <w:sz w:val="26"/>
                <w:szCs w:val="26"/>
              </w:rPr>
            </w:pPr>
            <w:r w:rsidRPr="00B81AE4">
              <w:rPr>
                <w:rFonts w:ascii="Congenial Black" w:hAnsi="Congenial Black"/>
                <w:sz w:val="26"/>
                <w:szCs w:val="26"/>
              </w:rPr>
              <w:t>A shelter</w:t>
            </w:r>
            <w:r w:rsidRPr="00B81AE4">
              <w:rPr>
                <w:rFonts w:ascii="Congenial Black" w:hAnsi="Congenial Black"/>
                <w:sz w:val="26"/>
                <w:szCs w:val="26"/>
              </w:rPr>
              <w:t xml:space="preserve"> or transitional living program</w:t>
            </w:r>
          </w:p>
          <w:p w14:paraId="6FB3AE8C" w14:textId="1C69841F" w:rsidR="002577F9" w:rsidRPr="00B81AE4" w:rsidRDefault="002577F9" w:rsidP="00B81AE4">
            <w:pPr>
              <w:pStyle w:val="ListParagraph"/>
              <w:numPr>
                <w:ilvl w:val="0"/>
                <w:numId w:val="1"/>
              </w:numPr>
              <w:spacing w:after="0" w:line="240" w:lineRule="auto"/>
              <w:rPr>
                <w:rFonts w:ascii="Congenial Black" w:hAnsi="Congenial Black"/>
                <w:sz w:val="26"/>
                <w:szCs w:val="26"/>
              </w:rPr>
            </w:pPr>
            <w:r w:rsidRPr="00B81AE4">
              <w:rPr>
                <w:rFonts w:ascii="Congenial Black" w:hAnsi="Congenial Black"/>
                <w:sz w:val="26"/>
                <w:szCs w:val="26"/>
              </w:rPr>
              <w:t xml:space="preserve">A motel or campground </w:t>
            </w:r>
            <w:r w:rsidRPr="00B81AE4">
              <w:rPr>
                <w:rFonts w:ascii="Congenial Black" w:hAnsi="Congenial Black"/>
                <w:sz w:val="26"/>
                <w:szCs w:val="26"/>
              </w:rPr>
              <w:t xml:space="preserve"> </w:t>
            </w:r>
          </w:p>
          <w:p w14:paraId="5B3C33AF" w14:textId="16FE4DDE" w:rsidR="002577F9" w:rsidRPr="00B81AE4" w:rsidRDefault="002577F9" w:rsidP="00B81AE4">
            <w:pPr>
              <w:pStyle w:val="ListParagraph"/>
              <w:numPr>
                <w:ilvl w:val="0"/>
                <w:numId w:val="1"/>
              </w:numPr>
              <w:spacing w:after="0" w:line="240" w:lineRule="auto"/>
              <w:rPr>
                <w:rFonts w:ascii="Congenial Black" w:hAnsi="Congenial Black"/>
                <w:sz w:val="26"/>
                <w:szCs w:val="26"/>
              </w:rPr>
            </w:pPr>
            <w:r w:rsidRPr="00B81AE4">
              <w:rPr>
                <w:rFonts w:ascii="Congenial Black" w:hAnsi="Congenial Black"/>
                <w:sz w:val="26"/>
                <w:szCs w:val="26"/>
              </w:rPr>
              <w:t xml:space="preserve">A car, park, abandoned building, bus or train station </w:t>
            </w:r>
          </w:p>
          <w:p w14:paraId="24DA7BCB" w14:textId="34FDF565" w:rsidR="002577F9" w:rsidRPr="00B81AE4" w:rsidRDefault="002577F9" w:rsidP="00B81AE4">
            <w:pPr>
              <w:pStyle w:val="ListParagraph"/>
              <w:numPr>
                <w:ilvl w:val="0"/>
                <w:numId w:val="1"/>
              </w:numPr>
              <w:rPr>
                <w:rFonts w:ascii="Congenial Black" w:hAnsi="Congenial Black"/>
                <w:sz w:val="26"/>
                <w:szCs w:val="26"/>
              </w:rPr>
            </w:pPr>
            <w:r w:rsidRPr="00B81AE4">
              <w:rPr>
                <w:rFonts w:ascii="Congenial Black" w:hAnsi="Congenial Black"/>
                <w:sz w:val="26"/>
                <w:szCs w:val="26"/>
              </w:rPr>
              <w:t>Doubled up with other people due to loss of housing or economic hardship</w:t>
            </w:r>
          </w:p>
          <w:p w14:paraId="5B20DD14" w14:textId="3CE1CCC9" w:rsidR="002577F9" w:rsidRPr="00B81AE4" w:rsidRDefault="002577F9" w:rsidP="00B81AE4">
            <w:pPr>
              <w:pStyle w:val="ListParagraph"/>
              <w:numPr>
                <w:ilvl w:val="0"/>
                <w:numId w:val="1"/>
              </w:numPr>
              <w:rPr>
                <w:sz w:val="26"/>
                <w:szCs w:val="26"/>
              </w:rPr>
            </w:pPr>
            <w:r w:rsidRPr="00B81AE4">
              <w:rPr>
                <w:rFonts w:ascii="Congenial Black" w:hAnsi="Congenial Black"/>
                <w:sz w:val="26"/>
                <w:szCs w:val="26"/>
              </w:rPr>
              <w:t>Or in a home with the utilities shut off or is overcrowded</w:t>
            </w:r>
            <w:r w:rsidRPr="00B81AE4">
              <w:rPr>
                <w:sz w:val="26"/>
                <w:szCs w:val="26"/>
              </w:rPr>
              <w:t xml:space="preserve"> </w:t>
            </w:r>
          </w:p>
        </w:tc>
        <w:tc>
          <w:tcPr>
            <w:tcW w:w="5215" w:type="dxa"/>
          </w:tcPr>
          <w:p w14:paraId="7CE8EE9F" w14:textId="71EA2992" w:rsidR="002577F9" w:rsidRDefault="007331FD" w:rsidP="00B81AE4">
            <w:r>
              <w:rPr>
                <w:noProof/>
              </w:rPr>
              <w:drawing>
                <wp:anchor distT="0" distB="0" distL="114300" distR="114300" simplePos="0" relativeHeight="251658240" behindDoc="0" locked="0" layoutInCell="1" allowOverlap="1" wp14:anchorId="3F49C258" wp14:editId="5BFC8BB2">
                  <wp:simplePos x="0" y="0"/>
                  <wp:positionH relativeFrom="column">
                    <wp:posOffset>152400</wp:posOffset>
                  </wp:positionH>
                  <wp:positionV relativeFrom="paragraph">
                    <wp:posOffset>200025</wp:posOffset>
                  </wp:positionV>
                  <wp:extent cx="2887980" cy="2179320"/>
                  <wp:effectExtent l="0" t="0" r="7620" b="0"/>
                  <wp:wrapThrough wrapText="bothSides">
                    <wp:wrapPolygon edited="0">
                      <wp:start x="0" y="0"/>
                      <wp:lineTo x="0" y="21336"/>
                      <wp:lineTo x="21515" y="21336"/>
                      <wp:lineTo x="215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887980" cy="2179320"/>
                          </a:xfrm>
                          <a:prstGeom prst="rect">
                            <a:avLst/>
                          </a:prstGeom>
                        </pic:spPr>
                      </pic:pic>
                    </a:graphicData>
                  </a:graphic>
                  <wp14:sizeRelH relativeFrom="margin">
                    <wp14:pctWidth>0</wp14:pctWidth>
                  </wp14:sizeRelH>
                  <wp14:sizeRelV relativeFrom="margin">
                    <wp14:pctHeight>0</wp14:pctHeight>
                  </wp14:sizeRelV>
                </wp:anchor>
              </w:drawing>
            </w:r>
          </w:p>
        </w:tc>
      </w:tr>
      <w:tr w:rsidR="007331FD" w14:paraId="289985D0" w14:textId="6D0F8EB4" w:rsidTr="00B81AE4">
        <w:trPr>
          <w:trHeight w:val="7361"/>
        </w:trPr>
        <w:tc>
          <w:tcPr>
            <w:tcW w:w="6390" w:type="dxa"/>
            <w:shd w:val="clear" w:color="auto" w:fill="B4C6E7" w:themeFill="accent1" w:themeFillTint="66"/>
          </w:tcPr>
          <w:p w14:paraId="1329BF1B" w14:textId="77777777" w:rsidR="00B81AE4" w:rsidRPr="00B81AE4" w:rsidRDefault="00B81AE4" w:rsidP="00B81AE4">
            <w:pPr>
              <w:rPr>
                <w:rFonts w:ascii="Congenial Black" w:hAnsi="Congenial Black"/>
                <w:b/>
                <w:bCs/>
                <w:sz w:val="26"/>
                <w:szCs w:val="26"/>
                <w:u w:val="single"/>
              </w:rPr>
            </w:pPr>
          </w:p>
          <w:p w14:paraId="49F16CFB" w14:textId="02881D2F" w:rsidR="002577F9" w:rsidRPr="00B81AE4" w:rsidRDefault="002577F9" w:rsidP="00B81AE4">
            <w:pPr>
              <w:rPr>
                <w:rFonts w:ascii="Congenial Black" w:hAnsi="Congenial Black"/>
                <w:b/>
                <w:bCs/>
                <w:sz w:val="26"/>
                <w:szCs w:val="26"/>
                <w:u w:val="single"/>
              </w:rPr>
            </w:pPr>
            <w:r w:rsidRPr="00B81AE4">
              <w:rPr>
                <w:rFonts w:ascii="Congenial Black" w:hAnsi="Congenial Black"/>
                <w:b/>
                <w:bCs/>
                <w:sz w:val="26"/>
                <w:szCs w:val="26"/>
                <w:u w:val="single"/>
              </w:rPr>
              <w:t xml:space="preserve">As an eligible student, you have the right to: </w:t>
            </w:r>
          </w:p>
          <w:p w14:paraId="3AD44EAB" w14:textId="77777777" w:rsidR="00B81AE4" w:rsidRPr="00B81AE4" w:rsidRDefault="00B81AE4" w:rsidP="00B81AE4">
            <w:pPr>
              <w:rPr>
                <w:rFonts w:ascii="Congenial Black" w:hAnsi="Congenial Black"/>
                <w:b/>
                <w:bCs/>
                <w:sz w:val="26"/>
                <w:szCs w:val="26"/>
                <w:u w:val="single"/>
              </w:rPr>
            </w:pPr>
          </w:p>
          <w:p w14:paraId="58AA469C" w14:textId="77777777" w:rsidR="002577F9" w:rsidRPr="00B81AE4" w:rsidRDefault="002577F9" w:rsidP="00B81AE4">
            <w:pPr>
              <w:pStyle w:val="ListParagraph"/>
              <w:numPr>
                <w:ilvl w:val="0"/>
                <w:numId w:val="2"/>
              </w:numPr>
              <w:rPr>
                <w:rFonts w:ascii="Congenial Black" w:hAnsi="Congenial Black"/>
                <w:sz w:val="26"/>
                <w:szCs w:val="26"/>
              </w:rPr>
            </w:pPr>
            <w:r w:rsidRPr="00B81AE4">
              <w:rPr>
                <w:rFonts w:ascii="Congenial Black" w:hAnsi="Congenial Black"/>
                <w:sz w:val="26"/>
                <w:szCs w:val="26"/>
              </w:rPr>
              <w:t>Receive a free, appropriate public education.</w:t>
            </w:r>
          </w:p>
          <w:p w14:paraId="1763B926" w14:textId="77777777" w:rsidR="002577F9" w:rsidRPr="00B81AE4" w:rsidRDefault="002577F9" w:rsidP="00B81AE4">
            <w:pPr>
              <w:pStyle w:val="ListParagraph"/>
              <w:numPr>
                <w:ilvl w:val="0"/>
                <w:numId w:val="2"/>
              </w:numPr>
              <w:rPr>
                <w:rFonts w:ascii="Congenial Black" w:hAnsi="Congenial Black"/>
                <w:sz w:val="26"/>
                <w:szCs w:val="26"/>
              </w:rPr>
            </w:pPr>
            <w:r w:rsidRPr="00B81AE4">
              <w:rPr>
                <w:rFonts w:ascii="Congenial Black" w:hAnsi="Congenial Black"/>
                <w:sz w:val="26"/>
                <w:szCs w:val="26"/>
              </w:rPr>
              <w:t xml:space="preserve">Enroll in school immediately, even if lacking documents normally required for enrollment. </w:t>
            </w:r>
          </w:p>
          <w:p w14:paraId="67C29E8D" w14:textId="77777777" w:rsidR="002577F9" w:rsidRPr="00B81AE4" w:rsidRDefault="002577F9" w:rsidP="00B81AE4">
            <w:pPr>
              <w:pStyle w:val="ListParagraph"/>
              <w:numPr>
                <w:ilvl w:val="0"/>
                <w:numId w:val="2"/>
              </w:numPr>
              <w:rPr>
                <w:rFonts w:ascii="Congenial Black" w:hAnsi="Congenial Black"/>
                <w:sz w:val="26"/>
                <w:szCs w:val="26"/>
              </w:rPr>
            </w:pPr>
            <w:r w:rsidRPr="00B81AE4">
              <w:rPr>
                <w:rFonts w:ascii="Congenial Black" w:hAnsi="Congenial Black"/>
                <w:sz w:val="26"/>
                <w:szCs w:val="26"/>
              </w:rPr>
              <w:t>Enroll in school and attend classes while the school gathers need documents.</w:t>
            </w:r>
          </w:p>
          <w:p w14:paraId="30496675" w14:textId="3ABF4687" w:rsidR="002577F9" w:rsidRDefault="002577F9" w:rsidP="00B81AE4">
            <w:pPr>
              <w:pStyle w:val="ListParagraph"/>
              <w:numPr>
                <w:ilvl w:val="0"/>
                <w:numId w:val="2"/>
              </w:numPr>
              <w:rPr>
                <w:rFonts w:ascii="Congenial Black" w:hAnsi="Congenial Black"/>
                <w:sz w:val="26"/>
                <w:szCs w:val="26"/>
              </w:rPr>
            </w:pPr>
            <w:r w:rsidRPr="00B81AE4">
              <w:rPr>
                <w:rFonts w:ascii="Congenial Black" w:hAnsi="Congenial Black"/>
                <w:sz w:val="26"/>
                <w:szCs w:val="26"/>
              </w:rPr>
              <w:t xml:space="preserve">Enroll in the local school or continue attending your school of origin (the school you attend when permanently house or the school in which you were last enrolled) if that is your preference and is feasible. </w:t>
            </w:r>
          </w:p>
          <w:p w14:paraId="570183C8" w14:textId="77777777" w:rsidR="00706FEE" w:rsidRPr="00B81AE4" w:rsidRDefault="00706FEE" w:rsidP="00706FEE">
            <w:pPr>
              <w:pStyle w:val="ListParagraph"/>
              <w:ind w:left="360"/>
              <w:rPr>
                <w:rFonts w:ascii="Congenial Black" w:hAnsi="Congenial Black"/>
                <w:sz w:val="26"/>
                <w:szCs w:val="26"/>
              </w:rPr>
            </w:pPr>
          </w:p>
          <w:p w14:paraId="0AEC6B2D" w14:textId="70296838" w:rsidR="002577F9" w:rsidRDefault="002577F9" w:rsidP="00B81AE4">
            <w:pPr>
              <w:pStyle w:val="ListParagraph"/>
              <w:numPr>
                <w:ilvl w:val="1"/>
                <w:numId w:val="2"/>
              </w:numPr>
              <w:rPr>
                <w:rFonts w:ascii="Congenial Black" w:hAnsi="Congenial Black"/>
                <w:i/>
                <w:iCs/>
                <w:sz w:val="26"/>
                <w:szCs w:val="26"/>
              </w:rPr>
            </w:pPr>
            <w:r w:rsidRPr="00B81AE4">
              <w:rPr>
                <w:rFonts w:ascii="Congenial Black" w:hAnsi="Congenial Black"/>
                <w:i/>
                <w:iCs/>
                <w:sz w:val="26"/>
                <w:szCs w:val="26"/>
              </w:rPr>
              <w:t xml:space="preserve">If the school district believes that the school selected is not in your best interest, the district must provide you with a written explanation of its position and inform you of your right to appeal the decision. </w:t>
            </w:r>
          </w:p>
          <w:p w14:paraId="7F902101" w14:textId="77777777" w:rsidR="00706FEE" w:rsidRPr="00B81AE4" w:rsidRDefault="00706FEE" w:rsidP="00706FEE">
            <w:pPr>
              <w:pStyle w:val="ListParagraph"/>
              <w:ind w:left="1080"/>
              <w:rPr>
                <w:rFonts w:ascii="Congenial Black" w:hAnsi="Congenial Black"/>
                <w:i/>
                <w:iCs/>
                <w:sz w:val="26"/>
                <w:szCs w:val="26"/>
              </w:rPr>
            </w:pPr>
          </w:p>
          <w:p w14:paraId="2AD85A91" w14:textId="77777777" w:rsidR="002577F9" w:rsidRPr="00B81AE4" w:rsidRDefault="002577F9" w:rsidP="00B81AE4">
            <w:pPr>
              <w:pStyle w:val="ListParagraph"/>
              <w:numPr>
                <w:ilvl w:val="0"/>
                <w:numId w:val="2"/>
              </w:numPr>
              <w:rPr>
                <w:rFonts w:ascii="Congenial Black" w:hAnsi="Congenial Black"/>
                <w:sz w:val="26"/>
                <w:szCs w:val="26"/>
              </w:rPr>
            </w:pPr>
            <w:r w:rsidRPr="00B81AE4">
              <w:rPr>
                <w:rFonts w:ascii="Congenial Black" w:hAnsi="Congenial Black"/>
                <w:sz w:val="26"/>
                <w:szCs w:val="26"/>
              </w:rPr>
              <w:t xml:space="preserve">Receive transportation to and from the school of origin, if requested. </w:t>
            </w:r>
          </w:p>
          <w:p w14:paraId="49172F83" w14:textId="77777777" w:rsidR="002577F9" w:rsidRPr="00B81AE4" w:rsidRDefault="002577F9" w:rsidP="00B81AE4">
            <w:pPr>
              <w:pStyle w:val="ListParagraph"/>
              <w:numPr>
                <w:ilvl w:val="0"/>
                <w:numId w:val="2"/>
              </w:numPr>
              <w:rPr>
                <w:rFonts w:ascii="Congenial Black" w:hAnsi="Congenial Black"/>
                <w:sz w:val="26"/>
                <w:szCs w:val="26"/>
              </w:rPr>
            </w:pPr>
            <w:r w:rsidRPr="00B81AE4">
              <w:rPr>
                <w:rFonts w:ascii="Congenial Black" w:hAnsi="Congenial Black"/>
                <w:sz w:val="26"/>
                <w:szCs w:val="26"/>
              </w:rPr>
              <w:t xml:space="preserve">Receive educational services comparable to those provided to other students, according to your needs as a student. </w:t>
            </w:r>
          </w:p>
          <w:p w14:paraId="78A9E3EA" w14:textId="77777777" w:rsidR="002577F9" w:rsidRPr="00B81AE4" w:rsidRDefault="002577F9" w:rsidP="00B81AE4">
            <w:pPr>
              <w:rPr>
                <w:rFonts w:ascii="Congenial Black" w:hAnsi="Congenial Black"/>
                <w:sz w:val="26"/>
                <w:szCs w:val="26"/>
              </w:rPr>
            </w:pPr>
          </w:p>
        </w:tc>
        <w:tc>
          <w:tcPr>
            <w:tcW w:w="5215" w:type="dxa"/>
            <w:shd w:val="clear" w:color="auto" w:fill="FFF2CC" w:themeFill="accent4" w:themeFillTint="33"/>
          </w:tcPr>
          <w:p w14:paraId="712EE12F" w14:textId="4DA18C9E" w:rsidR="002577F9" w:rsidRPr="007331FD" w:rsidRDefault="002577F9" w:rsidP="00B81AE4">
            <w:pPr>
              <w:rPr>
                <w:rFonts w:ascii="Congenial Black" w:hAnsi="Congenial Black"/>
                <w:b/>
                <w:bCs/>
                <w:sz w:val="28"/>
                <w:szCs w:val="28"/>
              </w:rPr>
            </w:pPr>
            <w:r w:rsidRPr="007331FD">
              <w:rPr>
                <w:rFonts w:ascii="Congenial Black" w:hAnsi="Congenial Black"/>
                <w:b/>
                <w:bCs/>
                <w:sz w:val="28"/>
                <w:szCs w:val="28"/>
              </w:rPr>
              <w:t xml:space="preserve">If you believe that you may be eligible, contact the individual below to find out what services and support may be available. </w:t>
            </w:r>
          </w:p>
          <w:p w14:paraId="2E81CCEC" w14:textId="77777777" w:rsidR="002577F9" w:rsidRPr="007331FD" w:rsidRDefault="002577F9" w:rsidP="00B81AE4">
            <w:pPr>
              <w:rPr>
                <w:rFonts w:ascii="Congenial Black" w:hAnsi="Congenial Black"/>
              </w:rPr>
            </w:pPr>
          </w:p>
          <w:p w14:paraId="546154C3" w14:textId="77777777" w:rsidR="006734F5" w:rsidRPr="007331FD" w:rsidRDefault="006734F5" w:rsidP="00B81AE4">
            <w:pPr>
              <w:rPr>
                <w:rFonts w:ascii="Congenial Black" w:hAnsi="Congenial Black"/>
                <w:b/>
                <w:bCs/>
                <w:sz w:val="32"/>
                <w:szCs w:val="32"/>
              </w:rPr>
            </w:pPr>
          </w:p>
          <w:p w14:paraId="0A7FC541" w14:textId="08C04D47" w:rsidR="002577F9" w:rsidRPr="007331FD" w:rsidRDefault="006734F5" w:rsidP="00B81AE4">
            <w:pPr>
              <w:jc w:val="center"/>
              <w:rPr>
                <w:rFonts w:ascii="Congenial Black" w:hAnsi="Congenial Black"/>
                <w:b/>
                <w:bCs/>
                <w:sz w:val="32"/>
                <w:szCs w:val="32"/>
              </w:rPr>
            </w:pPr>
            <w:r w:rsidRPr="007331FD">
              <w:rPr>
                <w:rFonts w:ascii="Congenial Black" w:hAnsi="Congenial Black"/>
                <w:b/>
                <w:bCs/>
                <w:noProof/>
                <w:sz w:val="32"/>
                <w:szCs w:val="32"/>
              </w:rPr>
              <w:drawing>
                <wp:inline distT="0" distB="0" distL="0" distR="0" wp14:anchorId="01EFABE0" wp14:editId="0F56518C">
                  <wp:extent cx="1781175" cy="1415503"/>
                  <wp:effectExtent l="0" t="0" r="0" b="0"/>
                  <wp:docPr id="2" name="Graphic 2" descr="Speaker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peaker phone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795113" cy="1426580"/>
                          </a:xfrm>
                          <a:prstGeom prst="rect">
                            <a:avLst/>
                          </a:prstGeom>
                        </pic:spPr>
                      </pic:pic>
                    </a:graphicData>
                  </a:graphic>
                </wp:inline>
              </w:drawing>
            </w:r>
          </w:p>
          <w:p w14:paraId="14DD9588" w14:textId="77777777" w:rsidR="006734F5" w:rsidRPr="007331FD" w:rsidRDefault="006734F5" w:rsidP="00B81AE4">
            <w:pPr>
              <w:rPr>
                <w:rFonts w:ascii="Congenial Black" w:hAnsi="Congenial Black"/>
                <w:b/>
                <w:bCs/>
                <w:sz w:val="32"/>
                <w:szCs w:val="32"/>
              </w:rPr>
            </w:pPr>
          </w:p>
          <w:p w14:paraId="0A7E5B02" w14:textId="6EBC9C03" w:rsidR="006734F5" w:rsidRPr="00706FEE" w:rsidRDefault="006734F5" w:rsidP="00B81AE4">
            <w:pPr>
              <w:rPr>
                <w:rFonts w:ascii="Congenial Black" w:hAnsi="Congenial Black"/>
                <w:b/>
                <w:bCs/>
                <w:sz w:val="28"/>
                <w:szCs w:val="28"/>
              </w:rPr>
            </w:pPr>
            <w:r w:rsidRPr="00706FEE">
              <w:rPr>
                <w:rFonts w:ascii="Congenial Black" w:hAnsi="Congenial Black"/>
                <w:b/>
                <w:bCs/>
                <w:sz w:val="28"/>
                <w:szCs w:val="28"/>
              </w:rPr>
              <w:t xml:space="preserve">Local Contact: </w:t>
            </w:r>
          </w:p>
          <w:p w14:paraId="54BA1912" w14:textId="77777777" w:rsidR="006734F5" w:rsidRPr="00706FEE" w:rsidRDefault="006734F5" w:rsidP="00B81AE4">
            <w:pPr>
              <w:rPr>
                <w:rFonts w:ascii="Congenial Black" w:hAnsi="Congenial Black"/>
                <w:b/>
                <w:bCs/>
                <w:sz w:val="28"/>
                <w:szCs w:val="28"/>
              </w:rPr>
            </w:pPr>
          </w:p>
          <w:p w14:paraId="02CCEBCA" w14:textId="77777777" w:rsidR="006734F5" w:rsidRPr="00706FEE" w:rsidRDefault="006734F5" w:rsidP="00B81AE4">
            <w:pPr>
              <w:rPr>
                <w:rFonts w:ascii="Congenial Black" w:hAnsi="Congenial Black"/>
                <w:b/>
                <w:bCs/>
                <w:sz w:val="28"/>
                <w:szCs w:val="28"/>
              </w:rPr>
            </w:pPr>
          </w:p>
          <w:p w14:paraId="2801D7D5" w14:textId="77777777" w:rsidR="00706FEE" w:rsidRDefault="00706FEE" w:rsidP="00B81AE4">
            <w:pPr>
              <w:rPr>
                <w:rFonts w:ascii="Congenial Black" w:hAnsi="Congenial Black"/>
                <w:b/>
                <w:bCs/>
                <w:sz w:val="28"/>
                <w:szCs w:val="28"/>
              </w:rPr>
            </w:pPr>
          </w:p>
          <w:p w14:paraId="4B11B50E" w14:textId="77777777" w:rsidR="00706FEE" w:rsidRDefault="00706FEE" w:rsidP="00B81AE4">
            <w:pPr>
              <w:rPr>
                <w:rFonts w:ascii="Congenial Black" w:hAnsi="Congenial Black"/>
                <w:b/>
                <w:bCs/>
                <w:sz w:val="28"/>
                <w:szCs w:val="28"/>
              </w:rPr>
            </w:pPr>
          </w:p>
          <w:p w14:paraId="74DFA5C7" w14:textId="69C1CE3C" w:rsidR="007331FD" w:rsidRPr="00706FEE" w:rsidRDefault="002577F9" w:rsidP="00B81AE4">
            <w:pPr>
              <w:rPr>
                <w:rFonts w:ascii="Congenial Black" w:hAnsi="Congenial Black"/>
                <w:b/>
                <w:bCs/>
                <w:sz w:val="28"/>
                <w:szCs w:val="28"/>
              </w:rPr>
            </w:pPr>
            <w:r w:rsidRPr="00706FEE">
              <w:rPr>
                <w:rFonts w:ascii="Congenial Black" w:hAnsi="Congenial Black"/>
                <w:b/>
                <w:bCs/>
                <w:sz w:val="28"/>
                <w:szCs w:val="28"/>
              </w:rPr>
              <w:t>State Contact:</w:t>
            </w:r>
            <w:r w:rsidRPr="00706FEE">
              <w:rPr>
                <w:rFonts w:ascii="Congenial Black" w:hAnsi="Congenial Black"/>
                <w:b/>
                <w:bCs/>
                <w:sz w:val="28"/>
                <w:szCs w:val="28"/>
              </w:rPr>
              <w:t xml:space="preserve"> </w:t>
            </w:r>
          </w:p>
          <w:p w14:paraId="4C52BE34" w14:textId="082999D5" w:rsidR="007331FD" w:rsidRPr="00706FEE" w:rsidRDefault="002577F9" w:rsidP="00B81AE4">
            <w:pPr>
              <w:rPr>
                <w:rFonts w:ascii="Congenial Black" w:hAnsi="Congenial Black"/>
                <w:sz w:val="28"/>
                <w:szCs w:val="28"/>
              </w:rPr>
            </w:pPr>
            <w:r w:rsidRPr="00706FEE">
              <w:rPr>
                <w:rFonts w:ascii="Congenial Black" w:hAnsi="Congenial Black"/>
                <w:sz w:val="28"/>
                <w:szCs w:val="28"/>
              </w:rPr>
              <w:t>Dana Malone</w:t>
            </w:r>
            <w:r w:rsidR="007331FD" w:rsidRPr="00706FEE">
              <w:rPr>
                <w:rFonts w:ascii="Congenial Black" w:hAnsi="Congenial Black"/>
                <w:sz w:val="28"/>
                <w:szCs w:val="28"/>
              </w:rPr>
              <w:t>/State Coordinator</w:t>
            </w:r>
          </w:p>
          <w:p w14:paraId="7D97296A" w14:textId="7B30CADF" w:rsidR="007331FD" w:rsidRPr="00706FEE" w:rsidRDefault="007331FD" w:rsidP="00B81AE4">
            <w:pPr>
              <w:rPr>
                <w:rFonts w:ascii="Congenial Black" w:hAnsi="Congenial Black"/>
                <w:sz w:val="28"/>
                <w:szCs w:val="28"/>
              </w:rPr>
            </w:pPr>
            <w:r w:rsidRPr="00706FEE">
              <w:rPr>
                <w:rFonts w:ascii="Congenial Black" w:hAnsi="Congenial Black"/>
                <w:sz w:val="28"/>
                <w:szCs w:val="28"/>
              </w:rPr>
              <w:t>Dana.malone@ped.nm.gov</w:t>
            </w:r>
          </w:p>
          <w:p w14:paraId="45657C34" w14:textId="4B00ED29" w:rsidR="002577F9" w:rsidRPr="00706FEE" w:rsidRDefault="002577F9" w:rsidP="00B81AE4">
            <w:pPr>
              <w:rPr>
                <w:rFonts w:ascii="Congenial Black" w:hAnsi="Congenial Black"/>
                <w:sz w:val="28"/>
                <w:szCs w:val="28"/>
              </w:rPr>
            </w:pPr>
            <w:r w:rsidRPr="00706FEE">
              <w:rPr>
                <w:rFonts w:ascii="Congenial Black" w:hAnsi="Congenial Black"/>
                <w:sz w:val="28"/>
                <w:szCs w:val="28"/>
              </w:rPr>
              <w:t>(505) 819-9537</w:t>
            </w:r>
          </w:p>
          <w:p w14:paraId="08E27BAA" w14:textId="548D2230" w:rsidR="002577F9" w:rsidRPr="007331FD" w:rsidRDefault="002577F9" w:rsidP="00B81AE4">
            <w:pPr>
              <w:rPr>
                <w:rFonts w:ascii="Congenial Black" w:hAnsi="Congenial Black"/>
              </w:rPr>
            </w:pPr>
          </w:p>
        </w:tc>
      </w:tr>
    </w:tbl>
    <w:p w14:paraId="31870863" w14:textId="77777777" w:rsidR="002577F9" w:rsidRDefault="002577F9"/>
    <w:p w14:paraId="336B9705" w14:textId="77777777" w:rsidR="002577F9" w:rsidRDefault="002577F9"/>
    <w:sectPr w:rsidR="002577F9" w:rsidSect="00B8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Black">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489E"/>
    <w:multiLevelType w:val="hybridMultilevel"/>
    <w:tmpl w:val="37D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555C7"/>
    <w:multiLevelType w:val="hybridMultilevel"/>
    <w:tmpl w:val="137A9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9994313">
    <w:abstractNumId w:val="0"/>
  </w:num>
  <w:num w:numId="2" w16cid:durableId="1291790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F9"/>
    <w:rsid w:val="002577F9"/>
    <w:rsid w:val="006734F5"/>
    <w:rsid w:val="00706FEE"/>
    <w:rsid w:val="007331FD"/>
    <w:rsid w:val="00A01D11"/>
    <w:rsid w:val="00AA7FD1"/>
    <w:rsid w:val="00B36ACB"/>
    <w:rsid w:val="00B8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B63C"/>
  <w15:chartTrackingRefBased/>
  <w15:docId w15:val="{2F1DAF25-C294-4F79-9B69-2EEDEFD6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Dana, PED</dc:creator>
  <cp:keywords/>
  <dc:description/>
  <cp:lastModifiedBy>Malone, Dana, PED</cp:lastModifiedBy>
  <cp:revision>2</cp:revision>
  <dcterms:created xsi:type="dcterms:W3CDTF">2023-03-29T21:29:00Z</dcterms:created>
  <dcterms:modified xsi:type="dcterms:W3CDTF">2023-03-29T22:15:00Z</dcterms:modified>
</cp:coreProperties>
</file>