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6BA8" w14:textId="21E7CAF1" w:rsidR="003D025A" w:rsidRPr="00CB75FE" w:rsidRDefault="003D025A" w:rsidP="00670467">
      <w:pPr>
        <w:pStyle w:val="NoSpacing"/>
        <w:shd w:val="clear" w:color="auto" w:fill="ACB9CA" w:themeFill="text2" w:themeFillTint="66"/>
        <w:jc w:val="center"/>
        <w:rPr>
          <w:rFonts w:ascii="Cambria" w:hAnsi="Cambria"/>
          <w:b/>
        </w:rPr>
      </w:pPr>
      <w:r w:rsidRPr="00CB75FE">
        <w:rPr>
          <w:rFonts w:ascii="Cambria" w:hAnsi="Cambria"/>
          <w:b/>
        </w:rPr>
        <w:t>202</w:t>
      </w:r>
      <w:r w:rsidR="000848F9">
        <w:rPr>
          <w:rFonts w:ascii="Cambria" w:hAnsi="Cambria"/>
          <w:b/>
        </w:rPr>
        <w:t>3</w:t>
      </w:r>
      <w:r w:rsidRPr="00CB75FE">
        <w:rPr>
          <w:rFonts w:ascii="Cambria" w:hAnsi="Cambria"/>
          <w:b/>
        </w:rPr>
        <w:t>-202</w:t>
      </w:r>
      <w:r w:rsidR="000848F9">
        <w:rPr>
          <w:rFonts w:ascii="Cambria" w:hAnsi="Cambria"/>
          <w:b/>
        </w:rPr>
        <w:t>4</w:t>
      </w:r>
      <w:r w:rsidR="002C2C10">
        <w:rPr>
          <w:rFonts w:ascii="Cambria" w:hAnsi="Cambria"/>
          <w:b/>
        </w:rPr>
        <w:t xml:space="preserve"> </w:t>
      </w:r>
      <w:r w:rsidR="000848F9">
        <w:rPr>
          <w:rFonts w:ascii="Cambria" w:hAnsi="Cambria"/>
          <w:b/>
        </w:rPr>
        <w:t>Nova</w:t>
      </w:r>
      <w:r w:rsidRPr="00CB75FE">
        <w:rPr>
          <w:rFonts w:ascii="Cambria" w:hAnsi="Cambria"/>
          <w:b/>
        </w:rPr>
        <w:t xml:space="preserve"> Reporting Period</w:t>
      </w:r>
    </w:p>
    <w:p w14:paraId="6480E378" w14:textId="637136D5" w:rsidR="003D025A" w:rsidRPr="00670467" w:rsidRDefault="003D025A" w:rsidP="00670467">
      <w:pPr>
        <w:pStyle w:val="NoSpacing"/>
        <w:shd w:val="clear" w:color="auto" w:fill="ACB9CA" w:themeFill="text2" w:themeFillTint="66"/>
        <w:jc w:val="center"/>
        <w:rPr>
          <w:rFonts w:ascii="Cambria" w:hAnsi="Cambria"/>
          <w:b/>
          <w:i/>
          <w:iCs/>
        </w:rPr>
      </w:pPr>
      <w:r w:rsidRPr="00670467">
        <w:rPr>
          <w:rFonts w:ascii="Cambria" w:hAnsi="Cambria"/>
          <w:b/>
          <w:i/>
          <w:iCs/>
        </w:rPr>
        <w:t xml:space="preserve">Local Education Agency (LEA) </w:t>
      </w:r>
      <w:r w:rsidR="005036E1" w:rsidRPr="00670467">
        <w:rPr>
          <w:rFonts w:ascii="Cambria" w:hAnsi="Cambria"/>
          <w:b/>
          <w:i/>
          <w:iCs/>
        </w:rPr>
        <w:t xml:space="preserve">Special Education </w:t>
      </w:r>
      <w:r w:rsidRPr="00670467">
        <w:rPr>
          <w:rFonts w:ascii="Cambria" w:hAnsi="Cambria"/>
          <w:b/>
          <w:i/>
          <w:iCs/>
        </w:rPr>
        <w:t>Data Validation and Certification</w:t>
      </w:r>
    </w:p>
    <w:p w14:paraId="17A04EB0" w14:textId="7BF77D1E" w:rsidR="002C2C10" w:rsidRPr="00670467" w:rsidRDefault="002C2C10">
      <w:pPr>
        <w:rPr>
          <w:i/>
          <w:iCs/>
          <w:sz w:val="14"/>
          <w:szCs w:val="14"/>
        </w:rPr>
      </w:pPr>
    </w:p>
    <w:tbl>
      <w:tblPr>
        <w:tblStyle w:val="TableGrid"/>
        <w:tblW w:w="14400" w:type="dxa"/>
        <w:tblInd w:w="-725" w:type="dxa"/>
        <w:tblLook w:val="04A0" w:firstRow="1" w:lastRow="0" w:firstColumn="1" w:lastColumn="0" w:noHBand="0" w:noVBand="1"/>
      </w:tblPr>
      <w:tblGrid>
        <w:gridCol w:w="4140"/>
        <w:gridCol w:w="270"/>
        <w:gridCol w:w="270"/>
        <w:gridCol w:w="5040"/>
        <w:gridCol w:w="270"/>
        <w:gridCol w:w="270"/>
        <w:gridCol w:w="4140"/>
      </w:tblGrid>
      <w:tr w:rsidR="00CB722C" w14:paraId="79606FE8" w14:textId="4E9FADF2" w:rsidTr="00CB722C">
        <w:tc>
          <w:tcPr>
            <w:tcW w:w="4140" w:type="dxa"/>
            <w:tcBorders>
              <w:top w:val="nil"/>
              <w:left w:val="nil"/>
              <w:bottom w:val="single" w:sz="4" w:space="0" w:color="auto"/>
              <w:right w:val="nil"/>
            </w:tcBorders>
          </w:tcPr>
          <w:p w14:paraId="131A6719" w14:textId="60F9D047" w:rsidR="00CB722C" w:rsidRPr="007D0D58" w:rsidRDefault="00CB722C">
            <w:r w:rsidRPr="005036E1">
              <w:rPr>
                <w:rFonts w:cstheme="minorHAnsi"/>
                <w:b/>
                <w:sz w:val="20"/>
                <w:szCs w:val="20"/>
              </w:rPr>
              <w:t>Local Education Agency Name:</w:t>
            </w:r>
          </w:p>
        </w:tc>
        <w:tc>
          <w:tcPr>
            <w:tcW w:w="270" w:type="dxa"/>
            <w:tcBorders>
              <w:top w:val="nil"/>
              <w:left w:val="nil"/>
              <w:bottom w:val="nil"/>
              <w:right w:val="nil"/>
            </w:tcBorders>
          </w:tcPr>
          <w:p w14:paraId="76F1E0B4" w14:textId="0319E380" w:rsidR="00CB722C" w:rsidRPr="007D0D58" w:rsidRDefault="00CB722C"/>
        </w:tc>
        <w:tc>
          <w:tcPr>
            <w:tcW w:w="270" w:type="dxa"/>
            <w:tcBorders>
              <w:top w:val="nil"/>
              <w:left w:val="nil"/>
              <w:bottom w:val="nil"/>
              <w:right w:val="nil"/>
            </w:tcBorders>
          </w:tcPr>
          <w:p w14:paraId="323817C4" w14:textId="36829BDC" w:rsidR="00CB722C" w:rsidRPr="007D0D58" w:rsidRDefault="00CB722C">
            <w:pPr>
              <w:rPr>
                <w:rFonts w:cstheme="minorHAnsi"/>
                <w:b/>
              </w:rPr>
            </w:pPr>
            <w:r w:rsidRPr="007D0D58">
              <w:rPr>
                <w:rFonts w:cstheme="minorHAnsi"/>
                <w:b/>
              </w:rPr>
              <w:t xml:space="preserve">  </w:t>
            </w:r>
          </w:p>
        </w:tc>
        <w:tc>
          <w:tcPr>
            <w:tcW w:w="5040" w:type="dxa"/>
            <w:tcBorders>
              <w:top w:val="nil"/>
              <w:left w:val="nil"/>
              <w:bottom w:val="single" w:sz="4" w:space="0" w:color="auto"/>
              <w:right w:val="nil"/>
            </w:tcBorders>
          </w:tcPr>
          <w:p w14:paraId="38464331" w14:textId="7C5430D7" w:rsidR="00CB722C" w:rsidRPr="007D0D58" w:rsidRDefault="00CB722C">
            <w:r w:rsidRPr="005036E1">
              <w:rPr>
                <w:rFonts w:cstheme="minorHAnsi"/>
                <w:b/>
                <w:sz w:val="20"/>
                <w:szCs w:val="20"/>
              </w:rPr>
              <w:t>Special Education Director/Designee Name:</w:t>
            </w:r>
          </w:p>
        </w:tc>
        <w:tc>
          <w:tcPr>
            <w:tcW w:w="270" w:type="dxa"/>
            <w:tcBorders>
              <w:top w:val="nil"/>
              <w:left w:val="nil"/>
              <w:bottom w:val="nil"/>
              <w:right w:val="nil"/>
            </w:tcBorders>
          </w:tcPr>
          <w:p w14:paraId="7A8C748E" w14:textId="76D57E61" w:rsidR="00CB722C" w:rsidRPr="007D0D58" w:rsidRDefault="00CB722C" w:rsidP="007624B6">
            <w:pPr>
              <w:ind w:left="-375"/>
            </w:pPr>
          </w:p>
        </w:tc>
        <w:tc>
          <w:tcPr>
            <w:tcW w:w="270" w:type="dxa"/>
            <w:tcBorders>
              <w:top w:val="nil"/>
              <w:left w:val="nil"/>
              <w:bottom w:val="nil"/>
              <w:right w:val="nil"/>
            </w:tcBorders>
          </w:tcPr>
          <w:p w14:paraId="61EC966D" w14:textId="53BEE66E" w:rsidR="00CB722C" w:rsidRPr="007D0D58" w:rsidRDefault="00CB722C" w:rsidP="007624B6">
            <w:pPr>
              <w:ind w:left="-375"/>
            </w:pPr>
            <w:r>
              <w:t>R</w:t>
            </w:r>
          </w:p>
        </w:tc>
        <w:tc>
          <w:tcPr>
            <w:tcW w:w="4140" w:type="dxa"/>
            <w:tcBorders>
              <w:top w:val="nil"/>
              <w:left w:val="nil"/>
              <w:bottom w:val="single" w:sz="4" w:space="0" w:color="auto"/>
              <w:right w:val="nil"/>
            </w:tcBorders>
          </w:tcPr>
          <w:p w14:paraId="5EE0F52E" w14:textId="389584BD" w:rsidR="00CB722C" w:rsidRPr="00CB722C" w:rsidRDefault="00CB722C" w:rsidP="007624B6">
            <w:pPr>
              <w:ind w:left="-375"/>
              <w:rPr>
                <w:b/>
                <w:bCs/>
              </w:rPr>
            </w:pPr>
            <w:r w:rsidRPr="005036E1">
              <w:rPr>
                <w:b/>
                <w:bCs/>
                <w:sz w:val="20"/>
                <w:szCs w:val="20"/>
              </w:rPr>
              <w:t xml:space="preserve">Re   Reporting Period: </w:t>
            </w:r>
            <w:r w:rsidRPr="00CB722C">
              <w:rPr>
                <w:i/>
                <w:iCs/>
                <w:sz w:val="20"/>
                <w:szCs w:val="20"/>
              </w:rPr>
              <w:t>(40, 80, 120, EOY)</w:t>
            </w:r>
          </w:p>
        </w:tc>
      </w:tr>
      <w:tr w:rsidR="00CB722C" w14:paraId="1AE2677A" w14:textId="772ABE7F" w:rsidTr="00C058D3">
        <w:trPr>
          <w:trHeight w:val="125"/>
        </w:trPr>
        <w:tc>
          <w:tcPr>
            <w:tcW w:w="4140" w:type="dxa"/>
            <w:tcBorders>
              <w:bottom w:val="single" w:sz="4" w:space="0" w:color="auto"/>
            </w:tcBorders>
          </w:tcPr>
          <w:p w14:paraId="59132913" w14:textId="4DD0BF88" w:rsidR="00CB722C" w:rsidRPr="007D0D58" w:rsidRDefault="00CB722C">
            <w:pPr>
              <w:rPr>
                <w:rFonts w:cstheme="minorHAnsi"/>
                <w:b/>
              </w:rPr>
            </w:pPr>
          </w:p>
        </w:tc>
        <w:tc>
          <w:tcPr>
            <w:tcW w:w="270" w:type="dxa"/>
            <w:tcBorders>
              <w:top w:val="nil"/>
              <w:bottom w:val="nil"/>
              <w:right w:val="nil"/>
            </w:tcBorders>
          </w:tcPr>
          <w:p w14:paraId="4F1BB689" w14:textId="77777777" w:rsidR="00CB722C" w:rsidRPr="007D0D58" w:rsidRDefault="00CB722C"/>
        </w:tc>
        <w:tc>
          <w:tcPr>
            <w:tcW w:w="270" w:type="dxa"/>
            <w:tcBorders>
              <w:top w:val="nil"/>
              <w:left w:val="nil"/>
              <w:bottom w:val="nil"/>
            </w:tcBorders>
          </w:tcPr>
          <w:p w14:paraId="7536908A" w14:textId="77777777" w:rsidR="00CB722C" w:rsidRPr="007D0D58" w:rsidRDefault="00CB722C">
            <w:pPr>
              <w:rPr>
                <w:rFonts w:cstheme="minorHAnsi"/>
                <w:b/>
              </w:rPr>
            </w:pPr>
          </w:p>
        </w:tc>
        <w:tc>
          <w:tcPr>
            <w:tcW w:w="5040" w:type="dxa"/>
            <w:tcBorders>
              <w:bottom w:val="single" w:sz="4" w:space="0" w:color="auto"/>
            </w:tcBorders>
          </w:tcPr>
          <w:p w14:paraId="4953F81E" w14:textId="5AD4A91A" w:rsidR="00CB722C" w:rsidRPr="007D0D58" w:rsidRDefault="00CB722C">
            <w:pPr>
              <w:rPr>
                <w:rFonts w:cstheme="minorHAnsi"/>
                <w:b/>
              </w:rPr>
            </w:pPr>
          </w:p>
        </w:tc>
        <w:tc>
          <w:tcPr>
            <w:tcW w:w="270" w:type="dxa"/>
            <w:tcBorders>
              <w:top w:val="nil"/>
              <w:bottom w:val="nil"/>
              <w:right w:val="nil"/>
            </w:tcBorders>
          </w:tcPr>
          <w:p w14:paraId="356265A6" w14:textId="77777777" w:rsidR="00CB722C" w:rsidRPr="007D0D58" w:rsidRDefault="00CB722C" w:rsidP="007624B6">
            <w:pPr>
              <w:ind w:left="-375"/>
            </w:pPr>
          </w:p>
        </w:tc>
        <w:tc>
          <w:tcPr>
            <w:tcW w:w="270" w:type="dxa"/>
            <w:tcBorders>
              <w:top w:val="nil"/>
              <w:left w:val="nil"/>
              <w:bottom w:val="nil"/>
            </w:tcBorders>
          </w:tcPr>
          <w:p w14:paraId="4436B092" w14:textId="77777777" w:rsidR="00CB722C" w:rsidRPr="007D0D58" w:rsidRDefault="00CB722C" w:rsidP="007624B6">
            <w:pPr>
              <w:ind w:left="-375"/>
            </w:pPr>
          </w:p>
        </w:tc>
        <w:tc>
          <w:tcPr>
            <w:tcW w:w="4140" w:type="dxa"/>
            <w:tcBorders>
              <w:bottom w:val="single" w:sz="4" w:space="0" w:color="auto"/>
            </w:tcBorders>
          </w:tcPr>
          <w:p w14:paraId="3DDB17B5" w14:textId="23143F7F" w:rsidR="00CB722C" w:rsidRPr="007D0D58" w:rsidRDefault="00C058D3" w:rsidP="007624B6">
            <w:pPr>
              <w:ind w:left="-375"/>
            </w:pPr>
            <w:r>
              <w:t xml:space="preserve">        End of Year</w:t>
            </w:r>
          </w:p>
        </w:tc>
      </w:tr>
    </w:tbl>
    <w:p w14:paraId="08848A5E" w14:textId="26FC9465" w:rsidR="000E045E" w:rsidRPr="00CB722C" w:rsidRDefault="000E045E" w:rsidP="000E045E">
      <w:pPr>
        <w:rPr>
          <w:sz w:val="2"/>
          <w:szCs w:val="2"/>
        </w:rPr>
      </w:pPr>
    </w:p>
    <w:p w14:paraId="318F080A" w14:textId="75B9B9B4" w:rsidR="000E045E" w:rsidRPr="007D0D58" w:rsidRDefault="000E045E" w:rsidP="006A007A">
      <w:pPr>
        <w:spacing w:line="240" w:lineRule="auto"/>
        <w:ind w:left="-720" w:right="-810"/>
        <w:rPr>
          <w:i/>
          <w:iCs/>
          <w:sz w:val="20"/>
          <w:szCs w:val="20"/>
        </w:rPr>
      </w:pPr>
      <w:r w:rsidRPr="007D0D58">
        <w:rPr>
          <w:i/>
          <w:iCs/>
          <w:sz w:val="20"/>
          <w:szCs w:val="20"/>
        </w:rPr>
        <w:t xml:space="preserve">The Special Education Director or designee must review the data in the reports listed below and certify the data </w:t>
      </w:r>
      <w:r w:rsidR="00A83D47">
        <w:rPr>
          <w:i/>
          <w:iCs/>
          <w:sz w:val="20"/>
          <w:szCs w:val="20"/>
        </w:rPr>
        <w:t>is correct by initialing</w:t>
      </w:r>
      <w:r w:rsidRPr="007D0D58">
        <w:rPr>
          <w:i/>
          <w:iCs/>
          <w:sz w:val="20"/>
          <w:szCs w:val="20"/>
        </w:rPr>
        <w:t xml:space="preserve"> each report</w:t>
      </w:r>
      <w:r w:rsidR="00A83D47">
        <w:rPr>
          <w:i/>
          <w:iCs/>
          <w:sz w:val="20"/>
          <w:szCs w:val="20"/>
        </w:rPr>
        <w:t>.   If LEA has no data to report, “No Data” should be marked</w:t>
      </w:r>
      <w:r w:rsidR="00660665">
        <w:rPr>
          <w:i/>
          <w:iCs/>
          <w:sz w:val="20"/>
          <w:szCs w:val="20"/>
        </w:rPr>
        <w:t xml:space="preserve">, </w:t>
      </w:r>
      <w:r w:rsidR="00A83D47">
        <w:rPr>
          <w:i/>
          <w:iCs/>
          <w:sz w:val="20"/>
          <w:szCs w:val="20"/>
        </w:rPr>
        <w:t>the No Data Statement should be thoroughly read</w:t>
      </w:r>
      <w:r w:rsidR="00660665">
        <w:rPr>
          <w:i/>
          <w:iCs/>
          <w:sz w:val="20"/>
          <w:szCs w:val="20"/>
        </w:rPr>
        <w:t xml:space="preserve"> and initialed</w:t>
      </w:r>
      <w:r w:rsidR="00A83D47">
        <w:rPr>
          <w:i/>
          <w:iCs/>
          <w:sz w:val="20"/>
          <w:szCs w:val="20"/>
        </w:rPr>
        <w:t>.  A signature is required below.</w:t>
      </w:r>
    </w:p>
    <w:tbl>
      <w:tblPr>
        <w:tblStyle w:val="TableGrid"/>
        <w:tblW w:w="14405" w:type="dxa"/>
        <w:tblInd w:w="-730" w:type="dxa"/>
        <w:tblLayout w:type="fixed"/>
        <w:tblLook w:val="04A0" w:firstRow="1" w:lastRow="0" w:firstColumn="1" w:lastColumn="0" w:noHBand="0" w:noVBand="1"/>
      </w:tblPr>
      <w:tblGrid>
        <w:gridCol w:w="1170"/>
        <w:gridCol w:w="2795"/>
        <w:gridCol w:w="810"/>
        <w:gridCol w:w="180"/>
        <w:gridCol w:w="210"/>
        <w:gridCol w:w="719"/>
        <w:gridCol w:w="4381"/>
        <w:gridCol w:w="1030"/>
        <w:gridCol w:w="590"/>
        <w:gridCol w:w="121"/>
        <w:gridCol w:w="1409"/>
        <w:gridCol w:w="990"/>
      </w:tblGrid>
      <w:tr w:rsidR="00E44BA8" w14:paraId="53FE12BD" w14:textId="09207092" w:rsidTr="005036E1">
        <w:tc>
          <w:tcPr>
            <w:tcW w:w="3965" w:type="dxa"/>
            <w:gridSpan w:val="2"/>
            <w:shd w:val="clear" w:color="auto" w:fill="ACB9CA" w:themeFill="text2" w:themeFillTint="66"/>
          </w:tcPr>
          <w:p w14:paraId="1FC320F2" w14:textId="4C3C1FC3" w:rsidR="00E44BA8" w:rsidRPr="005E696E" w:rsidRDefault="00E44BA8">
            <w:pPr>
              <w:rPr>
                <w:rFonts w:ascii="Cambria" w:hAnsi="Cambria"/>
                <w:b/>
                <w:bCs/>
                <w:sz w:val="20"/>
                <w:szCs w:val="20"/>
              </w:rPr>
            </w:pPr>
            <w:r w:rsidRPr="005E696E">
              <w:rPr>
                <w:rFonts w:ascii="Cambria" w:hAnsi="Cambria"/>
                <w:b/>
                <w:bCs/>
                <w:sz w:val="20"/>
                <w:szCs w:val="20"/>
              </w:rPr>
              <w:t>Special Education Reports</w:t>
            </w:r>
          </w:p>
        </w:tc>
        <w:tc>
          <w:tcPr>
            <w:tcW w:w="990" w:type="dxa"/>
            <w:gridSpan w:val="2"/>
            <w:shd w:val="clear" w:color="auto" w:fill="ACB9CA" w:themeFill="text2" w:themeFillTint="66"/>
          </w:tcPr>
          <w:p w14:paraId="7F680112" w14:textId="7E7E6DA5" w:rsidR="00E44BA8" w:rsidRPr="005E696E" w:rsidRDefault="00E44BA8" w:rsidP="00B13612">
            <w:pPr>
              <w:jc w:val="center"/>
              <w:rPr>
                <w:rFonts w:ascii="Cambria" w:hAnsi="Cambria"/>
                <w:b/>
                <w:bCs/>
                <w:sz w:val="20"/>
                <w:szCs w:val="20"/>
              </w:rPr>
            </w:pPr>
            <w:r w:rsidRPr="005E696E">
              <w:rPr>
                <w:rFonts w:ascii="Cambria" w:hAnsi="Cambria"/>
                <w:b/>
                <w:bCs/>
                <w:sz w:val="20"/>
                <w:szCs w:val="20"/>
              </w:rPr>
              <w:t>No Data</w:t>
            </w:r>
            <w:r w:rsidR="00C058D3">
              <w:rPr>
                <w:rFonts w:ascii="Cambria" w:hAnsi="Cambria"/>
                <w:b/>
                <w:bCs/>
                <w:sz w:val="20"/>
                <w:szCs w:val="20"/>
              </w:rPr>
              <w:t xml:space="preserve"> </w:t>
            </w:r>
            <w:r w:rsidR="00C058D3" w:rsidRPr="00C058D3">
              <w:rPr>
                <w:rFonts w:ascii="Cambria" w:hAnsi="Cambria"/>
                <w:i/>
                <w:iCs/>
                <w:sz w:val="16"/>
                <w:szCs w:val="16"/>
              </w:rPr>
              <w:t>Mark only if have no data</w:t>
            </w:r>
          </w:p>
        </w:tc>
        <w:tc>
          <w:tcPr>
            <w:tcW w:w="6930" w:type="dxa"/>
            <w:gridSpan w:val="5"/>
            <w:tcBorders>
              <w:bottom w:val="single" w:sz="4" w:space="0" w:color="auto"/>
            </w:tcBorders>
            <w:shd w:val="clear" w:color="auto" w:fill="ACB9CA" w:themeFill="text2" w:themeFillTint="66"/>
          </w:tcPr>
          <w:p w14:paraId="348FCA5D" w14:textId="2DD9A482" w:rsidR="00E44BA8" w:rsidRPr="005E696E" w:rsidRDefault="00E44BA8">
            <w:pPr>
              <w:rPr>
                <w:rFonts w:ascii="Cambria" w:hAnsi="Cambria"/>
                <w:b/>
                <w:bCs/>
                <w:sz w:val="20"/>
                <w:szCs w:val="20"/>
              </w:rPr>
            </w:pPr>
            <w:r w:rsidRPr="005E696E">
              <w:rPr>
                <w:rFonts w:ascii="Cambria" w:hAnsi="Cambria"/>
                <w:b/>
                <w:bCs/>
                <w:sz w:val="20"/>
                <w:szCs w:val="20"/>
              </w:rPr>
              <w:t>No Data Statement</w:t>
            </w:r>
          </w:p>
        </w:tc>
        <w:tc>
          <w:tcPr>
            <w:tcW w:w="1530" w:type="dxa"/>
            <w:gridSpan w:val="2"/>
            <w:shd w:val="clear" w:color="auto" w:fill="ACB9CA" w:themeFill="text2" w:themeFillTint="66"/>
          </w:tcPr>
          <w:p w14:paraId="0C8F9F39" w14:textId="77777777" w:rsidR="00C058D3" w:rsidRDefault="00E44BA8">
            <w:pPr>
              <w:rPr>
                <w:rFonts w:ascii="Cambria" w:hAnsi="Cambria"/>
                <w:b/>
                <w:bCs/>
                <w:sz w:val="20"/>
                <w:szCs w:val="20"/>
              </w:rPr>
            </w:pPr>
            <w:r>
              <w:rPr>
                <w:rFonts w:ascii="Cambria" w:hAnsi="Cambria"/>
                <w:b/>
                <w:bCs/>
                <w:sz w:val="20"/>
                <w:szCs w:val="20"/>
              </w:rPr>
              <w:t>Data Reviewed?</w:t>
            </w:r>
            <w:r w:rsidR="00CB722C">
              <w:rPr>
                <w:rFonts w:ascii="Cambria" w:hAnsi="Cambria"/>
                <w:b/>
                <w:bCs/>
                <w:sz w:val="20"/>
                <w:szCs w:val="20"/>
              </w:rPr>
              <w:t xml:space="preserve"> </w:t>
            </w:r>
          </w:p>
          <w:p w14:paraId="769EDEE4" w14:textId="53415611" w:rsidR="00E44BA8" w:rsidRPr="005E696E" w:rsidRDefault="00E44BA8">
            <w:pPr>
              <w:rPr>
                <w:rFonts w:ascii="Cambria" w:hAnsi="Cambria"/>
                <w:b/>
                <w:bCs/>
                <w:sz w:val="20"/>
                <w:szCs w:val="20"/>
              </w:rPr>
            </w:pPr>
            <w:r w:rsidRPr="00CB722C">
              <w:rPr>
                <w:rFonts w:ascii="Cambria" w:hAnsi="Cambria"/>
                <w:i/>
                <w:iCs/>
                <w:sz w:val="16"/>
                <w:szCs w:val="16"/>
              </w:rPr>
              <w:t>Y/N</w:t>
            </w:r>
          </w:p>
        </w:tc>
        <w:tc>
          <w:tcPr>
            <w:tcW w:w="990" w:type="dxa"/>
            <w:shd w:val="clear" w:color="auto" w:fill="ACB9CA" w:themeFill="text2" w:themeFillTint="66"/>
          </w:tcPr>
          <w:p w14:paraId="3C8B5899" w14:textId="3BF4D710" w:rsidR="00E44BA8" w:rsidRPr="005E696E" w:rsidRDefault="00E44BA8">
            <w:pPr>
              <w:rPr>
                <w:rFonts w:ascii="Cambria" w:hAnsi="Cambria"/>
                <w:b/>
                <w:bCs/>
                <w:sz w:val="20"/>
                <w:szCs w:val="20"/>
              </w:rPr>
            </w:pPr>
            <w:r w:rsidRPr="005E696E">
              <w:rPr>
                <w:rFonts w:ascii="Cambria" w:hAnsi="Cambria"/>
                <w:b/>
                <w:bCs/>
                <w:sz w:val="20"/>
                <w:szCs w:val="20"/>
              </w:rPr>
              <w:t>Initials</w:t>
            </w:r>
          </w:p>
        </w:tc>
      </w:tr>
      <w:tr w:rsidR="00E44BA8" w14:paraId="16ACD3ED" w14:textId="48D2AAF7" w:rsidTr="005036E1">
        <w:tc>
          <w:tcPr>
            <w:tcW w:w="3965" w:type="dxa"/>
            <w:gridSpan w:val="2"/>
          </w:tcPr>
          <w:p w14:paraId="08CCEE02" w14:textId="6527D678" w:rsidR="00E44BA8" w:rsidRPr="00670467" w:rsidRDefault="00E44BA8">
            <w:pPr>
              <w:rPr>
                <w:rFonts w:cstheme="minorHAnsi"/>
                <w:b/>
                <w:bCs/>
                <w:color w:val="44546A" w:themeColor="text2"/>
                <w:sz w:val="18"/>
                <w:szCs w:val="18"/>
              </w:rPr>
            </w:pPr>
            <w:r w:rsidRPr="00670467">
              <w:rPr>
                <w:rFonts w:cstheme="minorHAnsi"/>
                <w:b/>
                <w:bCs/>
                <w:color w:val="44546A" w:themeColor="text2"/>
                <w:sz w:val="18"/>
                <w:szCs w:val="18"/>
              </w:rPr>
              <w:t>Special Education Profile</w:t>
            </w:r>
          </w:p>
        </w:tc>
        <w:tc>
          <w:tcPr>
            <w:tcW w:w="990" w:type="dxa"/>
            <w:gridSpan w:val="2"/>
          </w:tcPr>
          <w:p w14:paraId="0FD91950" w14:textId="77777777" w:rsidR="00E44BA8" w:rsidRDefault="00E44BA8"/>
        </w:tc>
        <w:tc>
          <w:tcPr>
            <w:tcW w:w="6930" w:type="dxa"/>
            <w:gridSpan w:val="5"/>
            <w:shd w:val="clear" w:color="auto" w:fill="auto"/>
          </w:tcPr>
          <w:p w14:paraId="0DB26DD9" w14:textId="4A1B8943" w:rsidR="00E44BA8" w:rsidRPr="006A007A" w:rsidRDefault="00E44BA8">
            <w:pPr>
              <w:rPr>
                <w:sz w:val="18"/>
                <w:szCs w:val="18"/>
              </w:rPr>
            </w:pPr>
            <w:r w:rsidRPr="006A007A">
              <w:rPr>
                <w:sz w:val="18"/>
                <w:szCs w:val="18"/>
              </w:rPr>
              <w:t>LEA has no data to report</w:t>
            </w:r>
            <w:r>
              <w:rPr>
                <w:sz w:val="18"/>
                <w:szCs w:val="18"/>
              </w:rPr>
              <w:t xml:space="preserve"> this reporting period</w:t>
            </w:r>
            <w:r w:rsidRPr="006A007A">
              <w:rPr>
                <w:sz w:val="18"/>
                <w:szCs w:val="18"/>
              </w:rPr>
              <w:t xml:space="preserve"> but is aware of the obligation to report timely, valid, and reliable data.</w:t>
            </w:r>
          </w:p>
        </w:tc>
        <w:tc>
          <w:tcPr>
            <w:tcW w:w="1530" w:type="dxa"/>
            <w:gridSpan w:val="2"/>
          </w:tcPr>
          <w:p w14:paraId="076C11BB" w14:textId="77777777" w:rsidR="00E44BA8" w:rsidRDefault="00E44BA8"/>
        </w:tc>
        <w:tc>
          <w:tcPr>
            <w:tcW w:w="990" w:type="dxa"/>
          </w:tcPr>
          <w:p w14:paraId="54F5A736" w14:textId="77777777" w:rsidR="00E44BA8" w:rsidRDefault="00E44BA8"/>
        </w:tc>
      </w:tr>
      <w:tr w:rsidR="00E44BA8" w14:paraId="45997CB2" w14:textId="11615E36" w:rsidTr="005036E1">
        <w:tc>
          <w:tcPr>
            <w:tcW w:w="3965" w:type="dxa"/>
            <w:gridSpan w:val="2"/>
          </w:tcPr>
          <w:p w14:paraId="1D074A79" w14:textId="302F437D" w:rsidR="00E44BA8" w:rsidRPr="00670467" w:rsidRDefault="00E44BA8">
            <w:pPr>
              <w:rPr>
                <w:rFonts w:cstheme="minorHAnsi"/>
                <w:b/>
                <w:bCs/>
                <w:color w:val="44546A" w:themeColor="text2"/>
                <w:sz w:val="18"/>
                <w:szCs w:val="18"/>
              </w:rPr>
            </w:pPr>
            <w:r w:rsidRPr="00670467">
              <w:rPr>
                <w:rFonts w:cstheme="minorHAnsi"/>
                <w:b/>
                <w:bCs/>
                <w:color w:val="44546A" w:themeColor="text2"/>
                <w:sz w:val="18"/>
                <w:szCs w:val="18"/>
              </w:rPr>
              <w:t>SPP Indicator 7 Preschool Outcomes Report</w:t>
            </w:r>
          </w:p>
        </w:tc>
        <w:tc>
          <w:tcPr>
            <w:tcW w:w="990" w:type="dxa"/>
            <w:gridSpan w:val="2"/>
          </w:tcPr>
          <w:p w14:paraId="5C871766" w14:textId="77777777" w:rsidR="00E44BA8" w:rsidRDefault="00E44BA8"/>
        </w:tc>
        <w:tc>
          <w:tcPr>
            <w:tcW w:w="6930" w:type="dxa"/>
            <w:gridSpan w:val="5"/>
          </w:tcPr>
          <w:p w14:paraId="0FE4047D" w14:textId="1D6DAF7A" w:rsidR="00E44BA8" w:rsidRPr="00B13612" w:rsidRDefault="00E44BA8">
            <w:pPr>
              <w:rPr>
                <w:sz w:val="18"/>
                <w:szCs w:val="18"/>
              </w:rPr>
            </w:pPr>
            <w:r w:rsidRPr="00B13612">
              <w:rPr>
                <w:sz w:val="18"/>
                <w:szCs w:val="18"/>
              </w:rPr>
              <w:t>LEA has no data to report this reporting period but is aware of the obligation to complete Early Childhood Outcomes in the event a preschool student with disabilities en</w:t>
            </w:r>
            <w:r>
              <w:rPr>
                <w:sz w:val="18"/>
                <w:szCs w:val="18"/>
              </w:rPr>
              <w:t xml:space="preserve">ters </w:t>
            </w:r>
            <w:r w:rsidRPr="00B13612">
              <w:rPr>
                <w:sz w:val="18"/>
                <w:szCs w:val="18"/>
              </w:rPr>
              <w:t>the LEA.</w:t>
            </w:r>
          </w:p>
        </w:tc>
        <w:tc>
          <w:tcPr>
            <w:tcW w:w="1530" w:type="dxa"/>
            <w:gridSpan w:val="2"/>
          </w:tcPr>
          <w:p w14:paraId="56845FFB" w14:textId="77777777" w:rsidR="00E44BA8" w:rsidRDefault="00E44BA8"/>
        </w:tc>
        <w:tc>
          <w:tcPr>
            <w:tcW w:w="990" w:type="dxa"/>
          </w:tcPr>
          <w:p w14:paraId="5F680266" w14:textId="77777777" w:rsidR="00E44BA8" w:rsidRDefault="00E44BA8"/>
        </w:tc>
      </w:tr>
      <w:tr w:rsidR="00E44BA8" w14:paraId="352B7F82" w14:textId="3430F984" w:rsidTr="005036E1">
        <w:tc>
          <w:tcPr>
            <w:tcW w:w="3965" w:type="dxa"/>
            <w:gridSpan w:val="2"/>
          </w:tcPr>
          <w:p w14:paraId="2C518DEF" w14:textId="355EF941" w:rsidR="00E44BA8" w:rsidRPr="00670467" w:rsidRDefault="00E44BA8">
            <w:pPr>
              <w:rPr>
                <w:rFonts w:cstheme="minorHAnsi"/>
                <w:b/>
                <w:bCs/>
                <w:color w:val="44546A" w:themeColor="text2"/>
                <w:sz w:val="18"/>
                <w:szCs w:val="18"/>
              </w:rPr>
            </w:pPr>
            <w:r w:rsidRPr="00670467">
              <w:rPr>
                <w:rFonts w:cstheme="minorHAnsi"/>
                <w:b/>
                <w:bCs/>
                <w:color w:val="44546A" w:themeColor="text2"/>
                <w:sz w:val="18"/>
                <w:szCs w:val="18"/>
              </w:rPr>
              <w:t>SPP Indicator 11 Parental Consent 60 Day Timeline Report</w:t>
            </w:r>
          </w:p>
        </w:tc>
        <w:tc>
          <w:tcPr>
            <w:tcW w:w="990" w:type="dxa"/>
            <w:gridSpan w:val="2"/>
          </w:tcPr>
          <w:p w14:paraId="715DC3C0" w14:textId="77777777" w:rsidR="00E44BA8" w:rsidRDefault="00E44BA8"/>
        </w:tc>
        <w:tc>
          <w:tcPr>
            <w:tcW w:w="6930" w:type="dxa"/>
            <w:gridSpan w:val="5"/>
          </w:tcPr>
          <w:p w14:paraId="6CA1135E" w14:textId="13F19086" w:rsidR="00E44BA8" w:rsidRPr="007624B6" w:rsidRDefault="00E44BA8">
            <w:pPr>
              <w:rPr>
                <w:rFonts w:cstheme="minorHAnsi"/>
                <w:sz w:val="18"/>
                <w:szCs w:val="18"/>
              </w:rPr>
            </w:pPr>
            <w:r w:rsidRPr="007624B6">
              <w:rPr>
                <w:rFonts w:cstheme="minorHAnsi"/>
                <w:sz w:val="18"/>
                <w:szCs w:val="18"/>
              </w:rPr>
              <w:t>LEA has no data to report this reporting period but is aware Child</w:t>
            </w:r>
            <w:r w:rsidRPr="007624B6">
              <w:rPr>
                <w:rFonts w:cstheme="minorHAnsi"/>
                <w:color w:val="1F4E79"/>
                <w:sz w:val="18"/>
                <w:szCs w:val="18"/>
              </w:rPr>
              <w:t xml:space="preserve"> </w:t>
            </w:r>
            <w:r w:rsidRPr="007624B6">
              <w:rPr>
                <w:rFonts w:cstheme="minorHAnsi"/>
                <w:sz w:val="18"/>
                <w:szCs w:val="18"/>
              </w:rPr>
              <w:t xml:space="preserve">Find is the affirmative, ongoing obligation of LEAs to identify, locate, and evaluate all children with disabilities residing within the jurisdiction who need special education and related services. 34 C.F.R. § 300.111; 6.31.2.10(A) NMAC. This obligation exists for all LEAs regardless of ages of students or grade levels that a school serves. </w:t>
            </w:r>
            <w:r w:rsidRPr="007624B6">
              <w:rPr>
                <w:rFonts w:cstheme="minorHAnsi"/>
                <w:i/>
                <w:iCs/>
                <w:sz w:val="18"/>
                <w:szCs w:val="18"/>
              </w:rPr>
              <w:t xml:space="preserve">See </w:t>
            </w:r>
            <w:r w:rsidRPr="007624B6">
              <w:rPr>
                <w:rFonts w:cstheme="minorHAnsi"/>
                <w:sz w:val="18"/>
                <w:szCs w:val="18"/>
              </w:rPr>
              <w:t xml:space="preserve">6.31.2.7(A)(2) NMAC (defining “child with a disability” as a child that is age three through 21 or who will turn age three at any time during the school year). A state-chartered charter school’s child find obligation is limited to all children enrolled in the charter school. 6.31.2.11(I)(3) NMAC. All LEAs must input all student data related to Indicator 11. </w:t>
            </w:r>
            <w:r w:rsidRPr="007624B6">
              <w:rPr>
                <w:rFonts w:cstheme="minorHAnsi"/>
                <w:i/>
                <w:iCs/>
                <w:sz w:val="18"/>
                <w:szCs w:val="18"/>
              </w:rPr>
              <w:t xml:space="preserve">See </w:t>
            </w:r>
            <w:r w:rsidRPr="007624B6">
              <w:rPr>
                <w:rFonts w:cstheme="minorHAnsi"/>
                <w:sz w:val="18"/>
                <w:szCs w:val="18"/>
              </w:rPr>
              <w:t>34 C.F.R. § 300.211.</w:t>
            </w:r>
          </w:p>
        </w:tc>
        <w:tc>
          <w:tcPr>
            <w:tcW w:w="1530" w:type="dxa"/>
            <w:gridSpan w:val="2"/>
          </w:tcPr>
          <w:p w14:paraId="0635064A" w14:textId="77777777" w:rsidR="00E44BA8" w:rsidRDefault="00E44BA8"/>
        </w:tc>
        <w:tc>
          <w:tcPr>
            <w:tcW w:w="990" w:type="dxa"/>
          </w:tcPr>
          <w:p w14:paraId="55E11D76" w14:textId="77777777" w:rsidR="00E44BA8" w:rsidRDefault="00E44BA8"/>
        </w:tc>
      </w:tr>
      <w:tr w:rsidR="00E44BA8" w14:paraId="281C6B67" w14:textId="38340FE9" w:rsidTr="005036E1">
        <w:tc>
          <w:tcPr>
            <w:tcW w:w="3965" w:type="dxa"/>
            <w:gridSpan w:val="2"/>
          </w:tcPr>
          <w:p w14:paraId="60C76149" w14:textId="435027B3" w:rsidR="00E44BA8" w:rsidRPr="00670467" w:rsidRDefault="00E44BA8">
            <w:pPr>
              <w:rPr>
                <w:rFonts w:cstheme="minorHAnsi"/>
                <w:b/>
                <w:bCs/>
                <w:color w:val="44546A" w:themeColor="text2"/>
                <w:sz w:val="18"/>
                <w:szCs w:val="18"/>
              </w:rPr>
            </w:pPr>
            <w:r w:rsidRPr="00670467">
              <w:rPr>
                <w:rFonts w:cstheme="minorHAnsi"/>
                <w:b/>
                <w:bCs/>
                <w:color w:val="44546A" w:themeColor="text2"/>
                <w:sz w:val="18"/>
                <w:szCs w:val="18"/>
              </w:rPr>
              <w:t>SPP Indicator 12 Early Childhood Part C to B Transition Summary Report</w:t>
            </w:r>
          </w:p>
        </w:tc>
        <w:tc>
          <w:tcPr>
            <w:tcW w:w="990" w:type="dxa"/>
            <w:gridSpan w:val="2"/>
          </w:tcPr>
          <w:p w14:paraId="67439E4A" w14:textId="77777777" w:rsidR="00E44BA8" w:rsidRDefault="00E44BA8"/>
        </w:tc>
        <w:tc>
          <w:tcPr>
            <w:tcW w:w="6930" w:type="dxa"/>
            <w:gridSpan w:val="5"/>
            <w:tcBorders>
              <w:bottom w:val="single" w:sz="4" w:space="0" w:color="auto"/>
            </w:tcBorders>
          </w:tcPr>
          <w:p w14:paraId="59D42CF7" w14:textId="354216CF" w:rsidR="00E44BA8" w:rsidRPr="007624B6" w:rsidRDefault="00E44BA8">
            <w:pPr>
              <w:rPr>
                <w:rFonts w:cstheme="minorHAnsi"/>
                <w:sz w:val="18"/>
                <w:szCs w:val="18"/>
              </w:rPr>
            </w:pPr>
            <w:r w:rsidRPr="007624B6">
              <w:rPr>
                <w:rFonts w:cstheme="minorHAnsi"/>
                <w:sz w:val="18"/>
                <w:szCs w:val="18"/>
              </w:rPr>
              <w:t>LEA has no data to report this reporting period but is aware of the obligation to ensure that students referred from a Part C program to Part B must have an evaluation completed to determine if the student is a student with a disability that requires specialized instruction (special education and related services) AND if the student is identified as such, has an IEP developed and implemented by the student’s third birthday.</w:t>
            </w:r>
          </w:p>
        </w:tc>
        <w:tc>
          <w:tcPr>
            <w:tcW w:w="1530" w:type="dxa"/>
            <w:gridSpan w:val="2"/>
          </w:tcPr>
          <w:p w14:paraId="7C5CF57A" w14:textId="77777777" w:rsidR="00E44BA8" w:rsidRDefault="00E44BA8"/>
        </w:tc>
        <w:tc>
          <w:tcPr>
            <w:tcW w:w="990" w:type="dxa"/>
          </w:tcPr>
          <w:p w14:paraId="40532188" w14:textId="77777777" w:rsidR="00E44BA8" w:rsidRDefault="00E44BA8"/>
        </w:tc>
      </w:tr>
      <w:tr w:rsidR="00E44BA8" w14:paraId="48463C87" w14:textId="503A279C" w:rsidTr="005036E1">
        <w:tc>
          <w:tcPr>
            <w:tcW w:w="3965" w:type="dxa"/>
            <w:gridSpan w:val="2"/>
          </w:tcPr>
          <w:p w14:paraId="6551252F" w14:textId="3ADBA407" w:rsidR="00E44BA8" w:rsidRPr="00670467" w:rsidRDefault="00E44BA8">
            <w:pPr>
              <w:rPr>
                <w:rFonts w:cstheme="minorHAnsi"/>
                <w:b/>
                <w:bCs/>
                <w:color w:val="44546A" w:themeColor="text2"/>
                <w:sz w:val="18"/>
                <w:szCs w:val="18"/>
              </w:rPr>
            </w:pPr>
            <w:r w:rsidRPr="00670467">
              <w:rPr>
                <w:rFonts w:cstheme="minorHAnsi"/>
                <w:b/>
                <w:bCs/>
                <w:color w:val="44546A" w:themeColor="text2"/>
                <w:sz w:val="18"/>
                <w:szCs w:val="18"/>
              </w:rPr>
              <w:t>Special Education Student ID Duplicates</w:t>
            </w:r>
          </w:p>
        </w:tc>
        <w:tc>
          <w:tcPr>
            <w:tcW w:w="990" w:type="dxa"/>
            <w:gridSpan w:val="2"/>
          </w:tcPr>
          <w:p w14:paraId="7763BC93" w14:textId="77777777" w:rsidR="00E44BA8" w:rsidRDefault="00E44BA8"/>
        </w:tc>
        <w:tc>
          <w:tcPr>
            <w:tcW w:w="6930" w:type="dxa"/>
            <w:gridSpan w:val="5"/>
            <w:shd w:val="clear" w:color="auto" w:fill="auto"/>
          </w:tcPr>
          <w:p w14:paraId="62B90C5D" w14:textId="10F150BC" w:rsidR="00E44BA8" w:rsidRDefault="00E44BA8">
            <w:r w:rsidRPr="006A007A">
              <w:rPr>
                <w:sz w:val="18"/>
                <w:szCs w:val="18"/>
              </w:rPr>
              <w:t>LEA has no data to report</w:t>
            </w:r>
            <w:r>
              <w:rPr>
                <w:sz w:val="18"/>
                <w:szCs w:val="18"/>
              </w:rPr>
              <w:t xml:space="preserve"> this reporting period</w:t>
            </w:r>
            <w:r w:rsidRPr="006A007A">
              <w:rPr>
                <w:sz w:val="18"/>
                <w:szCs w:val="18"/>
              </w:rPr>
              <w:t xml:space="preserve"> but is aware of the obligation to report timely, valid, and reliable data.</w:t>
            </w:r>
          </w:p>
        </w:tc>
        <w:tc>
          <w:tcPr>
            <w:tcW w:w="1530" w:type="dxa"/>
            <w:gridSpan w:val="2"/>
          </w:tcPr>
          <w:p w14:paraId="2787B3FB" w14:textId="77777777" w:rsidR="00E44BA8" w:rsidRDefault="00E44BA8"/>
        </w:tc>
        <w:tc>
          <w:tcPr>
            <w:tcW w:w="990" w:type="dxa"/>
          </w:tcPr>
          <w:p w14:paraId="620E7744" w14:textId="77777777" w:rsidR="00E44BA8" w:rsidRDefault="00E44BA8"/>
        </w:tc>
      </w:tr>
      <w:tr w:rsidR="00E44BA8" w14:paraId="05CF87B1" w14:textId="6002659C" w:rsidTr="005036E1">
        <w:tc>
          <w:tcPr>
            <w:tcW w:w="3965" w:type="dxa"/>
            <w:gridSpan w:val="2"/>
          </w:tcPr>
          <w:p w14:paraId="498CDAE3" w14:textId="766869D4" w:rsidR="00E44BA8" w:rsidRPr="00670467" w:rsidRDefault="00E44BA8">
            <w:pPr>
              <w:rPr>
                <w:rFonts w:cstheme="minorHAnsi"/>
                <w:b/>
                <w:bCs/>
                <w:color w:val="44546A" w:themeColor="text2"/>
                <w:sz w:val="18"/>
                <w:szCs w:val="18"/>
              </w:rPr>
            </w:pPr>
            <w:r w:rsidRPr="00670467">
              <w:rPr>
                <w:rFonts w:cstheme="minorHAnsi"/>
                <w:b/>
                <w:bCs/>
                <w:color w:val="44546A" w:themeColor="text2"/>
                <w:sz w:val="18"/>
                <w:szCs w:val="18"/>
              </w:rPr>
              <w:t>Special Ed Exit Errors</w:t>
            </w:r>
          </w:p>
        </w:tc>
        <w:tc>
          <w:tcPr>
            <w:tcW w:w="990" w:type="dxa"/>
            <w:gridSpan w:val="2"/>
          </w:tcPr>
          <w:p w14:paraId="400B1FCB" w14:textId="77777777" w:rsidR="00E44BA8" w:rsidRDefault="00E44BA8"/>
        </w:tc>
        <w:tc>
          <w:tcPr>
            <w:tcW w:w="6930" w:type="dxa"/>
            <w:gridSpan w:val="5"/>
            <w:shd w:val="clear" w:color="auto" w:fill="auto"/>
          </w:tcPr>
          <w:p w14:paraId="07C74428" w14:textId="14B2FADD" w:rsidR="00E44BA8" w:rsidRDefault="00E44BA8">
            <w:r w:rsidRPr="006A007A">
              <w:rPr>
                <w:sz w:val="18"/>
                <w:szCs w:val="18"/>
              </w:rPr>
              <w:t>LEA has no data to report</w:t>
            </w:r>
            <w:r>
              <w:rPr>
                <w:sz w:val="18"/>
                <w:szCs w:val="18"/>
              </w:rPr>
              <w:t xml:space="preserve"> this reporting period</w:t>
            </w:r>
            <w:r w:rsidRPr="006A007A">
              <w:rPr>
                <w:sz w:val="18"/>
                <w:szCs w:val="18"/>
              </w:rPr>
              <w:t xml:space="preserve"> but is aware of the obligation to report timely, valid, and reliable data.</w:t>
            </w:r>
          </w:p>
        </w:tc>
        <w:tc>
          <w:tcPr>
            <w:tcW w:w="1530" w:type="dxa"/>
            <w:gridSpan w:val="2"/>
          </w:tcPr>
          <w:p w14:paraId="3F9A1F88" w14:textId="77777777" w:rsidR="00E44BA8" w:rsidRDefault="00E44BA8"/>
        </w:tc>
        <w:tc>
          <w:tcPr>
            <w:tcW w:w="990" w:type="dxa"/>
          </w:tcPr>
          <w:p w14:paraId="5700FFD1" w14:textId="77777777" w:rsidR="00E44BA8" w:rsidRDefault="00E44BA8"/>
        </w:tc>
      </w:tr>
      <w:tr w:rsidR="00E44BA8" w14:paraId="1C5BEC0D" w14:textId="7FF2141B" w:rsidTr="005036E1">
        <w:tc>
          <w:tcPr>
            <w:tcW w:w="3965" w:type="dxa"/>
            <w:gridSpan w:val="2"/>
          </w:tcPr>
          <w:p w14:paraId="5BF0307D" w14:textId="545EF7E2" w:rsidR="00E44BA8" w:rsidRPr="00670467" w:rsidRDefault="00E44BA8" w:rsidP="00421F76">
            <w:pPr>
              <w:rPr>
                <w:rFonts w:cstheme="minorHAnsi"/>
                <w:b/>
                <w:bCs/>
                <w:color w:val="44546A" w:themeColor="text2"/>
                <w:sz w:val="18"/>
                <w:szCs w:val="18"/>
              </w:rPr>
            </w:pPr>
            <w:r w:rsidRPr="00670467">
              <w:rPr>
                <w:rFonts w:cstheme="minorHAnsi"/>
                <w:b/>
                <w:bCs/>
                <w:color w:val="44546A" w:themeColor="text2"/>
                <w:sz w:val="18"/>
                <w:szCs w:val="18"/>
              </w:rPr>
              <w:t>Child Count Location Errors</w:t>
            </w:r>
          </w:p>
        </w:tc>
        <w:tc>
          <w:tcPr>
            <w:tcW w:w="990" w:type="dxa"/>
            <w:gridSpan w:val="2"/>
          </w:tcPr>
          <w:p w14:paraId="7AC41AA0" w14:textId="77777777" w:rsidR="00E44BA8" w:rsidRDefault="00E44BA8"/>
        </w:tc>
        <w:tc>
          <w:tcPr>
            <w:tcW w:w="6930" w:type="dxa"/>
            <w:gridSpan w:val="5"/>
            <w:shd w:val="clear" w:color="auto" w:fill="auto"/>
          </w:tcPr>
          <w:p w14:paraId="503E765E" w14:textId="34C73527" w:rsidR="00E44BA8" w:rsidRDefault="00E44BA8">
            <w:r w:rsidRPr="006A007A">
              <w:rPr>
                <w:sz w:val="18"/>
                <w:szCs w:val="18"/>
              </w:rPr>
              <w:t>LEA has no data to report</w:t>
            </w:r>
            <w:r>
              <w:rPr>
                <w:sz w:val="18"/>
                <w:szCs w:val="18"/>
              </w:rPr>
              <w:t xml:space="preserve"> this reporting period</w:t>
            </w:r>
            <w:r w:rsidRPr="006A007A">
              <w:rPr>
                <w:sz w:val="18"/>
                <w:szCs w:val="18"/>
              </w:rPr>
              <w:t xml:space="preserve"> but is aware of the obligation to report timely, valid, and reliable data.</w:t>
            </w:r>
          </w:p>
        </w:tc>
        <w:tc>
          <w:tcPr>
            <w:tcW w:w="1530" w:type="dxa"/>
            <w:gridSpan w:val="2"/>
          </w:tcPr>
          <w:p w14:paraId="074FD2F0" w14:textId="77777777" w:rsidR="00E44BA8" w:rsidRDefault="00E44BA8"/>
        </w:tc>
        <w:tc>
          <w:tcPr>
            <w:tcW w:w="990" w:type="dxa"/>
          </w:tcPr>
          <w:p w14:paraId="04FA46A6" w14:textId="77777777" w:rsidR="00E44BA8" w:rsidRDefault="00E44BA8"/>
        </w:tc>
      </w:tr>
      <w:tr w:rsidR="00A553B8" w14:paraId="05361192" w14:textId="10750515" w:rsidTr="005036E1">
        <w:tc>
          <w:tcPr>
            <w:tcW w:w="3965" w:type="dxa"/>
            <w:gridSpan w:val="2"/>
            <w:shd w:val="clear" w:color="auto" w:fill="ACB9CA" w:themeFill="text2" w:themeFillTint="66"/>
          </w:tcPr>
          <w:p w14:paraId="0F68790A" w14:textId="3D16475C" w:rsidR="00A553B8" w:rsidRPr="005E696E" w:rsidRDefault="00A553B8" w:rsidP="00A553B8">
            <w:pPr>
              <w:rPr>
                <w:rFonts w:ascii="Cambria" w:hAnsi="Cambria"/>
                <w:b/>
                <w:bCs/>
                <w:sz w:val="20"/>
                <w:szCs w:val="20"/>
              </w:rPr>
            </w:pPr>
            <w:r w:rsidRPr="005E696E">
              <w:rPr>
                <w:rFonts w:ascii="Cambria" w:hAnsi="Cambria"/>
                <w:b/>
                <w:bCs/>
                <w:sz w:val="20"/>
                <w:szCs w:val="20"/>
              </w:rPr>
              <w:t>Discipline</w:t>
            </w:r>
            <w:r>
              <w:rPr>
                <w:rFonts w:ascii="Cambria" w:hAnsi="Cambria"/>
                <w:b/>
                <w:bCs/>
                <w:sz w:val="20"/>
                <w:szCs w:val="20"/>
              </w:rPr>
              <w:t xml:space="preserve"> Reports</w:t>
            </w:r>
          </w:p>
        </w:tc>
        <w:tc>
          <w:tcPr>
            <w:tcW w:w="990" w:type="dxa"/>
            <w:gridSpan w:val="2"/>
            <w:shd w:val="clear" w:color="auto" w:fill="ACB9CA" w:themeFill="text2" w:themeFillTint="66"/>
          </w:tcPr>
          <w:p w14:paraId="61C95E5D" w14:textId="07ACEEE6" w:rsidR="00A553B8" w:rsidRPr="005E696E" w:rsidRDefault="00A553B8" w:rsidP="00A553B8">
            <w:pPr>
              <w:rPr>
                <w:rFonts w:ascii="Cambria" w:hAnsi="Cambria"/>
              </w:rPr>
            </w:pPr>
            <w:r w:rsidRPr="005E696E">
              <w:rPr>
                <w:rFonts w:ascii="Cambria" w:hAnsi="Cambria"/>
                <w:b/>
                <w:bCs/>
                <w:sz w:val="20"/>
                <w:szCs w:val="20"/>
              </w:rPr>
              <w:t>No Data</w:t>
            </w:r>
          </w:p>
        </w:tc>
        <w:tc>
          <w:tcPr>
            <w:tcW w:w="6930" w:type="dxa"/>
            <w:gridSpan w:val="5"/>
            <w:shd w:val="clear" w:color="auto" w:fill="ACB9CA" w:themeFill="text2" w:themeFillTint="66"/>
          </w:tcPr>
          <w:p w14:paraId="2B90308A" w14:textId="1055B4AA" w:rsidR="00A553B8" w:rsidRPr="005E696E" w:rsidRDefault="00A553B8" w:rsidP="00A553B8">
            <w:pPr>
              <w:rPr>
                <w:rFonts w:ascii="Cambria" w:hAnsi="Cambria"/>
              </w:rPr>
            </w:pPr>
            <w:r w:rsidRPr="005E696E">
              <w:rPr>
                <w:rFonts w:ascii="Cambria" w:hAnsi="Cambria"/>
                <w:b/>
                <w:bCs/>
                <w:sz w:val="20"/>
                <w:szCs w:val="20"/>
              </w:rPr>
              <w:t>No Data Statement</w:t>
            </w:r>
          </w:p>
        </w:tc>
        <w:tc>
          <w:tcPr>
            <w:tcW w:w="1530" w:type="dxa"/>
            <w:gridSpan w:val="2"/>
            <w:shd w:val="clear" w:color="auto" w:fill="ACB9CA" w:themeFill="text2" w:themeFillTint="66"/>
          </w:tcPr>
          <w:p w14:paraId="41064F15" w14:textId="0E0D921A" w:rsidR="00A553B8" w:rsidRPr="005E696E" w:rsidRDefault="00A553B8" w:rsidP="00A553B8">
            <w:pPr>
              <w:rPr>
                <w:rFonts w:ascii="Cambria" w:hAnsi="Cambria"/>
              </w:rPr>
            </w:pPr>
            <w:r>
              <w:rPr>
                <w:rFonts w:ascii="Cambria" w:hAnsi="Cambria"/>
                <w:b/>
                <w:bCs/>
                <w:sz w:val="20"/>
                <w:szCs w:val="20"/>
              </w:rPr>
              <w:t xml:space="preserve">Data Reviewed? </w:t>
            </w:r>
            <w:r w:rsidRPr="00CB722C">
              <w:rPr>
                <w:rFonts w:ascii="Cambria" w:hAnsi="Cambria"/>
                <w:i/>
                <w:iCs/>
                <w:sz w:val="16"/>
                <w:szCs w:val="16"/>
              </w:rPr>
              <w:t>Y/N</w:t>
            </w:r>
          </w:p>
        </w:tc>
        <w:tc>
          <w:tcPr>
            <w:tcW w:w="990" w:type="dxa"/>
            <w:shd w:val="clear" w:color="auto" w:fill="ACB9CA" w:themeFill="text2" w:themeFillTint="66"/>
          </w:tcPr>
          <w:p w14:paraId="7450A1A3" w14:textId="65862362" w:rsidR="00A553B8" w:rsidRPr="005E696E" w:rsidRDefault="00A553B8" w:rsidP="00A553B8">
            <w:pPr>
              <w:rPr>
                <w:rFonts w:ascii="Cambria" w:hAnsi="Cambria"/>
                <w:b/>
                <w:bCs/>
                <w:sz w:val="20"/>
                <w:szCs w:val="20"/>
              </w:rPr>
            </w:pPr>
            <w:r w:rsidRPr="005E696E">
              <w:rPr>
                <w:rFonts w:ascii="Cambria" w:hAnsi="Cambria"/>
                <w:b/>
                <w:bCs/>
                <w:sz w:val="20"/>
                <w:szCs w:val="20"/>
              </w:rPr>
              <w:t>Initials</w:t>
            </w:r>
          </w:p>
        </w:tc>
      </w:tr>
      <w:tr w:rsidR="00A553B8" w14:paraId="578C2929" w14:textId="5455CE18" w:rsidTr="005036E1">
        <w:tc>
          <w:tcPr>
            <w:tcW w:w="3965" w:type="dxa"/>
            <w:gridSpan w:val="2"/>
          </w:tcPr>
          <w:p w14:paraId="67F8B0BF" w14:textId="4683AA7E" w:rsidR="00A553B8" w:rsidRPr="00670467" w:rsidRDefault="00A553B8" w:rsidP="00A553B8">
            <w:pPr>
              <w:rPr>
                <w:rFonts w:cstheme="minorHAnsi"/>
                <w:b/>
                <w:bCs/>
                <w:color w:val="44546A" w:themeColor="text2"/>
                <w:sz w:val="18"/>
                <w:szCs w:val="18"/>
              </w:rPr>
            </w:pPr>
            <w:r w:rsidRPr="00670467">
              <w:rPr>
                <w:rFonts w:cstheme="minorHAnsi"/>
                <w:b/>
                <w:bCs/>
                <w:color w:val="44546A" w:themeColor="text2"/>
                <w:sz w:val="18"/>
                <w:szCs w:val="18"/>
              </w:rPr>
              <w:t xml:space="preserve">EXCEPTION – Student Infraction and Response </w:t>
            </w:r>
          </w:p>
        </w:tc>
        <w:tc>
          <w:tcPr>
            <w:tcW w:w="990" w:type="dxa"/>
            <w:gridSpan w:val="2"/>
          </w:tcPr>
          <w:p w14:paraId="02281A78" w14:textId="77777777" w:rsidR="00A553B8" w:rsidRDefault="00A553B8" w:rsidP="00A553B8"/>
        </w:tc>
        <w:tc>
          <w:tcPr>
            <w:tcW w:w="6930" w:type="dxa"/>
            <w:gridSpan w:val="5"/>
            <w:shd w:val="clear" w:color="auto" w:fill="auto"/>
          </w:tcPr>
          <w:p w14:paraId="64C2DA27" w14:textId="594EF87A" w:rsidR="00A553B8" w:rsidRDefault="00A553B8" w:rsidP="00A553B8">
            <w:r w:rsidRPr="006A007A">
              <w:rPr>
                <w:sz w:val="18"/>
                <w:szCs w:val="18"/>
              </w:rPr>
              <w:t>LEA has no data to report</w:t>
            </w:r>
            <w:r>
              <w:rPr>
                <w:sz w:val="18"/>
                <w:szCs w:val="18"/>
              </w:rPr>
              <w:t xml:space="preserve"> this reporting period</w:t>
            </w:r>
            <w:r w:rsidRPr="006A007A">
              <w:rPr>
                <w:sz w:val="18"/>
                <w:szCs w:val="18"/>
              </w:rPr>
              <w:t xml:space="preserve"> but is aware of the obligation to report timely, valid, and reliable data.</w:t>
            </w:r>
          </w:p>
        </w:tc>
        <w:tc>
          <w:tcPr>
            <w:tcW w:w="1530" w:type="dxa"/>
            <w:gridSpan w:val="2"/>
          </w:tcPr>
          <w:p w14:paraId="760FA2C6" w14:textId="77777777" w:rsidR="00A553B8" w:rsidRDefault="00A553B8" w:rsidP="00A553B8"/>
        </w:tc>
        <w:tc>
          <w:tcPr>
            <w:tcW w:w="990" w:type="dxa"/>
          </w:tcPr>
          <w:p w14:paraId="7AD04D80" w14:textId="77777777" w:rsidR="00A553B8" w:rsidRDefault="00A553B8" w:rsidP="00A553B8"/>
        </w:tc>
      </w:tr>
      <w:tr w:rsidR="00A553B8" w14:paraId="00FCAD14" w14:textId="243A1F16" w:rsidTr="005036E1">
        <w:tc>
          <w:tcPr>
            <w:tcW w:w="3965" w:type="dxa"/>
            <w:gridSpan w:val="2"/>
            <w:shd w:val="clear" w:color="auto" w:fill="auto"/>
          </w:tcPr>
          <w:p w14:paraId="5E4432D0" w14:textId="7F51635F" w:rsidR="00A553B8" w:rsidRPr="00670467" w:rsidRDefault="00A553B8" w:rsidP="00A553B8">
            <w:pPr>
              <w:rPr>
                <w:rFonts w:cstheme="minorHAnsi"/>
                <w:b/>
                <w:bCs/>
                <w:color w:val="44546A" w:themeColor="text2"/>
                <w:sz w:val="18"/>
                <w:szCs w:val="18"/>
              </w:rPr>
            </w:pPr>
            <w:r w:rsidRPr="00670467">
              <w:rPr>
                <w:rFonts w:cstheme="minorHAnsi"/>
                <w:b/>
                <w:bCs/>
                <w:color w:val="44546A" w:themeColor="text2"/>
                <w:sz w:val="18"/>
                <w:szCs w:val="18"/>
              </w:rPr>
              <w:t>Student Infraction and Response Detail</w:t>
            </w:r>
          </w:p>
        </w:tc>
        <w:tc>
          <w:tcPr>
            <w:tcW w:w="990" w:type="dxa"/>
            <w:gridSpan w:val="2"/>
          </w:tcPr>
          <w:p w14:paraId="47682267" w14:textId="77777777" w:rsidR="00A553B8" w:rsidRDefault="00A553B8" w:rsidP="00A553B8"/>
        </w:tc>
        <w:tc>
          <w:tcPr>
            <w:tcW w:w="6930" w:type="dxa"/>
            <w:gridSpan w:val="5"/>
          </w:tcPr>
          <w:p w14:paraId="571E7C48" w14:textId="15FA6972" w:rsidR="00A553B8" w:rsidRPr="007624B6" w:rsidRDefault="00A553B8" w:rsidP="00A553B8">
            <w:pPr>
              <w:rPr>
                <w:sz w:val="18"/>
                <w:szCs w:val="18"/>
              </w:rPr>
            </w:pPr>
            <w:r w:rsidRPr="007624B6">
              <w:rPr>
                <w:sz w:val="18"/>
                <w:szCs w:val="18"/>
              </w:rPr>
              <w:t>LEA has no data to report this reporting period but is aware of the obligation to report discipline infraction data and to ensure that students that are removed from their educational settings are receiving services according to federal and state requirements</w:t>
            </w:r>
          </w:p>
        </w:tc>
        <w:tc>
          <w:tcPr>
            <w:tcW w:w="1530" w:type="dxa"/>
            <w:gridSpan w:val="2"/>
          </w:tcPr>
          <w:p w14:paraId="676295E5" w14:textId="77777777" w:rsidR="00A553B8" w:rsidRDefault="00A553B8" w:rsidP="00A553B8"/>
        </w:tc>
        <w:tc>
          <w:tcPr>
            <w:tcW w:w="990" w:type="dxa"/>
          </w:tcPr>
          <w:p w14:paraId="64C764EF" w14:textId="77777777" w:rsidR="00A553B8" w:rsidRDefault="00A553B8" w:rsidP="00A553B8"/>
        </w:tc>
      </w:tr>
      <w:tr w:rsidR="00A553B8" w14:paraId="0F0706FD" w14:textId="77777777" w:rsidTr="005036E1">
        <w:tblPrEx>
          <w:tblBorders>
            <w:top w:val="none" w:sz="0" w:space="0" w:color="auto"/>
            <w:left w:val="none" w:sz="0" w:space="0" w:color="auto"/>
            <w:right w:val="none" w:sz="0" w:space="0" w:color="auto"/>
            <w:insideV w:val="none" w:sz="0" w:space="0" w:color="auto"/>
          </w:tblBorders>
        </w:tblPrEx>
        <w:tc>
          <w:tcPr>
            <w:tcW w:w="1170" w:type="dxa"/>
            <w:tcBorders>
              <w:top w:val="nil"/>
              <w:bottom w:val="nil"/>
            </w:tcBorders>
          </w:tcPr>
          <w:p w14:paraId="67F2E5D2" w14:textId="77777777" w:rsidR="00A553B8" w:rsidRDefault="00A553B8" w:rsidP="00A553B8">
            <w:pPr>
              <w:jc w:val="both"/>
              <w:rPr>
                <w:b/>
                <w:bCs/>
              </w:rPr>
            </w:pPr>
          </w:p>
          <w:p w14:paraId="2435CE98" w14:textId="77777777" w:rsidR="00C058D3" w:rsidRDefault="00C058D3" w:rsidP="00A553B8">
            <w:pPr>
              <w:jc w:val="both"/>
              <w:rPr>
                <w:b/>
                <w:bCs/>
                <w:sz w:val="20"/>
                <w:szCs w:val="20"/>
              </w:rPr>
            </w:pPr>
          </w:p>
          <w:p w14:paraId="365B8B96" w14:textId="5348A02D" w:rsidR="00A553B8" w:rsidRPr="00A553B8" w:rsidRDefault="00A553B8" w:rsidP="00A553B8">
            <w:pPr>
              <w:jc w:val="both"/>
              <w:rPr>
                <w:b/>
                <w:bCs/>
              </w:rPr>
            </w:pPr>
            <w:r w:rsidRPr="00670467">
              <w:rPr>
                <w:b/>
                <w:bCs/>
                <w:sz w:val="20"/>
                <w:szCs w:val="20"/>
              </w:rPr>
              <w:t>Signature:</w:t>
            </w:r>
          </w:p>
        </w:tc>
        <w:tc>
          <w:tcPr>
            <w:tcW w:w="3605" w:type="dxa"/>
            <w:gridSpan w:val="2"/>
          </w:tcPr>
          <w:p w14:paraId="1543A469" w14:textId="77777777" w:rsidR="00A553B8" w:rsidRDefault="00A553B8" w:rsidP="00E44BA8">
            <w:pPr>
              <w:rPr>
                <w:sz w:val="14"/>
                <w:szCs w:val="14"/>
              </w:rPr>
            </w:pPr>
          </w:p>
          <w:p w14:paraId="29DB0B2E" w14:textId="77777777" w:rsidR="00C058D3" w:rsidRDefault="00C058D3" w:rsidP="00E44BA8">
            <w:pPr>
              <w:rPr>
                <w:sz w:val="14"/>
                <w:szCs w:val="14"/>
              </w:rPr>
            </w:pPr>
          </w:p>
          <w:p w14:paraId="7106B967" w14:textId="77777777" w:rsidR="00C058D3" w:rsidRPr="005036E1" w:rsidRDefault="00C058D3" w:rsidP="00E44BA8">
            <w:pPr>
              <w:rPr>
                <w:sz w:val="14"/>
                <w:szCs w:val="14"/>
              </w:rPr>
            </w:pPr>
          </w:p>
        </w:tc>
        <w:tc>
          <w:tcPr>
            <w:tcW w:w="390" w:type="dxa"/>
            <w:gridSpan w:val="2"/>
            <w:tcBorders>
              <w:top w:val="nil"/>
              <w:bottom w:val="nil"/>
            </w:tcBorders>
          </w:tcPr>
          <w:p w14:paraId="2A03A24D" w14:textId="77777777" w:rsidR="00A553B8" w:rsidRDefault="00A553B8" w:rsidP="00E44BA8"/>
        </w:tc>
        <w:tc>
          <w:tcPr>
            <w:tcW w:w="719" w:type="dxa"/>
            <w:tcBorders>
              <w:top w:val="nil"/>
              <w:bottom w:val="nil"/>
            </w:tcBorders>
          </w:tcPr>
          <w:p w14:paraId="5DD2EFFB" w14:textId="77777777" w:rsidR="00A553B8" w:rsidRDefault="00A553B8" w:rsidP="00E44BA8">
            <w:pPr>
              <w:rPr>
                <w:b/>
                <w:bCs/>
              </w:rPr>
            </w:pPr>
          </w:p>
          <w:p w14:paraId="150B47DF" w14:textId="77777777" w:rsidR="00C058D3" w:rsidRDefault="00C058D3" w:rsidP="00E44BA8">
            <w:pPr>
              <w:rPr>
                <w:b/>
                <w:bCs/>
                <w:sz w:val="20"/>
                <w:szCs w:val="20"/>
              </w:rPr>
            </w:pPr>
          </w:p>
          <w:p w14:paraId="68761D71" w14:textId="3F435471" w:rsidR="00A553B8" w:rsidRPr="00A553B8" w:rsidRDefault="00A553B8" w:rsidP="00E44BA8">
            <w:pPr>
              <w:rPr>
                <w:b/>
                <w:bCs/>
              </w:rPr>
            </w:pPr>
            <w:r w:rsidRPr="00670467">
              <w:rPr>
                <w:b/>
                <w:bCs/>
                <w:sz w:val="20"/>
                <w:szCs w:val="20"/>
              </w:rPr>
              <w:t>Title:</w:t>
            </w:r>
          </w:p>
        </w:tc>
        <w:tc>
          <w:tcPr>
            <w:tcW w:w="4381" w:type="dxa"/>
          </w:tcPr>
          <w:p w14:paraId="16545E1B" w14:textId="77777777" w:rsidR="00A553B8" w:rsidRDefault="00A553B8" w:rsidP="00E44BA8"/>
        </w:tc>
        <w:tc>
          <w:tcPr>
            <w:tcW w:w="1030" w:type="dxa"/>
            <w:tcBorders>
              <w:top w:val="nil"/>
              <w:bottom w:val="nil"/>
            </w:tcBorders>
          </w:tcPr>
          <w:p w14:paraId="3DAAF46C" w14:textId="77777777" w:rsidR="00A553B8" w:rsidRDefault="00A553B8" w:rsidP="00E44BA8"/>
        </w:tc>
        <w:tc>
          <w:tcPr>
            <w:tcW w:w="711" w:type="dxa"/>
            <w:gridSpan w:val="2"/>
            <w:tcBorders>
              <w:top w:val="nil"/>
              <w:bottom w:val="nil"/>
            </w:tcBorders>
          </w:tcPr>
          <w:p w14:paraId="3336F629" w14:textId="77777777" w:rsidR="00A553B8" w:rsidRDefault="00A553B8" w:rsidP="00E44BA8">
            <w:pPr>
              <w:rPr>
                <w:b/>
                <w:bCs/>
              </w:rPr>
            </w:pPr>
          </w:p>
          <w:p w14:paraId="29268937" w14:textId="77777777" w:rsidR="00C058D3" w:rsidRDefault="00C058D3" w:rsidP="00E44BA8">
            <w:pPr>
              <w:rPr>
                <w:b/>
                <w:bCs/>
                <w:sz w:val="20"/>
                <w:szCs w:val="20"/>
              </w:rPr>
            </w:pPr>
          </w:p>
          <w:p w14:paraId="626F9911" w14:textId="6CD1012A" w:rsidR="00A553B8" w:rsidRPr="00A553B8" w:rsidRDefault="00A553B8" w:rsidP="00E44BA8">
            <w:pPr>
              <w:rPr>
                <w:b/>
                <w:bCs/>
              </w:rPr>
            </w:pPr>
            <w:r w:rsidRPr="00670467">
              <w:rPr>
                <w:b/>
                <w:bCs/>
                <w:sz w:val="20"/>
                <w:szCs w:val="20"/>
              </w:rPr>
              <w:t>Date:</w:t>
            </w:r>
          </w:p>
        </w:tc>
        <w:tc>
          <w:tcPr>
            <w:tcW w:w="2399" w:type="dxa"/>
            <w:gridSpan w:val="2"/>
          </w:tcPr>
          <w:p w14:paraId="6E50061A" w14:textId="77777777" w:rsidR="00A553B8" w:rsidRDefault="00A553B8" w:rsidP="00E44BA8"/>
        </w:tc>
      </w:tr>
    </w:tbl>
    <w:p w14:paraId="62C9C57D" w14:textId="71AA2A25" w:rsidR="00670467" w:rsidRPr="00670467" w:rsidRDefault="00670467" w:rsidP="00670467">
      <w:pPr>
        <w:tabs>
          <w:tab w:val="left" w:pos="4320"/>
        </w:tabs>
      </w:pPr>
      <w:r>
        <w:tab/>
      </w:r>
    </w:p>
    <w:sectPr w:rsidR="00670467" w:rsidRPr="00670467" w:rsidSect="00E34E36">
      <w:pgSz w:w="15840" w:h="12240" w:orient="landscape"/>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25A"/>
    <w:rsid w:val="000848F9"/>
    <w:rsid w:val="000A7548"/>
    <w:rsid w:val="000E045E"/>
    <w:rsid w:val="000E469E"/>
    <w:rsid w:val="001232FA"/>
    <w:rsid w:val="00160071"/>
    <w:rsid w:val="002C2C10"/>
    <w:rsid w:val="002E7CEC"/>
    <w:rsid w:val="00374ED1"/>
    <w:rsid w:val="003D025A"/>
    <w:rsid w:val="00417069"/>
    <w:rsid w:val="00421F76"/>
    <w:rsid w:val="004F68BD"/>
    <w:rsid w:val="005036E1"/>
    <w:rsid w:val="0052340D"/>
    <w:rsid w:val="005D333C"/>
    <w:rsid w:val="005E696E"/>
    <w:rsid w:val="00660665"/>
    <w:rsid w:val="00670467"/>
    <w:rsid w:val="006A007A"/>
    <w:rsid w:val="006C60B9"/>
    <w:rsid w:val="007624B6"/>
    <w:rsid w:val="007D0D58"/>
    <w:rsid w:val="00850069"/>
    <w:rsid w:val="009830CD"/>
    <w:rsid w:val="00A553B8"/>
    <w:rsid w:val="00A83D47"/>
    <w:rsid w:val="00AA7DBD"/>
    <w:rsid w:val="00B13612"/>
    <w:rsid w:val="00B7696C"/>
    <w:rsid w:val="00C058D3"/>
    <w:rsid w:val="00CB722C"/>
    <w:rsid w:val="00D11A30"/>
    <w:rsid w:val="00D57E09"/>
    <w:rsid w:val="00E20327"/>
    <w:rsid w:val="00E214E8"/>
    <w:rsid w:val="00E34E36"/>
    <w:rsid w:val="00E44BA8"/>
    <w:rsid w:val="00E4691A"/>
    <w:rsid w:val="00EA1E5F"/>
    <w:rsid w:val="00FE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0905"/>
  <w15:chartTrackingRefBased/>
  <w15:docId w15:val="{D6E44A6B-EFE0-463A-9E39-B509E5E6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25A"/>
    <w:pPr>
      <w:spacing w:after="0" w:line="240" w:lineRule="auto"/>
    </w:pPr>
  </w:style>
  <w:style w:type="table" w:styleId="TableGrid">
    <w:name w:val="Table Grid"/>
    <w:basedOn w:val="TableNormal"/>
    <w:uiPriority w:val="39"/>
    <w:rsid w:val="002C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340D"/>
    <w:rPr>
      <w:color w:val="0000FF"/>
      <w:u w:val="single"/>
    </w:rPr>
  </w:style>
  <w:style w:type="character" w:styleId="UnresolvedMention">
    <w:name w:val="Unresolved Mention"/>
    <w:basedOn w:val="DefaultParagraphFont"/>
    <w:uiPriority w:val="99"/>
    <w:semiHidden/>
    <w:unhideWhenUsed/>
    <w:rsid w:val="0052340D"/>
    <w:rPr>
      <w:color w:val="605E5C"/>
      <w:shd w:val="clear" w:color="auto" w:fill="E1DFDD"/>
    </w:rPr>
  </w:style>
  <w:style w:type="character" w:styleId="FollowedHyperlink">
    <w:name w:val="FollowedHyperlink"/>
    <w:basedOn w:val="DefaultParagraphFont"/>
    <w:uiPriority w:val="99"/>
    <w:semiHidden/>
    <w:unhideWhenUsed/>
    <w:rsid w:val="000A75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2964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Marcotte, Charlene, PED</dc:creator>
  <cp:keywords/>
  <dc:description/>
  <cp:lastModifiedBy>Dominguez, Lorenzo, PED</cp:lastModifiedBy>
  <cp:revision>2</cp:revision>
  <dcterms:created xsi:type="dcterms:W3CDTF">2024-05-21T15:39:00Z</dcterms:created>
  <dcterms:modified xsi:type="dcterms:W3CDTF">2024-05-21T15:39:00Z</dcterms:modified>
</cp:coreProperties>
</file>