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F2783" w14:textId="77777777" w:rsidR="00F445DB" w:rsidRDefault="00F445DB" w:rsidP="00F445DB">
      <w:pPr>
        <w:spacing w:after="0" w:line="240" w:lineRule="auto"/>
        <w:jc w:val="center"/>
        <w:rPr>
          <w:b/>
        </w:rPr>
      </w:pPr>
      <w:r w:rsidRPr="00F445DB">
        <w:rPr>
          <w:b/>
        </w:rPr>
        <w:t>NEW MEXICO PUBLIC EDUCATION DEPARTMENT</w:t>
      </w:r>
    </w:p>
    <w:p w14:paraId="233B6F95" w14:textId="77777777" w:rsidR="000D0A19" w:rsidRPr="00F445DB" w:rsidRDefault="000D0A19" w:rsidP="00F445DB">
      <w:pPr>
        <w:spacing w:after="0" w:line="240" w:lineRule="auto"/>
        <w:jc w:val="center"/>
        <w:rPr>
          <w:b/>
        </w:rPr>
      </w:pPr>
      <w:r>
        <w:rPr>
          <w:b/>
        </w:rPr>
        <w:t>SCHOOL BUDGET BUREAU</w:t>
      </w:r>
    </w:p>
    <w:p w14:paraId="3A347A4D" w14:textId="77777777" w:rsidR="00D526BD" w:rsidRDefault="00F445DB" w:rsidP="00D526BD">
      <w:pPr>
        <w:spacing w:after="0" w:line="240" w:lineRule="auto"/>
        <w:jc w:val="center"/>
        <w:rPr>
          <w:b/>
        </w:rPr>
      </w:pPr>
      <w:r w:rsidRPr="00F445DB">
        <w:rPr>
          <w:b/>
        </w:rPr>
        <w:t>CERTIFIED/UNCERTIFIED ACTUALS 925F REPORT</w:t>
      </w:r>
      <w:r w:rsidR="000D0A19">
        <w:rPr>
          <w:b/>
        </w:rPr>
        <w:t xml:space="preserve"> </w:t>
      </w:r>
      <w:r w:rsidR="00D526BD" w:rsidRPr="00F445DB">
        <w:rPr>
          <w:b/>
        </w:rPr>
        <w:t>INSTRUCTIONS</w:t>
      </w:r>
    </w:p>
    <w:p w14:paraId="0A44B2C8" w14:textId="77777777" w:rsidR="00D526BD" w:rsidRPr="00F445DB" w:rsidRDefault="00D526BD" w:rsidP="00D526BD">
      <w:pPr>
        <w:spacing w:after="0" w:line="240" w:lineRule="auto"/>
        <w:jc w:val="center"/>
        <w:rPr>
          <w:b/>
        </w:rPr>
      </w:pPr>
    </w:p>
    <w:p w14:paraId="69C83582" w14:textId="4E90380C" w:rsidR="00DD1F8D" w:rsidRPr="001335D7" w:rsidRDefault="00DD1F8D" w:rsidP="00DD1F8D">
      <w:pPr>
        <w:spacing w:after="0" w:line="240" w:lineRule="auto"/>
        <w:rPr>
          <w:bCs/>
          <w:sz w:val="28"/>
          <w:szCs w:val="28"/>
        </w:rPr>
      </w:pPr>
      <w:r w:rsidRPr="001335D7">
        <w:rPr>
          <w:bCs/>
          <w:sz w:val="28"/>
          <w:szCs w:val="28"/>
        </w:rPr>
        <w:t xml:space="preserve">For detailed instructions please refer to </w:t>
      </w:r>
      <w:hyperlink r:id="rId10" w:history="1">
        <w:r w:rsidRPr="001335D7">
          <w:rPr>
            <w:rStyle w:val="Hyperlink"/>
            <w:bCs/>
            <w:sz w:val="28"/>
            <w:szCs w:val="28"/>
          </w:rPr>
          <w:t>OBMS User Manual Vol II</w:t>
        </w:r>
      </w:hyperlink>
      <w:r w:rsidRPr="001335D7">
        <w:rPr>
          <w:bCs/>
          <w:sz w:val="28"/>
          <w:szCs w:val="28"/>
        </w:rPr>
        <w:t>, pages 48-54</w:t>
      </w:r>
      <w:r w:rsidR="00D36436" w:rsidRPr="001335D7">
        <w:rPr>
          <w:bCs/>
          <w:sz w:val="28"/>
          <w:szCs w:val="28"/>
        </w:rPr>
        <w:t>.</w:t>
      </w:r>
    </w:p>
    <w:p w14:paraId="6503CA54" w14:textId="77777777" w:rsidR="00DD1F8D" w:rsidRDefault="00DD1F8D" w:rsidP="00DD1F8D">
      <w:pPr>
        <w:spacing w:after="0" w:line="240" w:lineRule="auto"/>
      </w:pPr>
    </w:p>
    <w:p w14:paraId="10C8288C" w14:textId="35D4ECD3" w:rsidR="00DD1F8D" w:rsidRPr="009B2035" w:rsidRDefault="00903313" w:rsidP="00DD1F8D">
      <w:pPr>
        <w:spacing w:after="0" w:line="240" w:lineRule="auto"/>
        <w:rPr>
          <w:b/>
          <w:bCs/>
        </w:rPr>
      </w:pPr>
      <w:r>
        <w:rPr>
          <w:b/>
          <w:bCs/>
        </w:rPr>
        <w:t>Tips,</w:t>
      </w:r>
      <w:r w:rsidR="00872771" w:rsidRPr="009B2035">
        <w:rPr>
          <w:b/>
          <w:bCs/>
        </w:rPr>
        <w:t xml:space="preserve"> Tricks</w:t>
      </w:r>
      <w:r w:rsidR="009B2035" w:rsidRPr="009B2035">
        <w:rPr>
          <w:b/>
          <w:bCs/>
        </w:rPr>
        <w:t xml:space="preserve"> and Further Details</w:t>
      </w:r>
      <w:r w:rsidR="00872771" w:rsidRPr="009B2035">
        <w:rPr>
          <w:b/>
          <w:bCs/>
        </w:rPr>
        <w:t>:</w:t>
      </w:r>
    </w:p>
    <w:p w14:paraId="10AEE567" w14:textId="77777777" w:rsidR="00872771" w:rsidRDefault="00872771" w:rsidP="00DD1F8D">
      <w:pPr>
        <w:spacing w:after="0" w:line="240" w:lineRule="auto"/>
      </w:pPr>
    </w:p>
    <w:p w14:paraId="088B5383" w14:textId="4BF375FF" w:rsidR="000D0A19" w:rsidRPr="00FD71AB" w:rsidRDefault="00872771" w:rsidP="001335D7">
      <w:pPr>
        <w:pStyle w:val="ListParagraph"/>
        <w:numPr>
          <w:ilvl w:val="0"/>
          <w:numId w:val="4"/>
        </w:numPr>
        <w:spacing w:after="0" w:line="240" w:lineRule="auto"/>
      </w:pPr>
      <w:r>
        <w:t>O</w:t>
      </w:r>
      <w:r w:rsidR="00DD1F8D">
        <w:t>nly appl</w:t>
      </w:r>
      <w:r>
        <w:t>ies</w:t>
      </w:r>
      <w:r w:rsidR="00903313">
        <w:t xml:space="preserve"> to the O</w:t>
      </w:r>
      <w:r w:rsidR="00DD1F8D">
        <w:t>perational fund 11000 – Object 51100</w:t>
      </w:r>
      <w:r w:rsidR="009B2035">
        <w:t>.</w:t>
      </w:r>
    </w:p>
    <w:p w14:paraId="3129C2F6" w14:textId="77777777" w:rsidR="00DD1F8D" w:rsidRDefault="00DD1F8D" w:rsidP="00DD1F8D">
      <w:pPr>
        <w:spacing w:after="0" w:line="240" w:lineRule="auto"/>
      </w:pPr>
    </w:p>
    <w:p w14:paraId="640F8C8C" w14:textId="67E13FCD" w:rsidR="000D0A19" w:rsidRDefault="00872771" w:rsidP="001335D7">
      <w:pPr>
        <w:pStyle w:val="ListParagraph"/>
        <w:numPr>
          <w:ilvl w:val="0"/>
          <w:numId w:val="4"/>
        </w:numPr>
        <w:spacing w:after="0" w:line="240" w:lineRule="auto"/>
      </w:pPr>
      <w:r>
        <w:t>W</w:t>
      </w:r>
      <w:r w:rsidR="000D0A19" w:rsidRPr="00FD71AB">
        <w:t>ill become a publ</w:t>
      </w:r>
      <w:r w:rsidR="00FD71AB" w:rsidRPr="00FD71AB">
        <w:t xml:space="preserve">ic </w:t>
      </w:r>
      <w:r w:rsidR="000D0A19" w:rsidRPr="00FD71AB">
        <w:t xml:space="preserve">document in the statistical book </w:t>
      </w:r>
      <w:r w:rsidR="004A5E20" w:rsidRPr="00FD71AB">
        <w:t>(STAT Book)</w:t>
      </w:r>
      <w:r w:rsidR="000D0A19" w:rsidRPr="00FD71AB">
        <w:t>.</w:t>
      </w:r>
    </w:p>
    <w:p w14:paraId="7EADDFBC" w14:textId="77777777" w:rsidR="00FD71AB" w:rsidRPr="00FD71AB" w:rsidRDefault="00FD71AB" w:rsidP="00DD1F8D">
      <w:pPr>
        <w:spacing w:after="0" w:line="240" w:lineRule="auto"/>
      </w:pPr>
    </w:p>
    <w:p w14:paraId="438FCD65" w14:textId="560287F5" w:rsidR="00B22B1C" w:rsidRPr="001335D7" w:rsidRDefault="009B2035" w:rsidP="001335D7">
      <w:pPr>
        <w:pStyle w:val="ListParagraph"/>
        <w:numPr>
          <w:ilvl w:val="0"/>
          <w:numId w:val="4"/>
        </w:numPr>
        <w:spacing w:after="0" w:line="240" w:lineRule="auto"/>
        <w:rPr>
          <w:bCs/>
        </w:rPr>
      </w:pPr>
      <w:r w:rsidRPr="001335D7">
        <w:rPr>
          <w:bCs/>
        </w:rPr>
        <w:t>T</w:t>
      </w:r>
      <w:r w:rsidR="00B22B1C" w:rsidRPr="001335D7">
        <w:rPr>
          <w:bCs/>
        </w:rPr>
        <w:t>he Fourth Quarter (Q4) or Twelfth Month (M12) actual</w:t>
      </w:r>
      <w:r w:rsidR="00903313" w:rsidRPr="001335D7">
        <w:rPr>
          <w:bCs/>
        </w:rPr>
        <w:t>s</w:t>
      </w:r>
      <w:r w:rsidR="00B22B1C" w:rsidRPr="001335D7">
        <w:rPr>
          <w:bCs/>
        </w:rPr>
        <w:t xml:space="preserve"> data must </w:t>
      </w:r>
      <w:r w:rsidR="00FD71AB" w:rsidRPr="001335D7">
        <w:rPr>
          <w:bCs/>
        </w:rPr>
        <w:t>be submitted in OBMS</w:t>
      </w:r>
      <w:r w:rsidRPr="001335D7">
        <w:rPr>
          <w:bCs/>
        </w:rPr>
        <w:t xml:space="preserve"> prior to submitting.</w:t>
      </w:r>
    </w:p>
    <w:p w14:paraId="7EC7832A" w14:textId="77777777" w:rsidR="00D526BD" w:rsidRPr="000D0A19" w:rsidRDefault="00D526BD" w:rsidP="00DD1F8D">
      <w:pPr>
        <w:spacing w:after="0" w:line="240" w:lineRule="auto"/>
        <w:rPr>
          <w:b/>
          <w:color w:val="FF0000"/>
        </w:rPr>
      </w:pPr>
    </w:p>
    <w:p w14:paraId="5FE0488F" w14:textId="44DDA196" w:rsidR="00872771" w:rsidRDefault="00872771" w:rsidP="001335D7">
      <w:pPr>
        <w:pStyle w:val="ListParagraph"/>
        <w:numPr>
          <w:ilvl w:val="0"/>
          <w:numId w:val="4"/>
        </w:numPr>
        <w:spacing w:after="0" w:line="240" w:lineRule="auto"/>
      </w:pPr>
      <w:r>
        <w:t xml:space="preserve">Recommended to adjust FTE in accordance with the </w:t>
      </w:r>
      <w:r w:rsidRPr="00872771">
        <w:t>Manual of Procedures for the Calculation of the Staffing Cost Multiplier</w:t>
      </w:r>
      <w:r>
        <w:t xml:space="preserve"> found here </w:t>
      </w:r>
      <w:hyperlink r:id="rId11" w:history="1">
        <w:r w:rsidRPr="00000EBC">
          <w:rPr>
            <w:rStyle w:val="Hyperlink"/>
          </w:rPr>
          <w:t>https://webnew.ped.state.nm.us/bureaus/school-budget/staffing-cost-multiplier-te-tci-submission/</w:t>
        </w:r>
      </w:hyperlink>
      <w:r>
        <w:t xml:space="preserve"> </w:t>
      </w:r>
    </w:p>
    <w:p w14:paraId="21526B17" w14:textId="77777777" w:rsidR="00872771" w:rsidRDefault="00872771" w:rsidP="00DD1F8D">
      <w:pPr>
        <w:spacing w:after="0" w:line="240" w:lineRule="auto"/>
      </w:pPr>
    </w:p>
    <w:p w14:paraId="1043DEBD" w14:textId="2866B9D0" w:rsidR="00075EC6" w:rsidRPr="009B2035" w:rsidRDefault="00872771" w:rsidP="001335D7">
      <w:pPr>
        <w:pStyle w:val="ListParagraph"/>
        <w:numPr>
          <w:ilvl w:val="0"/>
          <w:numId w:val="4"/>
        </w:numPr>
        <w:spacing w:after="0" w:line="240" w:lineRule="auto"/>
      </w:pPr>
      <w:r>
        <w:t>If utilizing the</w:t>
      </w:r>
      <w:r w:rsidR="00F445DB">
        <w:t xml:space="preserve"> “Plus</w:t>
      </w:r>
      <w:r w:rsidR="00852A39">
        <w:t>,</w:t>
      </w:r>
      <w:r w:rsidR="00F445DB">
        <w:t>” “Minus</w:t>
      </w:r>
      <w:r w:rsidR="00852A39">
        <w:t>,</w:t>
      </w:r>
      <w:r w:rsidR="00F445DB">
        <w:t>” and “</w:t>
      </w:r>
      <w:r w:rsidR="00852A39">
        <w:t xml:space="preserve">Salary </w:t>
      </w:r>
      <w:r w:rsidR="00F445DB">
        <w:t>Explanation” fields</w:t>
      </w:r>
      <w:r w:rsidR="00075EC6" w:rsidRPr="001335D7">
        <w:rPr>
          <w:b/>
        </w:rPr>
        <w:t xml:space="preserve"> </w:t>
      </w:r>
      <w:r w:rsidRPr="001335D7">
        <w:rPr>
          <w:b/>
          <w:color w:val="FF0000"/>
          <w:u w:val="single"/>
        </w:rPr>
        <w:t>a</w:t>
      </w:r>
      <w:r w:rsidR="00F445DB" w:rsidRPr="001335D7">
        <w:rPr>
          <w:b/>
          <w:color w:val="FF0000"/>
          <w:u w:val="single"/>
        </w:rPr>
        <w:t>n explanation is mandator</w:t>
      </w:r>
      <w:r w:rsidR="009B2035" w:rsidRPr="001335D7">
        <w:rPr>
          <w:b/>
          <w:color w:val="FF0000"/>
          <w:u w:val="single"/>
        </w:rPr>
        <w:t xml:space="preserve">y, see </w:t>
      </w:r>
      <w:r w:rsidR="00F119A7" w:rsidRPr="001335D7">
        <w:rPr>
          <w:b/>
          <w:color w:val="FF0000"/>
          <w:u w:val="single"/>
        </w:rPr>
        <w:t xml:space="preserve">Section A </w:t>
      </w:r>
      <w:r w:rsidR="009B2035" w:rsidRPr="001335D7">
        <w:rPr>
          <w:b/>
          <w:color w:val="FF0000"/>
          <w:u w:val="single"/>
        </w:rPr>
        <w:t xml:space="preserve">for further details. </w:t>
      </w:r>
    </w:p>
    <w:p w14:paraId="5E9DC0F0" w14:textId="548A0D7D" w:rsidR="00DD1F8D" w:rsidRDefault="00DD1F8D" w:rsidP="00DD1F8D">
      <w:pPr>
        <w:spacing w:after="0" w:line="240" w:lineRule="auto"/>
      </w:pPr>
    </w:p>
    <w:p w14:paraId="6E589E89" w14:textId="69FE4A81" w:rsidR="00872771" w:rsidRDefault="00872771" w:rsidP="001335D7">
      <w:pPr>
        <w:pStyle w:val="ListParagraph"/>
        <w:numPr>
          <w:ilvl w:val="0"/>
          <w:numId w:val="4"/>
        </w:numPr>
        <w:spacing w:after="0" w:line="240" w:lineRule="auto"/>
      </w:pPr>
      <w:r w:rsidRPr="000D0A19">
        <w:t xml:space="preserve">Verify average salaries meet the minimum requirements in Section </w:t>
      </w:r>
      <w:r w:rsidR="00F119A7">
        <w:t>B</w:t>
      </w:r>
      <w:r w:rsidRPr="000D0A19">
        <w:t xml:space="preserve"> of this document.</w:t>
      </w:r>
    </w:p>
    <w:p w14:paraId="5DF4F569" w14:textId="77777777" w:rsidR="00F119A7" w:rsidRDefault="00F119A7" w:rsidP="00F119A7">
      <w:pPr>
        <w:spacing w:after="0" w:line="240" w:lineRule="auto"/>
      </w:pPr>
    </w:p>
    <w:p w14:paraId="100FCF56" w14:textId="54A950F3" w:rsidR="00F119A7" w:rsidRDefault="00F119A7" w:rsidP="00F119A7">
      <w:pPr>
        <w:spacing w:after="0" w:line="240" w:lineRule="auto"/>
      </w:pPr>
      <w:r>
        <w:t xml:space="preserve">NOTE:  </w:t>
      </w:r>
      <w:r w:rsidRPr="00F445DB">
        <w:rPr>
          <w:u w:val="single"/>
        </w:rPr>
        <w:t>Accounting for Duty Personnel FTE</w:t>
      </w:r>
    </w:p>
    <w:p w14:paraId="4991CAB1" w14:textId="77777777" w:rsidR="00F119A7" w:rsidRDefault="00F119A7" w:rsidP="00F119A7">
      <w:pPr>
        <w:spacing w:after="0" w:line="240" w:lineRule="auto"/>
        <w:rPr>
          <w:b/>
        </w:rPr>
      </w:pPr>
      <w:r w:rsidRPr="00F445DB">
        <w:rPr>
          <w:b/>
        </w:rPr>
        <w:t>If the duty personnel funding is paid as a part-time/full-time job with benefits, then the salary and FTE should be listed in the Q4 or M12 Final Report under 51100-1219, so it can be reported correctly on the 925F.  Otherwise, it should be treated as an increment and reported as additional compensation under object code 51300.</w:t>
      </w:r>
    </w:p>
    <w:p w14:paraId="5B7D1AE4" w14:textId="77777777" w:rsidR="00F119A7" w:rsidRPr="000D0A19" w:rsidRDefault="00F119A7" w:rsidP="00872771">
      <w:pPr>
        <w:spacing w:after="0" w:line="240" w:lineRule="auto"/>
      </w:pPr>
    </w:p>
    <w:p w14:paraId="16C4B7D4" w14:textId="09F24BA5" w:rsidR="000D0A19" w:rsidRPr="00DD1F8D" w:rsidRDefault="00F445DB" w:rsidP="00DD1F8D">
      <w:pPr>
        <w:spacing w:after="0" w:line="240" w:lineRule="auto"/>
        <w:rPr>
          <w:b/>
        </w:rPr>
      </w:pPr>
      <w:r>
        <w:t>Click “Save” to save your data. If you have no entries for the “Plus</w:t>
      </w:r>
      <w:r w:rsidR="00852A39">
        <w:t>,</w:t>
      </w:r>
      <w:r>
        <w:t>” “Minus</w:t>
      </w:r>
      <w:r w:rsidR="00852A39">
        <w:t>,</w:t>
      </w:r>
      <w:r>
        <w:t>” and “</w:t>
      </w:r>
      <w:r w:rsidR="00F119A7">
        <w:t xml:space="preserve">Salary </w:t>
      </w:r>
      <w:r>
        <w:t>Explanation” fields, the submit button will not appear until the “Save” button is clicked twice.</w:t>
      </w:r>
      <w:r w:rsidR="00075EC6">
        <w:t xml:space="preserve"> </w:t>
      </w:r>
      <w:r w:rsidRPr="00F445DB">
        <w:t xml:space="preserve"> </w:t>
      </w:r>
      <w:r w:rsidRPr="00DD1F8D">
        <w:rPr>
          <w:b/>
        </w:rPr>
        <w:t>Any data entered after the “Save” button is clicked will not be saved unless the “Save” button is clicked again.</w:t>
      </w:r>
    </w:p>
    <w:p w14:paraId="0BA77EDB" w14:textId="77777777" w:rsidR="00DD1F8D" w:rsidRDefault="00DD1F8D" w:rsidP="00DD1F8D">
      <w:pPr>
        <w:spacing w:after="0" w:line="240" w:lineRule="auto"/>
      </w:pPr>
    </w:p>
    <w:p w14:paraId="400A29D6" w14:textId="77777777" w:rsidR="00F445DB" w:rsidRPr="001048EE" w:rsidRDefault="00075EC6" w:rsidP="00872771">
      <w:pPr>
        <w:pStyle w:val="ListParagraph"/>
        <w:spacing w:after="0" w:line="240" w:lineRule="auto"/>
        <w:ind w:left="0"/>
        <w:contextualSpacing w:val="0"/>
        <w:rPr>
          <w:b/>
        </w:rPr>
      </w:pPr>
      <w:r>
        <w:rPr>
          <w:b/>
        </w:rPr>
        <w:t>Preparing the</w:t>
      </w:r>
      <w:r w:rsidR="00F445DB" w:rsidRPr="001048EE">
        <w:rPr>
          <w:b/>
        </w:rPr>
        <w:t xml:space="preserve"> 925F Report</w:t>
      </w:r>
      <w:r>
        <w:rPr>
          <w:b/>
        </w:rPr>
        <w:t>s for signature</w:t>
      </w:r>
      <w:r w:rsidR="000D0A19">
        <w:rPr>
          <w:b/>
        </w:rPr>
        <w:t xml:space="preserve"> and upload</w:t>
      </w:r>
      <w:r w:rsidR="00852A39">
        <w:rPr>
          <w:b/>
        </w:rPr>
        <w:t xml:space="preserve"> to File Transfer Site (FTS)</w:t>
      </w:r>
      <w:r w:rsidR="00F445DB" w:rsidRPr="001048EE">
        <w:rPr>
          <w:b/>
        </w:rPr>
        <w:t>:</w:t>
      </w:r>
    </w:p>
    <w:p w14:paraId="60F3CAE3" w14:textId="77777777" w:rsidR="001048EE" w:rsidRDefault="00075EC6" w:rsidP="001048EE">
      <w:pPr>
        <w:pStyle w:val="ListParagraph"/>
        <w:numPr>
          <w:ilvl w:val="1"/>
          <w:numId w:val="2"/>
        </w:numPr>
        <w:spacing w:after="0" w:line="240" w:lineRule="auto"/>
        <w:contextualSpacing w:val="0"/>
      </w:pPr>
      <w:r>
        <w:t>C</w:t>
      </w:r>
      <w:r w:rsidR="00F445DB">
        <w:t>lick “Reports” on the top menu bar.</w:t>
      </w:r>
    </w:p>
    <w:p w14:paraId="03BB3FA2" w14:textId="7EFF541F" w:rsidR="001048EE" w:rsidRDefault="00F445DB" w:rsidP="001048EE">
      <w:pPr>
        <w:pStyle w:val="ListParagraph"/>
        <w:numPr>
          <w:ilvl w:val="1"/>
          <w:numId w:val="2"/>
        </w:numPr>
        <w:spacing w:after="0" w:line="240" w:lineRule="auto"/>
        <w:contextualSpacing w:val="0"/>
      </w:pPr>
      <w:r>
        <w:t>Select “A</w:t>
      </w:r>
      <w:r w:rsidR="00D36436">
        <w:t>udit</w:t>
      </w:r>
      <w:r>
        <w:t xml:space="preserve"> Reports</w:t>
      </w:r>
      <w:r w:rsidR="00852A39">
        <w:t>.</w:t>
      </w:r>
      <w:r>
        <w:t>”</w:t>
      </w:r>
    </w:p>
    <w:p w14:paraId="4184E32C" w14:textId="77777777" w:rsidR="001048EE" w:rsidRDefault="00F445DB" w:rsidP="001048EE">
      <w:pPr>
        <w:pStyle w:val="ListParagraph"/>
        <w:numPr>
          <w:ilvl w:val="1"/>
          <w:numId w:val="2"/>
        </w:numPr>
        <w:spacing w:after="0" w:line="240" w:lineRule="auto"/>
        <w:contextualSpacing w:val="0"/>
      </w:pPr>
      <w:r>
        <w:t>Select “Actuals 925F Report</w:t>
      </w:r>
      <w:r w:rsidR="00852A39">
        <w:t>.</w:t>
      </w:r>
      <w:r>
        <w:t>”</w:t>
      </w:r>
    </w:p>
    <w:p w14:paraId="220BE71A" w14:textId="77777777" w:rsidR="001048EE" w:rsidRDefault="00F445DB" w:rsidP="001048EE">
      <w:pPr>
        <w:pStyle w:val="ListParagraph"/>
        <w:numPr>
          <w:ilvl w:val="1"/>
          <w:numId w:val="2"/>
        </w:numPr>
        <w:spacing w:after="0" w:line="240" w:lineRule="auto"/>
        <w:contextualSpacing w:val="0"/>
      </w:pPr>
      <w:r>
        <w:t xml:space="preserve">Select the </w:t>
      </w:r>
      <w:r w:rsidR="00852A39">
        <w:t xml:space="preserve">correct </w:t>
      </w:r>
      <w:r>
        <w:t xml:space="preserve">Budget </w:t>
      </w:r>
      <w:r w:rsidR="00852A39">
        <w:t>(Entity Name and Year)</w:t>
      </w:r>
      <w:r w:rsidR="00075EC6">
        <w:t>.</w:t>
      </w:r>
    </w:p>
    <w:p w14:paraId="3DAD9B4D" w14:textId="77777777" w:rsidR="00075EC6" w:rsidRDefault="00F445DB" w:rsidP="00F445DB">
      <w:pPr>
        <w:pStyle w:val="ListParagraph"/>
        <w:numPr>
          <w:ilvl w:val="1"/>
          <w:numId w:val="2"/>
        </w:numPr>
        <w:spacing w:after="0" w:line="240" w:lineRule="auto"/>
        <w:contextualSpacing w:val="0"/>
      </w:pPr>
      <w:r>
        <w:t xml:space="preserve">On the section </w:t>
      </w:r>
      <w:r w:rsidR="00852A39">
        <w:t>that states Certified Personnel:</w:t>
      </w:r>
    </w:p>
    <w:p w14:paraId="482B9E0E" w14:textId="77777777" w:rsidR="00075EC6" w:rsidRDefault="005267AA" w:rsidP="000D0A19">
      <w:pPr>
        <w:pStyle w:val="ListParagraph"/>
        <w:numPr>
          <w:ilvl w:val="2"/>
          <w:numId w:val="2"/>
        </w:numPr>
        <w:spacing w:after="0" w:line="240" w:lineRule="auto"/>
        <w:contextualSpacing w:val="0"/>
      </w:pPr>
      <w:r>
        <w:t>S</w:t>
      </w:r>
      <w:r w:rsidR="00F445DB">
        <w:t>elect “Yes” for Certified report</w:t>
      </w:r>
      <w:r w:rsidR="00075EC6">
        <w:t xml:space="preserve"> and click “View Report;”</w:t>
      </w:r>
    </w:p>
    <w:p w14:paraId="4C5B6B0F" w14:textId="77777777" w:rsidR="00F445DB" w:rsidRDefault="005267AA" w:rsidP="000D0A19">
      <w:pPr>
        <w:pStyle w:val="ListParagraph"/>
        <w:numPr>
          <w:ilvl w:val="2"/>
          <w:numId w:val="2"/>
        </w:numPr>
        <w:spacing w:after="0" w:line="240" w:lineRule="auto"/>
        <w:contextualSpacing w:val="0"/>
      </w:pPr>
      <w:r>
        <w:t>S</w:t>
      </w:r>
      <w:r w:rsidR="00F445DB">
        <w:t>elect “No” for Uncertified report and click “View Report</w:t>
      </w:r>
      <w:r w:rsidR="00075EC6">
        <w:t>.</w:t>
      </w:r>
      <w:r w:rsidR="00F445DB">
        <w:t>”</w:t>
      </w:r>
    </w:p>
    <w:p w14:paraId="6A26EE78" w14:textId="77777777" w:rsidR="00075EC6" w:rsidRDefault="00F445DB" w:rsidP="00F445DB">
      <w:pPr>
        <w:pStyle w:val="ListParagraph"/>
        <w:numPr>
          <w:ilvl w:val="1"/>
          <w:numId w:val="2"/>
        </w:numPr>
        <w:spacing w:after="0" w:line="240" w:lineRule="auto"/>
        <w:contextualSpacing w:val="0"/>
      </w:pPr>
      <w:r>
        <w:t xml:space="preserve">Your report will be displayed. </w:t>
      </w:r>
      <w:r w:rsidR="00075EC6">
        <w:t xml:space="preserve"> </w:t>
      </w:r>
      <w:r>
        <w:t xml:space="preserve">You can print the report using the printer icon or export to </w:t>
      </w:r>
      <w:r w:rsidR="00075EC6">
        <w:t>PDF.</w:t>
      </w:r>
    </w:p>
    <w:p w14:paraId="7297717E" w14:textId="77777777" w:rsidR="00075EC6" w:rsidRDefault="00584B36" w:rsidP="00075EC6">
      <w:pPr>
        <w:pStyle w:val="ListParagraph"/>
        <w:numPr>
          <w:ilvl w:val="1"/>
          <w:numId w:val="2"/>
        </w:numPr>
        <w:spacing w:after="0" w:line="240" w:lineRule="auto"/>
        <w:contextualSpacing w:val="0"/>
      </w:pPr>
      <w:r>
        <w:t>School Business Official s</w:t>
      </w:r>
      <w:r w:rsidR="00075EC6">
        <w:t>ign</w:t>
      </w:r>
      <w:r>
        <w:t>s</w:t>
      </w:r>
      <w:r w:rsidR="00075EC6">
        <w:t xml:space="preserve"> both reports.</w:t>
      </w:r>
    </w:p>
    <w:p w14:paraId="32025384" w14:textId="502F5DC5" w:rsidR="00F445DB" w:rsidRPr="00872771" w:rsidRDefault="000D0A19" w:rsidP="009B2EBC">
      <w:pPr>
        <w:pStyle w:val="ListParagraph"/>
        <w:numPr>
          <w:ilvl w:val="0"/>
          <w:numId w:val="3"/>
        </w:numPr>
        <w:spacing w:after="0" w:line="240" w:lineRule="auto"/>
        <w:contextualSpacing w:val="0"/>
      </w:pPr>
      <w:r>
        <w:t>Upload both reports to the FTS</w:t>
      </w:r>
      <w:r w:rsidR="00F119A7">
        <w:t xml:space="preserve"> in the </w:t>
      </w:r>
      <w:r w:rsidR="00D36436" w:rsidRPr="00BB748E">
        <w:rPr>
          <w:sz w:val="24"/>
          <w:szCs w:val="24"/>
        </w:rPr>
        <w:t>FY2</w:t>
      </w:r>
      <w:r w:rsidR="00D36436">
        <w:rPr>
          <w:sz w:val="24"/>
          <w:szCs w:val="24"/>
        </w:rPr>
        <w:t>4</w:t>
      </w:r>
      <w:r w:rsidR="00D36436" w:rsidRPr="00BB748E">
        <w:rPr>
          <w:sz w:val="24"/>
          <w:szCs w:val="24"/>
        </w:rPr>
        <w:t xml:space="preserve"> </w:t>
      </w:r>
      <w:r w:rsidR="00D36436" w:rsidRPr="00BB3700">
        <w:rPr>
          <w:sz w:val="24"/>
          <w:szCs w:val="24"/>
        </w:rPr>
        <w:sym w:font="Wingdings" w:char="F0E0"/>
      </w:r>
      <w:r w:rsidR="00D36436" w:rsidRPr="00BB748E">
        <w:rPr>
          <w:sz w:val="24"/>
          <w:szCs w:val="24"/>
        </w:rPr>
        <w:t xml:space="preserve"> Financial Reporting </w:t>
      </w:r>
      <w:r w:rsidR="00D36436" w:rsidRPr="00BB3700">
        <w:rPr>
          <w:sz w:val="24"/>
          <w:szCs w:val="24"/>
        </w:rPr>
        <w:sym w:font="Wingdings" w:char="F0E0"/>
      </w:r>
      <w:r w:rsidR="00D36436" w:rsidRPr="00BB748E">
        <w:rPr>
          <w:sz w:val="24"/>
          <w:szCs w:val="24"/>
        </w:rPr>
        <w:t xml:space="preserve"> Q4 - Final Reports folder </w:t>
      </w:r>
      <w:r w:rsidR="00584B36">
        <w:br w:type="page"/>
      </w:r>
      <w:r w:rsidR="00F445DB" w:rsidRPr="00D36436">
        <w:rPr>
          <w:b/>
        </w:rPr>
        <w:lastRenderedPageBreak/>
        <w:t>Descriptions of the Certified/Uncertified Actuals 925F Report Fields and Detailed Instructions for entering data:</w:t>
      </w:r>
    </w:p>
    <w:p w14:paraId="1E4AC08D" w14:textId="77777777" w:rsidR="001048EE" w:rsidRDefault="001048EE" w:rsidP="00F445DB">
      <w:pPr>
        <w:spacing w:after="0" w:line="240" w:lineRule="auto"/>
        <w:rPr>
          <w:u w:val="single"/>
        </w:rPr>
      </w:pPr>
    </w:p>
    <w:p w14:paraId="34C9B3A5" w14:textId="77777777" w:rsidR="00F445DB" w:rsidRPr="001048EE" w:rsidRDefault="00F445DB" w:rsidP="00F445DB">
      <w:pPr>
        <w:spacing w:after="0" w:line="240" w:lineRule="auto"/>
        <w:rPr>
          <w:u w:val="single"/>
        </w:rPr>
      </w:pPr>
      <w:r w:rsidRPr="001048EE">
        <w:rPr>
          <w:u w:val="single"/>
        </w:rPr>
        <w:t>Job Category:</w:t>
      </w:r>
    </w:p>
    <w:p w14:paraId="38FD934A" w14:textId="77777777" w:rsidR="00F445DB" w:rsidRDefault="00F445DB" w:rsidP="00F445DB">
      <w:pPr>
        <w:spacing w:after="0" w:line="240" w:lineRule="auto"/>
      </w:pPr>
      <w:r>
        <w:t>Populated from the OBMS Q4 or M12 actuals submission.  This is a description of the Job Class Code.</w:t>
      </w:r>
    </w:p>
    <w:p w14:paraId="73084942" w14:textId="77777777" w:rsidR="001048EE" w:rsidRDefault="001048EE" w:rsidP="00F445DB">
      <w:pPr>
        <w:spacing w:after="0" w:line="240" w:lineRule="auto"/>
        <w:rPr>
          <w:u w:val="single"/>
        </w:rPr>
      </w:pPr>
    </w:p>
    <w:p w14:paraId="1FEF5ED7" w14:textId="77777777" w:rsidR="00F445DB" w:rsidRPr="001048EE" w:rsidRDefault="00F445DB" w:rsidP="00F445DB">
      <w:pPr>
        <w:spacing w:after="0" w:line="240" w:lineRule="auto"/>
        <w:rPr>
          <w:u w:val="single"/>
        </w:rPr>
      </w:pPr>
      <w:r w:rsidRPr="001048EE">
        <w:rPr>
          <w:u w:val="single"/>
        </w:rPr>
        <w:t>Job Code:</w:t>
      </w:r>
    </w:p>
    <w:p w14:paraId="3D162D4E" w14:textId="77777777" w:rsidR="00F445DB" w:rsidRDefault="00F445DB" w:rsidP="00F445DB">
      <w:pPr>
        <w:spacing w:after="0" w:line="240" w:lineRule="auto"/>
      </w:pPr>
      <w:r>
        <w:t>Populated from the OBMS Q4 or M12 actuals submission.  This code is a required element of the Uniform Chart of Accounts (UCOA) to account for compensation expenses.</w:t>
      </w:r>
    </w:p>
    <w:p w14:paraId="16D4E2F4" w14:textId="77777777" w:rsidR="001048EE" w:rsidRDefault="001048EE" w:rsidP="00F445DB">
      <w:pPr>
        <w:spacing w:after="0" w:line="240" w:lineRule="auto"/>
        <w:rPr>
          <w:u w:val="single"/>
        </w:rPr>
      </w:pPr>
    </w:p>
    <w:p w14:paraId="00136769" w14:textId="77777777" w:rsidR="00F445DB" w:rsidRPr="001048EE" w:rsidRDefault="00F445DB" w:rsidP="00F445DB">
      <w:pPr>
        <w:spacing w:after="0" w:line="240" w:lineRule="auto"/>
        <w:rPr>
          <w:u w:val="single"/>
        </w:rPr>
      </w:pPr>
      <w:r w:rsidRPr="001048EE">
        <w:rPr>
          <w:u w:val="single"/>
        </w:rPr>
        <w:t>Salary:</w:t>
      </w:r>
    </w:p>
    <w:p w14:paraId="0372E68A" w14:textId="77777777" w:rsidR="00F445DB" w:rsidRDefault="00F445DB" w:rsidP="00F445DB">
      <w:pPr>
        <w:spacing w:after="0" w:line="240" w:lineRule="auto"/>
      </w:pPr>
      <w:r>
        <w:t xml:space="preserve">Populated from the OBMS Q4 or M12 Final Report YTD Expenditures – </w:t>
      </w:r>
      <w:r w:rsidRPr="001048EE">
        <w:rPr>
          <w:b/>
        </w:rPr>
        <w:t>OBJECT CODE 51100 only</w:t>
      </w:r>
      <w:r>
        <w:t>.  Amounts are rounded to the nearest dollar. This field should include all salary increases resulting from one-time lump sum payments or percentage increases.</w:t>
      </w:r>
    </w:p>
    <w:p w14:paraId="6A02E2DF" w14:textId="77777777" w:rsidR="001048EE" w:rsidRDefault="001048EE" w:rsidP="00F445DB">
      <w:pPr>
        <w:spacing w:after="0" w:line="240" w:lineRule="auto"/>
        <w:rPr>
          <w:u w:val="single"/>
        </w:rPr>
      </w:pPr>
    </w:p>
    <w:p w14:paraId="0BC668FD" w14:textId="77777777" w:rsidR="00F445DB" w:rsidRPr="001048EE" w:rsidRDefault="00F445DB" w:rsidP="00F445DB">
      <w:pPr>
        <w:spacing w:after="0" w:line="240" w:lineRule="auto"/>
        <w:rPr>
          <w:u w:val="single"/>
        </w:rPr>
      </w:pPr>
      <w:r w:rsidRPr="001048EE">
        <w:rPr>
          <w:u w:val="single"/>
        </w:rPr>
        <w:t>+Plus:</w:t>
      </w:r>
    </w:p>
    <w:p w14:paraId="55B6695B" w14:textId="77777777" w:rsidR="00F445DB" w:rsidRDefault="00F445DB" w:rsidP="00F445DB">
      <w:pPr>
        <w:spacing w:after="0" w:line="240" w:lineRule="auto"/>
      </w:pPr>
      <w:r>
        <w:t>Enter the adjustment amounts not paid to late beginning personnel or any other amounts not paid to bring to full salary EXCEPT: Increments or amounts paid from federal projects or other funds.  Increments should be posted to object code 51300 – Additional Compensation.  Partial FTE salaries paid from federal or other funds should be reported under their respective fund, object code 51100.</w:t>
      </w:r>
    </w:p>
    <w:p w14:paraId="51F4B1C8" w14:textId="77777777" w:rsidR="001048EE" w:rsidRDefault="001048EE" w:rsidP="00F445DB">
      <w:pPr>
        <w:spacing w:after="0" w:line="240" w:lineRule="auto"/>
      </w:pPr>
    </w:p>
    <w:p w14:paraId="33552ACF" w14:textId="50C5E9B4" w:rsidR="00F445DB" w:rsidRPr="001048EE" w:rsidRDefault="00903313" w:rsidP="00F445DB">
      <w:pPr>
        <w:spacing w:after="0" w:line="240" w:lineRule="auto"/>
        <w:rPr>
          <w:u w:val="single"/>
        </w:rPr>
      </w:pPr>
      <w:r>
        <w:rPr>
          <w:u w:val="single"/>
        </w:rPr>
        <w:t>-Minus</w:t>
      </w:r>
      <w:r w:rsidR="00F445DB" w:rsidRPr="001048EE">
        <w:rPr>
          <w:u w:val="single"/>
        </w:rPr>
        <w:t>:</w:t>
      </w:r>
    </w:p>
    <w:p w14:paraId="65582947" w14:textId="77777777" w:rsidR="00F445DB" w:rsidRDefault="00F445DB" w:rsidP="00F445DB">
      <w:pPr>
        <w:spacing w:after="0" w:line="240" w:lineRule="auto"/>
      </w:pPr>
      <w:r>
        <w:t xml:space="preserve">Enter the adjustment amount for personnel who did not complete their full term of employment in order to bring their salary up to a full term salary.  </w:t>
      </w:r>
      <w:r w:rsidRPr="001048EE">
        <w:rPr>
          <w:b/>
        </w:rPr>
        <w:t>DO NOT enter overtime pay, substitute pay, one-time non-recurring increases, etc.</w:t>
      </w:r>
    </w:p>
    <w:p w14:paraId="02348015" w14:textId="77777777" w:rsidR="001048EE" w:rsidRDefault="001048EE" w:rsidP="00F445DB">
      <w:pPr>
        <w:spacing w:after="0" w:line="240" w:lineRule="auto"/>
      </w:pPr>
    </w:p>
    <w:p w14:paraId="33225FB3" w14:textId="77777777" w:rsidR="00F445DB" w:rsidRPr="001048EE" w:rsidRDefault="00F445DB" w:rsidP="00F445DB">
      <w:pPr>
        <w:spacing w:after="0" w:line="240" w:lineRule="auto"/>
        <w:rPr>
          <w:u w:val="single"/>
        </w:rPr>
      </w:pPr>
      <w:r w:rsidRPr="001048EE">
        <w:rPr>
          <w:u w:val="single"/>
        </w:rPr>
        <w:t>Salary Explanation:</w:t>
      </w:r>
    </w:p>
    <w:p w14:paraId="48BE271A" w14:textId="77777777" w:rsidR="00F445DB" w:rsidRDefault="00F445DB" w:rsidP="00F445DB">
      <w:pPr>
        <w:spacing w:after="0" w:line="240" w:lineRule="auto"/>
      </w:pPr>
      <w:r>
        <w:t>Enter an explanation of the nature of the adjustments (plus and minus).</w:t>
      </w:r>
    </w:p>
    <w:p w14:paraId="41EEEF74" w14:textId="77777777" w:rsidR="00F445DB" w:rsidRDefault="00F445DB" w:rsidP="00F445DB">
      <w:pPr>
        <w:spacing w:after="0" w:line="240" w:lineRule="auto"/>
      </w:pPr>
      <w:r>
        <w:t xml:space="preserve">Acceptable examples are: </w:t>
      </w:r>
    </w:p>
    <w:p w14:paraId="06651B46" w14:textId="77777777" w:rsidR="00F445DB" w:rsidRDefault="00F445DB" w:rsidP="00F445DB">
      <w:pPr>
        <w:spacing w:after="0" w:line="240" w:lineRule="auto"/>
      </w:pPr>
      <w:r>
        <w:t>(1) Amount not paid due to late beginning personnel,</w:t>
      </w:r>
    </w:p>
    <w:p w14:paraId="51CAF350" w14:textId="77777777" w:rsidR="009B2035" w:rsidRDefault="00F445DB" w:rsidP="00F445DB">
      <w:pPr>
        <w:spacing w:after="0" w:line="240" w:lineRule="auto"/>
      </w:pPr>
      <w:r>
        <w:t xml:space="preserve">(2) Amount paid to personnel who did not complete full-time term of employment. </w:t>
      </w:r>
    </w:p>
    <w:p w14:paraId="6FD3EFA5" w14:textId="2B7DA60F" w:rsidR="00F445DB" w:rsidRDefault="00F445DB" w:rsidP="00F445DB">
      <w:pPr>
        <w:spacing w:after="0" w:line="240" w:lineRule="auto"/>
      </w:pPr>
      <w:r w:rsidRPr="001048EE">
        <w:rPr>
          <w:b/>
        </w:rPr>
        <w:t xml:space="preserve">Other explanations will be questioned by your </w:t>
      </w:r>
      <w:r w:rsidR="00D36436">
        <w:rPr>
          <w:b/>
        </w:rPr>
        <w:t>B</w:t>
      </w:r>
      <w:r w:rsidRPr="001048EE">
        <w:rPr>
          <w:b/>
        </w:rPr>
        <w:t xml:space="preserve">udget </w:t>
      </w:r>
      <w:r w:rsidR="00D36436">
        <w:rPr>
          <w:b/>
        </w:rPr>
        <w:t>A</w:t>
      </w:r>
      <w:r w:rsidRPr="001048EE">
        <w:rPr>
          <w:b/>
        </w:rPr>
        <w:t>nalyst.</w:t>
      </w:r>
    </w:p>
    <w:p w14:paraId="309D7505" w14:textId="77777777" w:rsidR="001048EE" w:rsidRDefault="001048EE" w:rsidP="00F445DB">
      <w:pPr>
        <w:spacing w:after="0" w:line="240" w:lineRule="auto"/>
      </w:pPr>
    </w:p>
    <w:p w14:paraId="239EFFD5" w14:textId="77777777" w:rsidR="00F445DB" w:rsidRPr="008C67C4" w:rsidRDefault="00F445DB" w:rsidP="00F445DB">
      <w:pPr>
        <w:spacing w:after="0" w:line="240" w:lineRule="auto"/>
        <w:rPr>
          <w:u w:val="single"/>
        </w:rPr>
      </w:pPr>
      <w:r w:rsidRPr="008C67C4">
        <w:rPr>
          <w:u w:val="single"/>
        </w:rPr>
        <w:t>Adjusted Salary:</w:t>
      </w:r>
    </w:p>
    <w:p w14:paraId="25C95F01" w14:textId="77777777" w:rsidR="00F445DB" w:rsidRPr="008C67C4" w:rsidRDefault="00F445DB" w:rsidP="00F445DB">
      <w:pPr>
        <w:spacing w:after="0" w:line="240" w:lineRule="auto"/>
      </w:pPr>
      <w:r w:rsidRPr="008C67C4">
        <w:t>This amount is calculated automatically in OBMS. This is a sum of: Salary, +Plus and (Minus) columns.</w:t>
      </w:r>
    </w:p>
    <w:p w14:paraId="73A1D7BB" w14:textId="23F4C0C8" w:rsidR="005556C4" w:rsidRPr="008C67C4" w:rsidRDefault="005556C4" w:rsidP="005556C4">
      <w:pPr>
        <w:pStyle w:val="NormalWeb"/>
        <w:rPr>
          <w:rFonts w:asciiTheme="minorHAnsi" w:hAnsiTheme="minorHAnsi" w:cstheme="minorHAnsi"/>
          <w:sz w:val="22"/>
          <w:szCs w:val="22"/>
        </w:rPr>
      </w:pPr>
      <w:r w:rsidRPr="008C67C4">
        <w:rPr>
          <w:rFonts w:asciiTheme="minorHAnsi" w:hAnsiTheme="minorHAnsi" w:cstheme="minorHAnsi"/>
          <w:sz w:val="22"/>
          <w:szCs w:val="22"/>
          <w:u w:val="single"/>
        </w:rPr>
        <w:t>FTE:</w:t>
      </w:r>
      <w:r w:rsidR="00A15244">
        <w:rPr>
          <w:rFonts w:asciiTheme="minorHAnsi" w:hAnsiTheme="minorHAnsi" w:cstheme="minorHAnsi"/>
          <w:sz w:val="22"/>
          <w:szCs w:val="22"/>
          <w:u w:val="single"/>
        </w:rPr>
        <w:br/>
      </w:r>
      <w:r w:rsidRPr="008C67C4">
        <w:rPr>
          <w:rFonts w:asciiTheme="minorHAnsi" w:hAnsiTheme="minorHAnsi" w:cstheme="minorHAnsi"/>
          <w:sz w:val="22"/>
          <w:szCs w:val="22"/>
        </w:rPr>
        <w:t xml:space="preserve">Populated by the OBMS Q4 or M12 Final Report.  </w:t>
      </w:r>
      <w:r w:rsidRPr="008C67C4">
        <w:rPr>
          <w:rStyle w:val="Strong"/>
          <w:rFonts w:asciiTheme="minorHAnsi" w:hAnsiTheme="minorHAnsi" w:cstheme="minorHAnsi"/>
          <w:sz w:val="22"/>
          <w:szCs w:val="22"/>
        </w:rPr>
        <w:t>Only 11000</w:t>
      </w:r>
      <w:r w:rsidRPr="008C67C4">
        <w:rPr>
          <w:rFonts w:asciiTheme="minorHAnsi" w:hAnsiTheme="minorHAnsi" w:cstheme="minorHAnsi"/>
          <w:sz w:val="22"/>
          <w:szCs w:val="22"/>
        </w:rPr>
        <w:t xml:space="preserve"> – Operational FTE’s or portions thereof should be reported.  Federal and other funded salary FTE’s should be reported under their respective fund. </w:t>
      </w:r>
    </w:p>
    <w:p w14:paraId="26F42DF4" w14:textId="7D124CDB" w:rsidR="005556C4" w:rsidRPr="00A15244" w:rsidRDefault="005556C4" w:rsidP="005556C4">
      <w:pPr>
        <w:pStyle w:val="NormalWeb"/>
        <w:rPr>
          <w:rFonts w:asciiTheme="minorHAnsi" w:hAnsiTheme="minorHAnsi" w:cstheme="minorHAnsi"/>
          <w:sz w:val="22"/>
          <w:szCs w:val="22"/>
          <w:u w:val="single"/>
        </w:rPr>
      </w:pPr>
      <w:r w:rsidRPr="008C67C4">
        <w:rPr>
          <w:rFonts w:asciiTheme="minorHAnsi" w:hAnsiTheme="minorHAnsi" w:cstheme="minorHAnsi"/>
          <w:sz w:val="22"/>
          <w:szCs w:val="22"/>
          <w:u w:val="single"/>
        </w:rPr>
        <w:t>+Plus:</w:t>
      </w:r>
      <w:r w:rsidR="00A15244">
        <w:rPr>
          <w:rFonts w:asciiTheme="minorHAnsi" w:hAnsiTheme="minorHAnsi" w:cstheme="minorHAnsi"/>
          <w:sz w:val="22"/>
          <w:szCs w:val="22"/>
          <w:u w:val="single"/>
        </w:rPr>
        <w:br/>
      </w:r>
      <w:r w:rsidRPr="008C67C4">
        <w:rPr>
          <w:rFonts w:asciiTheme="minorHAnsi" w:hAnsiTheme="minorHAnsi" w:cstheme="minorHAnsi"/>
          <w:sz w:val="22"/>
          <w:szCs w:val="22"/>
        </w:rPr>
        <w:t xml:space="preserve">Enter the adjustment amount required if the entity failed to perform actuals maintenance and the FTE listed in the FTE column is too low.  Note that you may also request that your assigned </w:t>
      </w:r>
      <w:r w:rsidR="00D36436">
        <w:rPr>
          <w:rFonts w:asciiTheme="minorHAnsi" w:hAnsiTheme="minorHAnsi" w:cstheme="minorHAnsi"/>
          <w:sz w:val="22"/>
          <w:szCs w:val="22"/>
        </w:rPr>
        <w:t>B</w:t>
      </w:r>
      <w:r w:rsidRPr="008C67C4">
        <w:rPr>
          <w:rFonts w:asciiTheme="minorHAnsi" w:hAnsiTheme="minorHAnsi" w:cstheme="minorHAnsi"/>
          <w:sz w:val="22"/>
          <w:szCs w:val="22"/>
        </w:rPr>
        <w:t xml:space="preserve">udget </w:t>
      </w:r>
      <w:r w:rsidR="00D36436">
        <w:rPr>
          <w:rFonts w:asciiTheme="minorHAnsi" w:hAnsiTheme="minorHAnsi" w:cstheme="minorHAnsi"/>
          <w:sz w:val="22"/>
          <w:szCs w:val="22"/>
        </w:rPr>
        <w:t>A</w:t>
      </w:r>
      <w:r w:rsidRPr="008C67C4">
        <w:rPr>
          <w:rFonts w:asciiTheme="minorHAnsi" w:hAnsiTheme="minorHAnsi" w:cstheme="minorHAnsi"/>
          <w:sz w:val="22"/>
          <w:szCs w:val="22"/>
        </w:rPr>
        <w:t>nalyst disapprove Actuals so that the FTE can be corrected in the upload report if you choose. </w:t>
      </w:r>
    </w:p>
    <w:p w14:paraId="00939FAB" w14:textId="35B45F9A" w:rsidR="005556C4" w:rsidRPr="008C67C4" w:rsidRDefault="005556C4" w:rsidP="005556C4">
      <w:pPr>
        <w:pStyle w:val="NormalWeb"/>
        <w:rPr>
          <w:rFonts w:asciiTheme="minorHAnsi" w:hAnsiTheme="minorHAnsi" w:cstheme="minorHAnsi"/>
          <w:sz w:val="22"/>
          <w:szCs w:val="22"/>
        </w:rPr>
      </w:pPr>
      <w:r w:rsidRPr="008C67C4">
        <w:rPr>
          <w:rFonts w:asciiTheme="minorHAnsi" w:hAnsiTheme="minorHAnsi" w:cstheme="minorHAnsi"/>
          <w:sz w:val="22"/>
          <w:szCs w:val="22"/>
          <w:u w:val="single"/>
        </w:rPr>
        <w:t>-Minus:</w:t>
      </w:r>
      <w:r w:rsidR="00A15244">
        <w:rPr>
          <w:rFonts w:asciiTheme="minorHAnsi" w:hAnsiTheme="minorHAnsi" w:cstheme="minorHAnsi"/>
          <w:sz w:val="22"/>
          <w:szCs w:val="22"/>
          <w:u w:val="single"/>
        </w:rPr>
        <w:br/>
      </w:r>
      <w:r w:rsidRPr="008C67C4">
        <w:rPr>
          <w:rFonts w:asciiTheme="minorHAnsi" w:hAnsiTheme="minorHAnsi" w:cstheme="minorHAnsi"/>
          <w:sz w:val="22"/>
          <w:szCs w:val="22"/>
        </w:rPr>
        <w:t xml:space="preserve">Enter the adjustment amounts required if the entity failed to perform actuals maintenance and the FTE </w:t>
      </w:r>
      <w:r w:rsidRPr="008C67C4">
        <w:rPr>
          <w:rFonts w:asciiTheme="minorHAnsi" w:hAnsiTheme="minorHAnsi" w:cstheme="minorHAnsi"/>
          <w:sz w:val="22"/>
          <w:szCs w:val="22"/>
        </w:rPr>
        <w:lastRenderedPageBreak/>
        <w:t xml:space="preserve">listed in the FTE column is too high. Note that you may also request that your assigned </w:t>
      </w:r>
      <w:r w:rsidR="00D36436">
        <w:rPr>
          <w:rFonts w:asciiTheme="minorHAnsi" w:hAnsiTheme="minorHAnsi" w:cstheme="minorHAnsi"/>
          <w:sz w:val="22"/>
          <w:szCs w:val="22"/>
        </w:rPr>
        <w:t>B</w:t>
      </w:r>
      <w:r w:rsidRPr="008C67C4">
        <w:rPr>
          <w:rFonts w:asciiTheme="minorHAnsi" w:hAnsiTheme="minorHAnsi" w:cstheme="minorHAnsi"/>
          <w:sz w:val="22"/>
          <w:szCs w:val="22"/>
        </w:rPr>
        <w:t xml:space="preserve">udget </w:t>
      </w:r>
      <w:r w:rsidR="00D36436">
        <w:rPr>
          <w:rFonts w:asciiTheme="minorHAnsi" w:hAnsiTheme="minorHAnsi" w:cstheme="minorHAnsi"/>
          <w:sz w:val="22"/>
          <w:szCs w:val="22"/>
        </w:rPr>
        <w:t>A</w:t>
      </w:r>
      <w:r w:rsidRPr="008C67C4">
        <w:rPr>
          <w:rFonts w:asciiTheme="minorHAnsi" w:hAnsiTheme="minorHAnsi" w:cstheme="minorHAnsi"/>
          <w:sz w:val="22"/>
          <w:szCs w:val="22"/>
        </w:rPr>
        <w:t>nalyst disapprove Actuals so that the FTE can be corrected in the upload report if you choose.</w:t>
      </w:r>
    </w:p>
    <w:p w14:paraId="03AB6F8C" w14:textId="24116AED" w:rsidR="005556C4" w:rsidRPr="008C67C4" w:rsidRDefault="005556C4" w:rsidP="005556C4">
      <w:pPr>
        <w:pStyle w:val="NormalWeb"/>
        <w:rPr>
          <w:rFonts w:asciiTheme="minorHAnsi" w:hAnsiTheme="minorHAnsi" w:cstheme="minorHAnsi"/>
          <w:sz w:val="22"/>
          <w:szCs w:val="22"/>
        </w:rPr>
      </w:pPr>
      <w:r w:rsidRPr="008C67C4">
        <w:rPr>
          <w:rFonts w:asciiTheme="minorHAnsi" w:hAnsiTheme="minorHAnsi" w:cstheme="minorHAnsi"/>
          <w:sz w:val="22"/>
          <w:szCs w:val="22"/>
          <w:u w:val="single"/>
        </w:rPr>
        <w:t>FTE Explanation</w:t>
      </w:r>
      <w:r w:rsidR="00A15244">
        <w:rPr>
          <w:rFonts w:asciiTheme="minorHAnsi" w:hAnsiTheme="minorHAnsi" w:cstheme="minorHAnsi"/>
          <w:sz w:val="22"/>
          <w:szCs w:val="22"/>
          <w:u w:val="single"/>
        </w:rPr>
        <w:br/>
      </w:r>
      <w:r w:rsidRPr="008C67C4">
        <w:rPr>
          <w:rFonts w:asciiTheme="minorHAnsi" w:hAnsiTheme="minorHAnsi" w:cstheme="minorHAnsi"/>
          <w:sz w:val="22"/>
          <w:szCs w:val="22"/>
        </w:rPr>
        <w:t>Enter an explanation of the nature of the adjustments (plus and minus).</w:t>
      </w:r>
    </w:p>
    <w:p w14:paraId="06486B5C" w14:textId="3C78C12B" w:rsidR="00F445DB" w:rsidRPr="001048EE" w:rsidRDefault="00F445DB" w:rsidP="00F445DB">
      <w:pPr>
        <w:spacing w:after="0" w:line="240" w:lineRule="auto"/>
        <w:rPr>
          <w:u w:val="single"/>
        </w:rPr>
      </w:pPr>
      <w:r w:rsidRPr="001048EE">
        <w:rPr>
          <w:u w:val="single"/>
        </w:rPr>
        <w:t>Average Salary:</w:t>
      </w:r>
    </w:p>
    <w:p w14:paraId="234B62B8" w14:textId="77777777" w:rsidR="00F445DB" w:rsidRDefault="00F445DB" w:rsidP="00F445DB">
      <w:pPr>
        <w:spacing w:after="0" w:line="240" w:lineRule="auto"/>
      </w:pPr>
      <w:r>
        <w:t>OBMS populates this column by dividing the average adjusted salary column by the FTE column.   If the average salary comes out less than beginning salary from the districts salary schedule, the average is in error.  Recheck the</w:t>
      </w:r>
      <w:r w:rsidR="001048EE">
        <w:t xml:space="preserve"> information to find the error.</w:t>
      </w:r>
    </w:p>
    <w:p w14:paraId="73C0B464" w14:textId="77777777" w:rsidR="00B50C78" w:rsidRDefault="00B50C78" w:rsidP="00F445DB">
      <w:pPr>
        <w:spacing w:after="0" w:line="240" w:lineRule="auto"/>
      </w:pPr>
    </w:p>
    <w:p w14:paraId="0DAEA120" w14:textId="252E43F9" w:rsidR="00B50C78" w:rsidRDefault="00B50C78" w:rsidP="00B50C78">
      <w:pPr>
        <w:pStyle w:val="ListParagraph"/>
        <w:numPr>
          <w:ilvl w:val="0"/>
          <w:numId w:val="3"/>
        </w:numPr>
        <w:spacing w:after="0" w:line="240" w:lineRule="auto"/>
      </w:pPr>
      <w:r>
        <w:t>Minimum Requirements</w:t>
      </w:r>
    </w:p>
    <w:p w14:paraId="0C0777FD" w14:textId="77777777" w:rsidR="00401755" w:rsidRDefault="00401755" w:rsidP="00F445DB">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7"/>
        <w:gridCol w:w="2544"/>
        <w:gridCol w:w="399"/>
        <w:gridCol w:w="2090"/>
      </w:tblGrid>
      <w:tr w:rsidR="00401755" w:rsidRPr="00401755" w14:paraId="4DD6C1E9" w14:textId="77777777" w:rsidTr="00840CCE">
        <w:trPr>
          <w:trHeight w:val="285"/>
        </w:trPr>
        <w:tc>
          <w:tcPr>
            <w:tcW w:w="0" w:type="auto"/>
            <w:gridSpan w:val="4"/>
            <w:noWrap/>
            <w:hideMark/>
          </w:tcPr>
          <w:p w14:paraId="5206E75A" w14:textId="445C5A23" w:rsidR="00401755" w:rsidRPr="00A15244" w:rsidRDefault="00CF1F71" w:rsidP="00401755">
            <w:pPr>
              <w:rPr>
                <w:b/>
                <w:u w:val="single"/>
              </w:rPr>
            </w:pPr>
            <w:r w:rsidRPr="00F445DB">
              <w:rPr>
                <w:b/>
                <w:u w:val="single"/>
              </w:rPr>
              <w:t>22-10A-7 Level one licensure.</w:t>
            </w:r>
          </w:p>
        </w:tc>
      </w:tr>
      <w:tr w:rsidR="00401755" w:rsidRPr="00401755" w14:paraId="69558F60" w14:textId="77777777" w:rsidTr="00840CCE">
        <w:trPr>
          <w:trHeight w:val="285"/>
        </w:trPr>
        <w:tc>
          <w:tcPr>
            <w:tcW w:w="0" w:type="auto"/>
            <w:noWrap/>
            <w:hideMark/>
          </w:tcPr>
          <w:p w14:paraId="0865618A" w14:textId="77777777" w:rsidR="00401755" w:rsidRPr="00401755" w:rsidRDefault="00401755" w:rsidP="00401755">
            <w:pPr>
              <w:rPr>
                <w:rFonts w:ascii="Calibri" w:eastAsia="Times New Roman" w:hAnsi="Calibri" w:cs="Calibri"/>
                <w:color w:val="000000"/>
                <w:sz w:val="21"/>
                <w:szCs w:val="21"/>
              </w:rPr>
            </w:pPr>
            <w:r w:rsidRPr="00401755">
              <w:rPr>
                <w:rFonts w:ascii="Calibri" w:eastAsia="Times New Roman" w:hAnsi="Calibri" w:cs="Calibri"/>
                <w:color w:val="000000"/>
                <w:sz w:val="21"/>
                <w:szCs w:val="21"/>
              </w:rPr>
              <w:t>Level one teacher’s minimum salary -</w:t>
            </w:r>
          </w:p>
        </w:tc>
        <w:tc>
          <w:tcPr>
            <w:tcW w:w="0" w:type="auto"/>
            <w:noWrap/>
            <w:hideMark/>
          </w:tcPr>
          <w:p w14:paraId="0EB4151D" w14:textId="77777777" w:rsidR="00401755" w:rsidRPr="00401755" w:rsidRDefault="00401755" w:rsidP="00401755">
            <w:pPr>
              <w:rPr>
                <w:rFonts w:ascii="Times New Roman" w:eastAsia="Times New Roman" w:hAnsi="Times New Roman" w:cs="Times New Roman"/>
                <w:sz w:val="20"/>
                <w:szCs w:val="20"/>
              </w:rPr>
            </w:pPr>
          </w:p>
        </w:tc>
        <w:tc>
          <w:tcPr>
            <w:tcW w:w="0" w:type="auto"/>
            <w:noWrap/>
          </w:tcPr>
          <w:p w14:paraId="2D9AA153" w14:textId="48BA5C81" w:rsidR="00401755" w:rsidRPr="00401755" w:rsidRDefault="00401755" w:rsidP="00401755">
            <w:pPr>
              <w:jc w:val="right"/>
              <w:rPr>
                <w:rFonts w:ascii="Calibri" w:eastAsia="Times New Roman" w:hAnsi="Calibri" w:cs="Calibri"/>
                <w:color w:val="000000"/>
                <w:sz w:val="21"/>
                <w:szCs w:val="21"/>
              </w:rPr>
            </w:pPr>
          </w:p>
        </w:tc>
        <w:tc>
          <w:tcPr>
            <w:tcW w:w="0" w:type="auto"/>
            <w:noWrap/>
            <w:hideMark/>
          </w:tcPr>
          <w:p w14:paraId="202BB1F0" w14:textId="053B2A56" w:rsidR="00401755" w:rsidRPr="00401755" w:rsidRDefault="00401755" w:rsidP="00401755">
            <w:pPr>
              <w:jc w:val="right"/>
              <w:rPr>
                <w:rFonts w:ascii="Calibri" w:eastAsia="Times New Roman" w:hAnsi="Calibri" w:cs="Calibri"/>
                <w:color w:val="000000"/>
                <w:sz w:val="21"/>
                <w:szCs w:val="21"/>
              </w:rPr>
            </w:pPr>
            <w:r w:rsidRPr="00401755">
              <w:rPr>
                <w:rFonts w:ascii="Calibri" w:eastAsia="Times New Roman" w:hAnsi="Calibri" w:cs="Calibri"/>
                <w:color w:val="000000"/>
                <w:sz w:val="21"/>
                <w:szCs w:val="21"/>
              </w:rPr>
              <w:t xml:space="preserve">$50,000.00 </w:t>
            </w:r>
          </w:p>
        </w:tc>
      </w:tr>
      <w:tr w:rsidR="00401755" w:rsidRPr="00401755" w14:paraId="002690DA" w14:textId="77777777" w:rsidTr="00840CCE">
        <w:trPr>
          <w:trHeight w:val="285"/>
        </w:trPr>
        <w:tc>
          <w:tcPr>
            <w:tcW w:w="0" w:type="auto"/>
            <w:noWrap/>
            <w:hideMark/>
          </w:tcPr>
          <w:p w14:paraId="531087ED" w14:textId="44B37452" w:rsidR="00401755" w:rsidRPr="00CF1F71" w:rsidRDefault="00CF1F71" w:rsidP="00401755">
            <w:pPr>
              <w:rPr>
                <w:b/>
                <w:u w:val="single"/>
              </w:rPr>
            </w:pPr>
            <w:r w:rsidRPr="00F445DB">
              <w:rPr>
                <w:b/>
                <w:u w:val="single"/>
              </w:rPr>
              <w:t>22-10A-10. Level two licensure.</w:t>
            </w:r>
            <w:r w:rsidRPr="00F445DB">
              <w:rPr>
                <w:b/>
                <w:u w:val="single"/>
              </w:rPr>
              <w:tab/>
            </w:r>
          </w:p>
        </w:tc>
        <w:tc>
          <w:tcPr>
            <w:tcW w:w="0" w:type="auto"/>
            <w:noWrap/>
            <w:hideMark/>
          </w:tcPr>
          <w:p w14:paraId="399378EA" w14:textId="77777777" w:rsidR="00401755" w:rsidRPr="00401755" w:rsidRDefault="00401755" w:rsidP="00401755">
            <w:pPr>
              <w:rPr>
                <w:rFonts w:ascii="Times New Roman" w:eastAsia="Times New Roman" w:hAnsi="Times New Roman" w:cs="Times New Roman"/>
                <w:sz w:val="20"/>
                <w:szCs w:val="20"/>
              </w:rPr>
            </w:pPr>
          </w:p>
        </w:tc>
        <w:tc>
          <w:tcPr>
            <w:tcW w:w="0" w:type="auto"/>
            <w:noWrap/>
          </w:tcPr>
          <w:p w14:paraId="699286E4" w14:textId="77777777" w:rsidR="00401755" w:rsidRPr="00401755" w:rsidRDefault="00401755" w:rsidP="00401755">
            <w:pPr>
              <w:rPr>
                <w:rFonts w:ascii="Times New Roman" w:eastAsia="Times New Roman" w:hAnsi="Times New Roman" w:cs="Times New Roman"/>
                <w:sz w:val="20"/>
                <w:szCs w:val="20"/>
              </w:rPr>
            </w:pPr>
          </w:p>
        </w:tc>
        <w:tc>
          <w:tcPr>
            <w:tcW w:w="0" w:type="auto"/>
            <w:noWrap/>
            <w:hideMark/>
          </w:tcPr>
          <w:p w14:paraId="354DC985" w14:textId="77777777" w:rsidR="00401755" w:rsidRPr="00401755" w:rsidRDefault="00401755" w:rsidP="00401755">
            <w:pPr>
              <w:rPr>
                <w:rFonts w:ascii="Times New Roman" w:eastAsia="Times New Roman" w:hAnsi="Times New Roman" w:cs="Times New Roman"/>
                <w:sz w:val="20"/>
                <w:szCs w:val="20"/>
              </w:rPr>
            </w:pPr>
          </w:p>
        </w:tc>
      </w:tr>
      <w:tr w:rsidR="00CF1F71" w:rsidRPr="00401755" w14:paraId="0903E035" w14:textId="77777777" w:rsidTr="00840CCE">
        <w:trPr>
          <w:trHeight w:val="285"/>
        </w:trPr>
        <w:tc>
          <w:tcPr>
            <w:tcW w:w="0" w:type="auto"/>
            <w:noWrap/>
          </w:tcPr>
          <w:p w14:paraId="628FA7C7" w14:textId="2E7AAD30" w:rsidR="00CF1F71" w:rsidRPr="00401755" w:rsidRDefault="00CF1F71" w:rsidP="00CF1F71">
            <w:pPr>
              <w:rPr>
                <w:rFonts w:ascii="Calibri" w:eastAsia="Times New Roman" w:hAnsi="Calibri" w:cs="Calibri"/>
                <w:color w:val="000000"/>
                <w:sz w:val="21"/>
                <w:szCs w:val="21"/>
              </w:rPr>
            </w:pPr>
            <w:r w:rsidRPr="00401755">
              <w:rPr>
                <w:rFonts w:ascii="Calibri" w:eastAsia="Times New Roman" w:hAnsi="Calibri" w:cs="Calibri"/>
                <w:color w:val="000000"/>
                <w:sz w:val="21"/>
                <w:szCs w:val="21"/>
              </w:rPr>
              <w:t>Level two teacher’s minimum salary -</w:t>
            </w:r>
          </w:p>
        </w:tc>
        <w:tc>
          <w:tcPr>
            <w:tcW w:w="0" w:type="auto"/>
            <w:noWrap/>
          </w:tcPr>
          <w:p w14:paraId="056B222F" w14:textId="77777777" w:rsidR="00CF1F71" w:rsidRPr="00401755" w:rsidRDefault="00CF1F71" w:rsidP="00CF1F71">
            <w:pPr>
              <w:rPr>
                <w:rFonts w:ascii="Times New Roman" w:eastAsia="Times New Roman" w:hAnsi="Times New Roman" w:cs="Times New Roman"/>
                <w:sz w:val="20"/>
                <w:szCs w:val="20"/>
              </w:rPr>
            </w:pPr>
          </w:p>
        </w:tc>
        <w:tc>
          <w:tcPr>
            <w:tcW w:w="0" w:type="auto"/>
            <w:noWrap/>
          </w:tcPr>
          <w:p w14:paraId="7A0B15C6" w14:textId="6CB99A31" w:rsidR="00CF1F71" w:rsidRPr="00401755" w:rsidRDefault="00CF1F71" w:rsidP="00CF1F71">
            <w:pPr>
              <w:jc w:val="right"/>
              <w:rPr>
                <w:rFonts w:ascii="Calibri" w:eastAsia="Times New Roman" w:hAnsi="Calibri" w:cs="Calibri"/>
                <w:color w:val="000000"/>
                <w:sz w:val="21"/>
                <w:szCs w:val="21"/>
              </w:rPr>
            </w:pPr>
          </w:p>
        </w:tc>
        <w:tc>
          <w:tcPr>
            <w:tcW w:w="0" w:type="auto"/>
            <w:noWrap/>
          </w:tcPr>
          <w:p w14:paraId="164F4FAF" w14:textId="3352CD20" w:rsidR="00CF1F71" w:rsidRPr="00401755" w:rsidRDefault="00CF1F71" w:rsidP="00CF1F71">
            <w:pPr>
              <w:jc w:val="right"/>
              <w:rPr>
                <w:rFonts w:ascii="Calibri" w:eastAsia="Times New Roman" w:hAnsi="Calibri" w:cs="Calibri"/>
                <w:color w:val="000000"/>
                <w:sz w:val="21"/>
                <w:szCs w:val="21"/>
              </w:rPr>
            </w:pPr>
            <w:r w:rsidRPr="00401755">
              <w:rPr>
                <w:rFonts w:ascii="Calibri" w:eastAsia="Times New Roman" w:hAnsi="Calibri" w:cs="Calibri"/>
                <w:color w:val="000000"/>
                <w:sz w:val="21"/>
                <w:szCs w:val="21"/>
              </w:rPr>
              <w:t xml:space="preserve">$60,000.00 </w:t>
            </w:r>
          </w:p>
        </w:tc>
      </w:tr>
      <w:tr w:rsidR="00CF1F71" w:rsidRPr="00401755" w14:paraId="5BBCBE93" w14:textId="77777777" w:rsidTr="00840CCE">
        <w:trPr>
          <w:trHeight w:val="285"/>
        </w:trPr>
        <w:tc>
          <w:tcPr>
            <w:tcW w:w="0" w:type="auto"/>
            <w:gridSpan w:val="4"/>
            <w:noWrap/>
          </w:tcPr>
          <w:p w14:paraId="677A2B2A" w14:textId="7D6874D6" w:rsidR="00CF1F71" w:rsidRPr="00CF1F71" w:rsidRDefault="00CF1F71" w:rsidP="00CF1F71">
            <w:pPr>
              <w:rPr>
                <w:b/>
                <w:u w:val="single"/>
              </w:rPr>
            </w:pPr>
            <w:r w:rsidRPr="00F445DB">
              <w:rPr>
                <w:b/>
                <w:u w:val="single"/>
              </w:rPr>
              <w:t>22-10A-11. Level three licensure; tracks for teachers and school administrators.</w:t>
            </w:r>
          </w:p>
        </w:tc>
      </w:tr>
      <w:tr w:rsidR="00CF1F71" w:rsidRPr="00401755" w14:paraId="0DE9E120" w14:textId="77777777" w:rsidTr="00840CCE">
        <w:trPr>
          <w:trHeight w:val="285"/>
        </w:trPr>
        <w:tc>
          <w:tcPr>
            <w:tcW w:w="0" w:type="auto"/>
            <w:noWrap/>
            <w:hideMark/>
          </w:tcPr>
          <w:p w14:paraId="72E8006A" w14:textId="2B707F5F" w:rsidR="00CF1F71" w:rsidRPr="00401755" w:rsidRDefault="00CF1F71" w:rsidP="00CF1F71">
            <w:pPr>
              <w:rPr>
                <w:rFonts w:ascii="Calibri" w:eastAsia="Times New Roman" w:hAnsi="Calibri" w:cs="Calibri"/>
                <w:color w:val="000000"/>
                <w:sz w:val="21"/>
                <w:szCs w:val="21"/>
              </w:rPr>
            </w:pPr>
            <w:r w:rsidRPr="00401755">
              <w:rPr>
                <w:rFonts w:ascii="Calibri" w:eastAsia="Times New Roman" w:hAnsi="Calibri" w:cs="Calibri"/>
                <w:color w:val="000000"/>
                <w:sz w:val="21"/>
                <w:szCs w:val="21"/>
              </w:rPr>
              <w:t xml:space="preserve">Level three teacher’s minimum salary - </w:t>
            </w:r>
          </w:p>
        </w:tc>
        <w:tc>
          <w:tcPr>
            <w:tcW w:w="0" w:type="auto"/>
            <w:noWrap/>
            <w:hideMark/>
          </w:tcPr>
          <w:p w14:paraId="24198A15" w14:textId="77777777" w:rsidR="00CF1F71" w:rsidRPr="00401755" w:rsidRDefault="00CF1F71" w:rsidP="00CF1F71">
            <w:pPr>
              <w:rPr>
                <w:rFonts w:ascii="Times New Roman" w:eastAsia="Times New Roman" w:hAnsi="Times New Roman" w:cs="Times New Roman"/>
                <w:sz w:val="20"/>
                <w:szCs w:val="20"/>
              </w:rPr>
            </w:pPr>
          </w:p>
        </w:tc>
        <w:tc>
          <w:tcPr>
            <w:tcW w:w="0" w:type="auto"/>
            <w:noWrap/>
          </w:tcPr>
          <w:p w14:paraId="02D30260" w14:textId="20DB1166" w:rsidR="00CF1F71" w:rsidRPr="00401755" w:rsidRDefault="00CF1F71" w:rsidP="00CF1F71">
            <w:pPr>
              <w:jc w:val="right"/>
              <w:rPr>
                <w:rFonts w:ascii="Calibri" w:eastAsia="Times New Roman" w:hAnsi="Calibri" w:cs="Calibri"/>
                <w:color w:val="000000"/>
                <w:sz w:val="21"/>
                <w:szCs w:val="21"/>
              </w:rPr>
            </w:pPr>
          </w:p>
        </w:tc>
        <w:tc>
          <w:tcPr>
            <w:tcW w:w="0" w:type="auto"/>
            <w:noWrap/>
            <w:hideMark/>
          </w:tcPr>
          <w:p w14:paraId="740EDFEF" w14:textId="62D9088A" w:rsidR="00CF1F71" w:rsidRPr="00401755" w:rsidRDefault="00CF1F71" w:rsidP="00CF1F71">
            <w:pPr>
              <w:jc w:val="right"/>
              <w:rPr>
                <w:rFonts w:ascii="Calibri" w:eastAsia="Times New Roman" w:hAnsi="Calibri" w:cs="Calibri"/>
                <w:color w:val="000000"/>
                <w:sz w:val="21"/>
                <w:szCs w:val="21"/>
              </w:rPr>
            </w:pPr>
            <w:r w:rsidRPr="00401755">
              <w:rPr>
                <w:rFonts w:ascii="Calibri" w:eastAsia="Times New Roman" w:hAnsi="Calibri" w:cs="Calibri"/>
                <w:color w:val="000000"/>
                <w:sz w:val="21"/>
                <w:szCs w:val="21"/>
              </w:rPr>
              <w:t xml:space="preserve">$70,000.00 </w:t>
            </w:r>
          </w:p>
        </w:tc>
      </w:tr>
      <w:tr w:rsidR="00CF1F71" w:rsidRPr="00401755" w14:paraId="68C48F18" w14:textId="77777777" w:rsidTr="00840CCE">
        <w:trPr>
          <w:trHeight w:val="40"/>
        </w:trPr>
        <w:tc>
          <w:tcPr>
            <w:tcW w:w="0" w:type="auto"/>
            <w:noWrap/>
          </w:tcPr>
          <w:p w14:paraId="4B49F13C" w14:textId="77777777" w:rsidR="00CF1F71" w:rsidRPr="00CF1F71" w:rsidRDefault="00CF1F71" w:rsidP="00CF1F71">
            <w:pPr>
              <w:rPr>
                <w:b/>
                <w:u w:val="single"/>
              </w:rPr>
            </w:pPr>
          </w:p>
        </w:tc>
        <w:tc>
          <w:tcPr>
            <w:tcW w:w="0" w:type="auto"/>
            <w:noWrap/>
          </w:tcPr>
          <w:p w14:paraId="6EB8605D" w14:textId="77777777" w:rsidR="00CF1F71" w:rsidRPr="00401755" w:rsidRDefault="00CF1F71" w:rsidP="00CF1F71">
            <w:pPr>
              <w:rPr>
                <w:rFonts w:ascii="Times New Roman" w:eastAsia="Times New Roman" w:hAnsi="Times New Roman" w:cs="Times New Roman"/>
                <w:sz w:val="20"/>
                <w:szCs w:val="20"/>
              </w:rPr>
            </w:pPr>
          </w:p>
        </w:tc>
        <w:tc>
          <w:tcPr>
            <w:tcW w:w="0" w:type="auto"/>
            <w:noWrap/>
          </w:tcPr>
          <w:p w14:paraId="3255BA42" w14:textId="77777777" w:rsidR="00CF1F71" w:rsidRPr="00401755" w:rsidRDefault="00CF1F71" w:rsidP="00CF1F71">
            <w:pPr>
              <w:rPr>
                <w:rFonts w:ascii="Times New Roman" w:eastAsia="Times New Roman" w:hAnsi="Times New Roman" w:cs="Times New Roman"/>
                <w:sz w:val="20"/>
                <w:szCs w:val="20"/>
              </w:rPr>
            </w:pPr>
          </w:p>
        </w:tc>
        <w:tc>
          <w:tcPr>
            <w:tcW w:w="0" w:type="auto"/>
            <w:noWrap/>
          </w:tcPr>
          <w:p w14:paraId="1DD7542A" w14:textId="77777777" w:rsidR="00CF1F71" w:rsidRPr="00401755" w:rsidRDefault="00CF1F71" w:rsidP="00CF1F71">
            <w:pPr>
              <w:rPr>
                <w:rFonts w:ascii="Times New Roman" w:eastAsia="Times New Roman" w:hAnsi="Times New Roman" w:cs="Times New Roman"/>
                <w:sz w:val="20"/>
                <w:szCs w:val="20"/>
              </w:rPr>
            </w:pPr>
          </w:p>
        </w:tc>
      </w:tr>
      <w:tr w:rsidR="00CF1F71" w:rsidRPr="00401755" w14:paraId="3D33AD46" w14:textId="77777777" w:rsidTr="00840CCE">
        <w:trPr>
          <w:trHeight w:val="285"/>
        </w:trPr>
        <w:tc>
          <w:tcPr>
            <w:tcW w:w="0" w:type="auto"/>
            <w:gridSpan w:val="4"/>
            <w:noWrap/>
          </w:tcPr>
          <w:p w14:paraId="3626EFC7" w14:textId="6CFF0C7C" w:rsidR="00CF1F71" w:rsidRPr="00401755" w:rsidRDefault="00CF1F71" w:rsidP="00CF1F71">
            <w:pPr>
              <w:rPr>
                <w:rFonts w:ascii="Times New Roman" w:eastAsia="Times New Roman" w:hAnsi="Times New Roman" w:cs="Times New Roman"/>
                <w:sz w:val="20"/>
                <w:szCs w:val="20"/>
              </w:rPr>
            </w:pPr>
            <w:r w:rsidRPr="00CF1F71">
              <w:rPr>
                <w:b/>
                <w:u w:val="single"/>
              </w:rPr>
              <w:t>22-10A-17.1. Educational assistants; licensing framework; qualifications; minimum salaries.</w:t>
            </w:r>
          </w:p>
        </w:tc>
      </w:tr>
      <w:tr w:rsidR="00CF1F71" w:rsidRPr="00401755" w14:paraId="1FC28B55" w14:textId="77777777" w:rsidTr="00840CCE">
        <w:trPr>
          <w:trHeight w:val="285"/>
        </w:trPr>
        <w:tc>
          <w:tcPr>
            <w:tcW w:w="0" w:type="auto"/>
            <w:noWrap/>
            <w:hideMark/>
          </w:tcPr>
          <w:p w14:paraId="028B2BED" w14:textId="10897445" w:rsidR="00CF1F71" w:rsidRPr="00401755" w:rsidRDefault="00CF1F71" w:rsidP="00CF1F71">
            <w:pPr>
              <w:rPr>
                <w:rFonts w:ascii="Calibri" w:eastAsia="Times New Roman" w:hAnsi="Calibri" w:cs="Calibri"/>
                <w:color w:val="000000"/>
                <w:sz w:val="21"/>
                <w:szCs w:val="21"/>
              </w:rPr>
            </w:pPr>
            <w:r w:rsidRPr="00CF1F71">
              <w:rPr>
                <w:rFonts w:ascii="Calibri" w:eastAsia="Times New Roman" w:hAnsi="Calibri" w:cs="Calibri"/>
                <w:color w:val="000000"/>
                <w:sz w:val="21"/>
                <w:szCs w:val="21"/>
              </w:rPr>
              <w:t xml:space="preserve">Educational assistant </w:t>
            </w:r>
            <w:r>
              <w:rPr>
                <w:rFonts w:ascii="Calibri" w:eastAsia="Times New Roman" w:hAnsi="Calibri" w:cs="Calibri"/>
                <w:color w:val="000000"/>
                <w:sz w:val="21"/>
                <w:szCs w:val="21"/>
              </w:rPr>
              <w:t xml:space="preserve">minimum </w:t>
            </w:r>
            <w:r w:rsidRPr="00CF1F71">
              <w:rPr>
                <w:rFonts w:ascii="Calibri" w:eastAsia="Times New Roman" w:hAnsi="Calibri" w:cs="Calibri"/>
                <w:color w:val="000000"/>
                <w:sz w:val="21"/>
                <w:szCs w:val="21"/>
              </w:rPr>
              <w:t>salary -</w:t>
            </w:r>
          </w:p>
        </w:tc>
        <w:tc>
          <w:tcPr>
            <w:tcW w:w="0" w:type="auto"/>
            <w:noWrap/>
            <w:hideMark/>
          </w:tcPr>
          <w:p w14:paraId="5A842700" w14:textId="77777777" w:rsidR="00CF1F71" w:rsidRPr="00401755" w:rsidRDefault="00CF1F71" w:rsidP="00CF1F71">
            <w:pPr>
              <w:rPr>
                <w:rFonts w:ascii="Times New Roman" w:eastAsia="Times New Roman" w:hAnsi="Times New Roman" w:cs="Times New Roman"/>
                <w:sz w:val="20"/>
                <w:szCs w:val="20"/>
              </w:rPr>
            </w:pPr>
          </w:p>
        </w:tc>
        <w:tc>
          <w:tcPr>
            <w:tcW w:w="0" w:type="auto"/>
            <w:noWrap/>
          </w:tcPr>
          <w:p w14:paraId="1AD9049E" w14:textId="3BEC0C00" w:rsidR="00CF1F71" w:rsidRPr="00401755" w:rsidRDefault="00CF1F71" w:rsidP="00CF1F71">
            <w:pPr>
              <w:jc w:val="right"/>
              <w:rPr>
                <w:rFonts w:ascii="Calibri" w:eastAsia="Times New Roman" w:hAnsi="Calibri" w:cs="Calibri"/>
                <w:color w:val="000000"/>
                <w:sz w:val="21"/>
                <w:szCs w:val="21"/>
              </w:rPr>
            </w:pPr>
          </w:p>
        </w:tc>
        <w:tc>
          <w:tcPr>
            <w:tcW w:w="0" w:type="auto"/>
            <w:noWrap/>
            <w:hideMark/>
          </w:tcPr>
          <w:p w14:paraId="1292DE2B" w14:textId="667B0375" w:rsidR="00CF1F71" w:rsidRPr="00401755" w:rsidRDefault="00CF1F71" w:rsidP="00CF1F71">
            <w:pPr>
              <w:jc w:val="right"/>
              <w:rPr>
                <w:rFonts w:ascii="Calibri" w:eastAsia="Times New Roman" w:hAnsi="Calibri" w:cs="Calibri"/>
                <w:color w:val="000000"/>
                <w:sz w:val="21"/>
                <w:szCs w:val="21"/>
              </w:rPr>
            </w:pPr>
            <w:r w:rsidRPr="00401755">
              <w:rPr>
                <w:rFonts w:ascii="Calibri" w:eastAsia="Times New Roman" w:hAnsi="Calibri" w:cs="Calibri"/>
                <w:color w:val="000000"/>
                <w:sz w:val="21"/>
                <w:szCs w:val="21"/>
              </w:rPr>
              <w:t>$</w:t>
            </w:r>
            <w:r w:rsidR="00B50C78">
              <w:rPr>
                <w:rFonts w:ascii="Calibri" w:eastAsia="Times New Roman" w:hAnsi="Calibri" w:cs="Calibri"/>
                <w:color w:val="000000"/>
                <w:sz w:val="21"/>
                <w:szCs w:val="21"/>
              </w:rPr>
              <w:t>25</w:t>
            </w:r>
            <w:r>
              <w:rPr>
                <w:rFonts w:ascii="Calibri" w:eastAsia="Times New Roman" w:hAnsi="Calibri" w:cs="Calibri"/>
                <w:color w:val="000000"/>
                <w:sz w:val="21"/>
                <w:szCs w:val="21"/>
              </w:rPr>
              <w:t>,000</w:t>
            </w:r>
            <w:r w:rsidRPr="00401755">
              <w:rPr>
                <w:rFonts w:ascii="Calibri" w:eastAsia="Times New Roman" w:hAnsi="Calibri" w:cs="Calibri"/>
                <w:color w:val="000000"/>
                <w:sz w:val="21"/>
                <w:szCs w:val="21"/>
              </w:rPr>
              <w:t xml:space="preserve">.00 </w:t>
            </w:r>
          </w:p>
        </w:tc>
      </w:tr>
      <w:tr w:rsidR="00117427" w:rsidRPr="00401755" w14:paraId="1E3C6DB9" w14:textId="77777777" w:rsidTr="00840CCE">
        <w:trPr>
          <w:trHeight w:val="40"/>
        </w:trPr>
        <w:tc>
          <w:tcPr>
            <w:tcW w:w="0" w:type="auto"/>
            <w:noWrap/>
          </w:tcPr>
          <w:p w14:paraId="4792512B" w14:textId="77777777" w:rsidR="00117427" w:rsidRDefault="00117427" w:rsidP="00CF1F71">
            <w:pPr>
              <w:rPr>
                <w:rFonts w:ascii="Calibri" w:hAnsi="Calibri" w:cs="Calibri"/>
                <w:b/>
                <w:bCs/>
                <w:color w:val="000000"/>
                <w:sz w:val="21"/>
                <w:szCs w:val="21"/>
                <w:u w:val="single"/>
              </w:rPr>
            </w:pPr>
          </w:p>
        </w:tc>
        <w:tc>
          <w:tcPr>
            <w:tcW w:w="0" w:type="auto"/>
            <w:noWrap/>
          </w:tcPr>
          <w:p w14:paraId="5340C725" w14:textId="77777777" w:rsidR="00117427" w:rsidRPr="00401755" w:rsidRDefault="00117427" w:rsidP="00CF1F71">
            <w:pPr>
              <w:rPr>
                <w:rFonts w:ascii="Times New Roman" w:eastAsia="Times New Roman" w:hAnsi="Times New Roman" w:cs="Times New Roman"/>
                <w:sz w:val="20"/>
                <w:szCs w:val="20"/>
              </w:rPr>
            </w:pPr>
          </w:p>
        </w:tc>
        <w:tc>
          <w:tcPr>
            <w:tcW w:w="0" w:type="auto"/>
            <w:noWrap/>
          </w:tcPr>
          <w:p w14:paraId="7724BF30" w14:textId="77777777" w:rsidR="00117427" w:rsidRPr="00401755" w:rsidRDefault="00117427" w:rsidP="00CF1F71">
            <w:pPr>
              <w:rPr>
                <w:rFonts w:ascii="Times New Roman" w:eastAsia="Times New Roman" w:hAnsi="Times New Roman" w:cs="Times New Roman"/>
                <w:sz w:val="20"/>
                <w:szCs w:val="20"/>
              </w:rPr>
            </w:pPr>
          </w:p>
        </w:tc>
        <w:tc>
          <w:tcPr>
            <w:tcW w:w="0" w:type="auto"/>
            <w:noWrap/>
          </w:tcPr>
          <w:p w14:paraId="57C79217" w14:textId="77777777" w:rsidR="00117427" w:rsidRPr="00401755" w:rsidRDefault="00117427" w:rsidP="00CF1F71">
            <w:pPr>
              <w:rPr>
                <w:rFonts w:ascii="Times New Roman" w:eastAsia="Times New Roman" w:hAnsi="Times New Roman" w:cs="Times New Roman"/>
                <w:sz w:val="20"/>
                <w:szCs w:val="20"/>
              </w:rPr>
            </w:pPr>
          </w:p>
        </w:tc>
      </w:tr>
      <w:tr w:rsidR="00CF1F71" w:rsidRPr="00401755" w14:paraId="559CC3CC" w14:textId="77777777" w:rsidTr="00840CCE">
        <w:trPr>
          <w:trHeight w:val="285"/>
        </w:trPr>
        <w:tc>
          <w:tcPr>
            <w:tcW w:w="0" w:type="auto"/>
            <w:noWrap/>
          </w:tcPr>
          <w:p w14:paraId="28C77745" w14:textId="7F3477ED" w:rsidR="00CF1F71" w:rsidRPr="00117427" w:rsidRDefault="00117427" w:rsidP="00CF1F71">
            <w:pPr>
              <w:rPr>
                <w:rFonts w:ascii="Calibri" w:hAnsi="Calibri" w:cs="Calibri"/>
                <w:b/>
                <w:bCs/>
                <w:color w:val="000000"/>
                <w:sz w:val="21"/>
                <w:szCs w:val="21"/>
                <w:u w:val="single"/>
              </w:rPr>
            </w:pPr>
            <w:r>
              <w:rPr>
                <w:rFonts w:ascii="Calibri" w:hAnsi="Calibri" w:cs="Calibri"/>
                <w:b/>
                <w:bCs/>
                <w:color w:val="000000"/>
                <w:sz w:val="21"/>
                <w:szCs w:val="21"/>
                <w:u w:val="single"/>
              </w:rPr>
              <w:t>Laws 2022</w:t>
            </w:r>
            <w:r w:rsidR="00A6008F">
              <w:rPr>
                <w:rFonts w:ascii="Calibri" w:hAnsi="Calibri" w:cs="Calibri"/>
                <w:b/>
                <w:bCs/>
                <w:color w:val="000000"/>
                <w:sz w:val="21"/>
                <w:szCs w:val="21"/>
                <w:u w:val="single"/>
              </w:rPr>
              <w:t xml:space="preserve"> </w:t>
            </w:r>
            <w:r>
              <w:rPr>
                <w:rFonts w:ascii="Calibri" w:hAnsi="Calibri" w:cs="Calibri"/>
                <w:b/>
                <w:bCs/>
                <w:color w:val="000000"/>
                <w:sz w:val="21"/>
                <w:szCs w:val="21"/>
                <w:u w:val="single"/>
              </w:rPr>
              <w:t xml:space="preserve">HB2 </w:t>
            </w:r>
          </w:p>
        </w:tc>
        <w:tc>
          <w:tcPr>
            <w:tcW w:w="0" w:type="auto"/>
            <w:noWrap/>
          </w:tcPr>
          <w:p w14:paraId="07375ECC" w14:textId="77777777" w:rsidR="00CF1F71" w:rsidRPr="00401755" w:rsidRDefault="00CF1F71" w:rsidP="00CF1F71">
            <w:pPr>
              <w:rPr>
                <w:rFonts w:ascii="Times New Roman" w:eastAsia="Times New Roman" w:hAnsi="Times New Roman" w:cs="Times New Roman"/>
                <w:sz w:val="20"/>
                <w:szCs w:val="20"/>
              </w:rPr>
            </w:pPr>
          </w:p>
        </w:tc>
        <w:tc>
          <w:tcPr>
            <w:tcW w:w="0" w:type="auto"/>
            <w:noWrap/>
          </w:tcPr>
          <w:p w14:paraId="723C6B95" w14:textId="77777777" w:rsidR="00CF1F71" w:rsidRPr="00401755" w:rsidRDefault="00CF1F71" w:rsidP="00CF1F71">
            <w:pPr>
              <w:rPr>
                <w:rFonts w:ascii="Times New Roman" w:eastAsia="Times New Roman" w:hAnsi="Times New Roman" w:cs="Times New Roman"/>
                <w:sz w:val="20"/>
                <w:szCs w:val="20"/>
              </w:rPr>
            </w:pPr>
          </w:p>
        </w:tc>
        <w:tc>
          <w:tcPr>
            <w:tcW w:w="0" w:type="auto"/>
            <w:noWrap/>
          </w:tcPr>
          <w:p w14:paraId="12F82B2B" w14:textId="77777777" w:rsidR="00CF1F71" w:rsidRPr="00401755" w:rsidRDefault="00CF1F71" w:rsidP="00CF1F71">
            <w:pPr>
              <w:rPr>
                <w:rFonts w:ascii="Times New Roman" w:eastAsia="Times New Roman" w:hAnsi="Times New Roman" w:cs="Times New Roman"/>
                <w:sz w:val="20"/>
                <w:szCs w:val="20"/>
              </w:rPr>
            </w:pPr>
          </w:p>
        </w:tc>
      </w:tr>
      <w:tr w:rsidR="00CF1F71" w:rsidRPr="00401755" w14:paraId="7CD4A75E" w14:textId="77777777" w:rsidTr="00840CCE">
        <w:trPr>
          <w:trHeight w:val="285"/>
        </w:trPr>
        <w:tc>
          <w:tcPr>
            <w:tcW w:w="0" w:type="auto"/>
            <w:noWrap/>
            <w:hideMark/>
          </w:tcPr>
          <w:p w14:paraId="0567F0DB" w14:textId="44376E77" w:rsidR="00CF1F71" w:rsidRPr="00401755" w:rsidRDefault="00CF1F71" w:rsidP="00CF1F71">
            <w:pPr>
              <w:rPr>
                <w:rFonts w:ascii="Times New Roman" w:eastAsia="Times New Roman" w:hAnsi="Times New Roman" w:cs="Times New Roman"/>
                <w:sz w:val="20"/>
                <w:szCs w:val="20"/>
              </w:rPr>
            </w:pPr>
            <w:r w:rsidRPr="00401755">
              <w:rPr>
                <w:rFonts w:ascii="Calibri" w:eastAsia="Times New Roman" w:hAnsi="Calibri" w:cs="Calibri"/>
                <w:color w:val="000000"/>
                <w:sz w:val="21"/>
                <w:szCs w:val="21"/>
              </w:rPr>
              <w:t>Minimum hourly salary</w:t>
            </w:r>
          </w:p>
        </w:tc>
        <w:tc>
          <w:tcPr>
            <w:tcW w:w="0" w:type="auto"/>
            <w:noWrap/>
            <w:hideMark/>
          </w:tcPr>
          <w:p w14:paraId="00F0083F" w14:textId="77777777" w:rsidR="00CF1F71" w:rsidRPr="00401755" w:rsidRDefault="00CF1F71" w:rsidP="00CF1F71">
            <w:pPr>
              <w:rPr>
                <w:rFonts w:ascii="Times New Roman" w:eastAsia="Times New Roman" w:hAnsi="Times New Roman" w:cs="Times New Roman"/>
                <w:sz w:val="20"/>
                <w:szCs w:val="20"/>
              </w:rPr>
            </w:pPr>
          </w:p>
        </w:tc>
        <w:tc>
          <w:tcPr>
            <w:tcW w:w="0" w:type="auto"/>
            <w:noWrap/>
            <w:hideMark/>
          </w:tcPr>
          <w:p w14:paraId="13790446" w14:textId="77777777" w:rsidR="00CF1F71" w:rsidRPr="00401755" w:rsidRDefault="00CF1F71" w:rsidP="00CF1F71">
            <w:pPr>
              <w:rPr>
                <w:rFonts w:ascii="Times New Roman" w:eastAsia="Times New Roman" w:hAnsi="Times New Roman" w:cs="Times New Roman"/>
                <w:sz w:val="20"/>
                <w:szCs w:val="20"/>
              </w:rPr>
            </w:pPr>
          </w:p>
        </w:tc>
        <w:tc>
          <w:tcPr>
            <w:tcW w:w="0" w:type="auto"/>
            <w:noWrap/>
            <w:hideMark/>
          </w:tcPr>
          <w:p w14:paraId="24A5AB6D" w14:textId="29C47582" w:rsidR="00CF1F71" w:rsidRPr="00401755" w:rsidRDefault="0091442D" w:rsidP="0091442D">
            <w:pPr>
              <w:jc w:val="right"/>
              <w:rPr>
                <w:rFonts w:ascii="Times New Roman" w:eastAsia="Times New Roman" w:hAnsi="Times New Roman" w:cs="Times New Roman"/>
                <w:sz w:val="20"/>
                <w:szCs w:val="20"/>
              </w:rPr>
            </w:pPr>
            <w:r w:rsidRPr="0091442D">
              <w:rPr>
                <w:rFonts w:ascii="Calibri" w:eastAsia="Times New Roman" w:hAnsi="Calibri" w:cs="Calibri"/>
                <w:color w:val="000000"/>
                <w:sz w:val="21"/>
                <w:szCs w:val="21"/>
              </w:rPr>
              <w:t>$15.00</w:t>
            </w:r>
          </w:p>
        </w:tc>
      </w:tr>
      <w:tr w:rsidR="0091442D" w:rsidRPr="00401755" w14:paraId="1EA15A56" w14:textId="77777777" w:rsidTr="00840CCE">
        <w:trPr>
          <w:trHeight w:val="40"/>
        </w:trPr>
        <w:tc>
          <w:tcPr>
            <w:tcW w:w="0" w:type="auto"/>
            <w:gridSpan w:val="4"/>
            <w:noWrap/>
          </w:tcPr>
          <w:p w14:paraId="43E761D7" w14:textId="77777777" w:rsidR="0091442D" w:rsidRDefault="0091442D" w:rsidP="00CF1F71">
            <w:pPr>
              <w:rPr>
                <w:rFonts w:ascii="Calibri" w:eastAsia="Times New Roman" w:hAnsi="Calibri" w:cs="Calibri"/>
                <w:color w:val="000000"/>
                <w:sz w:val="21"/>
                <w:szCs w:val="21"/>
              </w:rPr>
            </w:pPr>
          </w:p>
        </w:tc>
      </w:tr>
      <w:tr w:rsidR="00CF1F71" w:rsidRPr="00401755" w14:paraId="5F011DDA" w14:textId="77777777" w:rsidTr="00840CCE">
        <w:trPr>
          <w:trHeight w:val="285"/>
        </w:trPr>
        <w:tc>
          <w:tcPr>
            <w:tcW w:w="0" w:type="auto"/>
            <w:gridSpan w:val="4"/>
            <w:noWrap/>
            <w:hideMark/>
          </w:tcPr>
          <w:p w14:paraId="130FDAD8" w14:textId="2C4F7413" w:rsidR="00CF1F71" w:rsidRPr="00401755" w:rsidRDefault="0091442D" w:rsidP="00DD4EDE">
            <w:pPr>
              <w:jc w:val="both"/>
              <w:rPr>
                <w:rFonts w:ascii="Times New Roman" w:eastAsia="Times New Roman" w:hAnsi="Times New Roman" w:cs="Times New Roman"/>
                <w:sz w:val="20"/>
                <w:szCs w:val="20"/>
              </w:rPr>
            </w:pPr>
            <w:r w:rsidRPr="00A15244">
              <w:rPr>
                <w:rFonts w:ascii="Calibri" w:eastAsia="Times New Roman" w:hAnsi="Calibri" w:cs="Calibri"/>
                <w:b/>
                <w:bCs/>
                <w:color w:val="000000"/>
                <w:sz w:val="21"/>
                <w:szCs w:val="21"/>
                <w:u w:val="single"/>
              </w:rPr>
              <w:t>Section 22-10A-11.4</w:t>
            </w:r>
            <w:r w:rsidR="00CF1F71" w:rsidRPr="00A15244">
              <w:rPr>
                <w:rFonts w:ascii="Calibri" w:eastAsia="Times New Roman" w:hAnsi="Calibri" w:cs="Calibri"/>
                <w:b/>
                <w:bCs/>
                <w:color w:val="000000"/>
                <w:sz w:val="21"/>
                <w:szCs w:val="21"/>
                <w:u w:val="single"/>
              </w:rPr>
              <w:t xml:space="preserve"> </w:t>
            </w:r>
            <w:r w:rsidRPr="00A15244">
              <w:rPr>
                <w:b/>
                <w:bCs/>
                <w:u w:val="single"/>
              </w:rPr>
              <w:t>NMSA 1978</w:t>
            </w:r>
            <w:r>
              <w:t xml:space="preserve"> </w:t>
            </w:r>
            <w:r w:rsidR="00CF1F71" w:rsidRPr="00401755">
              <w:rPr>
                <w:rFonts w:ascii="Calibri" w:eastAsia="Times New Roman" w:hAnsi="Calibri" w:cs="Calibri"/>
                <w:color w:val="000000"/>
                <w:sz w:val="21"/>
                <w:szCs w:val="21"/>
              </w:rPr>
              <w:t>uses a responsibility factor/multiplier per Subsection M of Section 22-10A-2 NMSA 1978 to</w:t>
            </w:r>
            <w:r w:rsidR="00CF1F71">
              <w:rPr>
                <w:rFonts w:ascii="Calibri" w:eastAsia="Times New Roman" w:hAnsi="Calibri" w:cs="Calibri"/>
                <w:color w:val="000000"/>
                <w:sz w:val="21"/>
                <w:szCs w:val="21"/>
              </w:rPr>
              <w:t xml:space="preserve"> </w:t>
            </w:r>
            <w:r w:rsidR="00CF1F71" w:rsidRPr="00401755">
              <w:rPr>
                <w:rFonts w:ascii="Calibri" w:eastAsia="Times New Roman" w:hAnsi="Calibri" w:cs="Calibri"/>
                <w:color w:val="000000"/>
                <w:sz w:val="21"/>
                <w:szCs w:val="21"/>
              </w:rPr>
              <w:t>determine the following salary minimums for school principals and assistant principals, based upon the minimum salary</w:t>
            </w:r>
            <w:r w:rsidR="00CF1F71">
              <w:rPr>
                <w:rFonts w:ascii="Calibri" w:eastAsia="Times New Roman" w:hAnsi="Calibri" w:cs="Calibri"/>
                <w:color w:val="000000"/>
                <w:sz w:val="21"/>
                <w:szCs w:val="21"/>
              </w:rPr>
              <w:t xml:space="preserve"> </w:t>
            </w:r>
            <w:r w:rsidR="00CF1F71" w:rsidRPr="00401755">
              <w:rPr>
                <w:rFonts w:ascii="Calibri" w:eastAsia="Times New Roman" w:hAnsi="Calibri" w:cs="Calibri"/>
                <w:color w:val="000000"/>
                <w:sz w:val="21"/>
                <w:szCs w:val="21"/>
              </w:rPr>
              <w:t>of a level 3A teacher of $70,000:</w:t>
            </w:r>
          </w:p>
        </w:tc>
      </w:tr>
      <w:tr w:rsidR="00CF1F71" w:rsidRPr="00401755" w14:paraId="759452BD" w14:textId="77777777" w:rsidTr="00840CCE">
        <w:trPr>
          <w:trHeight w:val="40"/>
        </w:trPr>
        <w:tc>
          <w:tcPr>
            <w:tcW w:w="0" w:type="auto"/>
            <w:noWrap/>
            <w:hideMark/>
          </w:tcPr>
          <w:p w14:paraId="11C422CB" w14:textId="77777777" w:rsidR="00CF1F71" w:rsidRPr="00401755" w:rsidRDefault="00CF1F71" w:rsidP="00CF1F71">
            <w:pPr>
              <w:rPr>
                <w:rFonts w:ascii="Times New Roman" w:eastAsia="Times New Roman" w:hAnsi="Times New Roman" w:cs="Times New Roman"/>
                <w:sz w:val="20"/>
                <w:szCs w:val="20"/>
              </w:rPr>
            </w:pPr>
          </w:p>
        </w:tc>
        <w:tc>
          <w:tcPr>
            <w:tcW w:w="0" w:type="auto"/>
            <w:noWrap/>
            <w:hideMark/>
          </w:tcPr>
          <w:p w14:paraId="625CF532" w14:textId="77777777" w:rsidR="00CF1F71" w:rsidRPr="00401755" w:rsidRDefault="00CF1F71" w:rsidP="00CF1F71">
            <w:pPr>
              <w:rPr>
                <w:rFonts w:ascii="Times New Roman" w:eastAsia="Times New Roman" w:hAnsi="Times New Roman" w:cs="Times New Roman"/>
                <w:sz w:val="20"/>
                <w:szCs w:val="20"/>
              </w:rPr>
            </w:pPr>
          </w:p>
        </w:tc>
        <w:tc>
          <w:tcPr>
            <w:tcW w:w="0" w:type="auto"/>
            <w:noWrap/>
            <w:hideMark/>
          </w:tcPr>
          <w:p w14:paraId="23377D32" w14:textId="77777777" w:rsidR="00CF1F71" w:rsidRPr="00401755" w:rsidRDefault="00CF1F71" w:rsidP="00CF1F71">
            <w:pPr>
              <w:rPr>
                <w:rFonts w:ascii="Times New Roman" w:eastAsia="Times New Roman" w:hAnsi="Times New Roman" w:cs="Times New Roman"/>
                <w:sz w:val="20"/>
                <w:szCs w:val="20"/>
              </w:rPr>
            </w:pPr>
          </w:p>
        </w:tc>
        <w:tc>
          <w:tcPr>
            <w:tcW w:w="0" w:type="auto"/>
            <w:noWrap/>
            <w:hideMark/>
          </w:tcPr>
          <w:p w14:paraId="22CAAE93" w14:textId="77777777" w:rsidR="00CF1F71" w:rsidRPr="00401755" w:rsidRDefault="00CF1F71" w:rsidP="00CF1F71">
            <w:pPr>
              <w:rPr>
                <w:rFonts w:ascii="Times New Roman" w:eastAsia="Times New Roman" w:hAnsi="Times New Roman" w:cs="Times New Roman"/>
                <w:sz w:val="20"/>
                <w:szCs w:val="20"/>
              </w:rPr>
            </w:pPr>
          </w:p>
        </w:tc>
      </w:tr>
      <w:tr w:rsidR="00CF1F71" w:rsidRPr="00401755" w14:paraId="6EFD88BF" w14:textId="77777777" w:rsidTr="00840CCE">
        <w:trPr>
          <w:trHeight w:val="285"/>
        </w:trPr>
        <w:tc>
          <w:tcPr>
            <w:tcW w:w="0" w:type="auto"/>
            <w:noWrap/>
            <w:hideMark/>
          </w:tcPr>
          <w:p w14:paraId="563713F2" w14:textId="77777777" w:rsidR="00CF1F71" w:rsidRPr="00401755" w:rsidRDefault="00CF1F71" w:rsidP="00CF1F71">
            <w:pPr>
              <w:rPr>
                <w:rFonts w:ascii="Calibri" w:eastAsia="Times New Roman" w:hAnsi="Calibri" w:cs="Calibri"/>
                <w:b/>
                <w:bCs/>
                <w:color w:val="000000"/>
                <w:sz w:val="21"/>
                <w:szCs w:val="21"/>
              </w:rPr>
            </w:pPr>
            <w:r w:rsidRPr="00401755">
              <w:rPr>
                <w:rFonts w:ascii="Calibri" w:eastAsia="Times New Roman" w:hAnsi="Calibri" w:cs="Calibri"/>
                <w:b/>
                <w:bCs/>
                <w:color w:val="000000"/>
                <w:sz w:val="21"/>
                <w:szCs w:val="21"/>
              </w:rPr>
              <w:t>Principal Type</w:t>
            </w:r>
          </w:p>
        </w:tc>
        <w:tc>
          <w:tcPr>
            <w:tcW w:w="0" w:type="auto"/>
            <w:noWrap/>
            <w:hideMark/>
          </w:tcPr>
          <w:p w14:paraId="5D4BAD36" w14:textId="77777777" w:rsidR="00CF1F71" w:rsidRPr="00401755" w:rsidRDefault="00CF1F71" w:rsidP="00CF1F71">
            <w:pPr>
              <w:rPr>
                <w:rFonts w:ascii="Calibri" w:eastAsia="Times New Roman" w:hAnsi="Calibri" w:cs="Calibri"/>
                <w:b/>
                <w:bCs/>
                <w:color w:val="000000"/>
                <w:sz w:val="21"/>
                <w:szCs w:val="21"/>
              </w:rPr>
            </w:pPr>
            <w:r w:rsidRPr="00401755">
              <w:rPr>
                <w:rFonts w:ascii="Calibri" w:eastAsia="Times New Roman" w:hAnsi="Calibri" w:cs="Calibri"/>
                <w:b/>
                <w:bCs/>
                <w:color w:val="000000"/>
                <w:sz w:val="21"/>
                <w:szCs w:val="21"/>
              </w:rPr>
              <w:t>Responsibility Factor</w:t>
            </w:r>
          </w:p>
        </w:tc>
        <w:tc>
          <w:tcPr>
            <w:tcW w:w="0" w:type="auto"/>
            <w:noWrap/>
            <w:hideMark/>
          </w:tcPr>
          <w:p w14:paraId="3B40DFBD" w14:textId="77777777" w:rsidR="00CF1F71" w:rsidRPr="00401755" w:rsidRDefault="00CF1F71" w:rsidP="00CF1F71">
            <w:pPr>
              <w:rPr>
                <w:rFonts w:ascii="Calibri" w:eastAsia="Times New Roman" w:hAnsi="Calibri" w:cs="Calibri"/>
                <w:b/>
                <w:bCs/>
                <w:color w:val="000000"/>
                <w:sz w:val="21"/>
                <w:szCs w:val="21"/>
              </w:rPr>
            </w:pPr>
          </w:p>
        </w:tc>
        <w:tc>
          <w:tcPr>
            <w:tcW w:w="0" w:type="auto"/>
            <w:noWrap/>
            <w:hideMark/>
          </w:tcPr>
          <w:p w14:paraId="42D41773" w14:textId="77777777" w:rsidR="00CF1F71" w:rsidRPr="00401755" w:rsidRDefault="00CF1F71" w:rsidP="00CF1F71">
            <w:pPr>
              <w:rPr>
                <w:rFonts w:ascii="Calibri" w:eastAsia="Times New Roman" w:hAnsi="Calibri" w:cs="Calibri"/>
                <w:b/>
                <w:bCs/>
                <w:color w:val="000000"/>
                <w:sz w:val="21"/>
                <w:szCs w:val="21"/>
              </w:rPr>
            </w:pPr>
            <w:r w:rsidRPr="00401755">
              <w:rPr>
                <w:rFonts w:ascii="Calibri" w:eastAsia="Times New Roman" w:hAnsi="Calibri" w:cs="Calibri"/>
                <w:b/>
                <w:bCs/>
                <w:color w:val="000000"/>
                <w:sz w:val="21"/>
                <w:szCs w:val="21"/>
              </w:rPr>
              <w:t>Minimum Salary</w:t>
            </w:r>
          </w:p>
        </w:tc>
      </w:tr>
      <w:tr w:rsidR="00CF1F71" w:rsidRPr="00401755" w14:paraId="3AF6094E" w14:textId="77777777" w:rsidTr="00840CCE">
        <w:trPr>
          <w:trHeight w:val="285"/>
        </w:trPr>
        <w:tc>
          <w:tcPr>
            <w:tcW w:w="0" w:type="auto"/>
            <w:noWrap/>
            <w:hideMark/>
          </w:tcPr>
          <w:p w14:paraId="0F7409B1" w14:textId="77777777" w:rsidR="00CF1F71" w:rsidRPr="00401755" w:rsidRDefault="00CF1F71" w:rsidP="00CF1F71">
            <w:pPr>
              <w:rPr>
                <w:rFonts w:ascii="Calibri" w:eastAsia="Times New Roman" w:hAnsi="Calibri" w:cs="Calibri"/>
                <w:color w:val="000000"/>
                <w:sz w:val="21"/>
                <w:szCs w:val="21"/>
              </w:rPr>
            </w:pPr>
            <w:r w:rsidRPr="00401755">
              <w:rPr>
                <w:rFonts w:ascii="Calibri" w:eastAsia="Times New Roman" w:hAnsi="Calibri" w:cs="Calibri"/>
                <w:color w:val="000000"/>
                <w:sz w:val="21"/>
                <w:szCs w:val="21"/>
              </w:rPr>
              <w:t>Elementary school principal</w:t>
            </w:r>
          </w:p>
        </w:tc>
        <w:tc>
          <w:tcPr>
            <w:tcW w:w="0" w:type="auto"/>
            <w:noWrap/>
            <w:hideMark/>
          </w:tcPr>
          <w:p w14:paraId="1065E041" w14:textId="7DCC4782" w:rsidR="00CF1F71" w:rsidRPr="00401755" w:rsidRDefault="00CF1F71" w:rsidP="00CF1F71">
            <w:pPr>
              <w:jc w:val="center"/>
              <w:rPr>
                <w:rFonts w:ascii="Calibri" w:eastAsia="Times New Roman" w:hAnsi="Calibri" w:cs="Calibri"/>
                <w:color w:val="000000"/>
                <w:sz w:val="21"/>
                <w:szCs w:val="21"/>
              </w:rPr>
            </w:pPr>
            <w:r w:rsidRPr="00401755">
              <w:rPr>
                <w:rFonts w:ascii="Calibri" w:eastAsia="Times New Roman" w:hAnsi="Calibri" w:cs="Calibri"/>
                <w:color w:val="000000"/>
                <w:sz w:val="21"/>
                <w:szCs w:val="21"/>
              </w:rPr>
              <w:t>1.2</w:t>
            </w:r>
            <w:r w:rsidR="00B50C78">
              <w:rPr>
                <w:rFonts w:ascii="Calibri" w:eastAsia="Times New Roman" w:hAnsi="Calibri" w:cs="Calibri"/>
                <w:color w:val="000000"/>
                <w:sz w:val="21"/>
                <w:szCs w:val="21"/>
              </w:rPr>
              <w:t>5</w:t>
            </w:r>
          </w:p>
        </w:tc>
        <w:tc>
          <w:tcPr>
            <w:tcW w:w="0" w:type="auto"/>
            <w:noWrap/>
            <w:hideMark/>
          </w:tcPr>
          <w:p w14:paraId="2F58DC54" w14:textId="77777777" w:rsidR="00CF1F71" w:rsidRPr="00401755" w:rsidRDefault="00CF1F71" w:rsidP="00CF1F71">
            <w:pPr>
              <w:jc w:val="center"/>
              <w:rPr>
                <w:rFonts w:ascii="Calibri" w:eastAsia="Times New Roman" w:hAnsi="Calibri" w:cs="Calibri"/>
                <w:color w:val="000000"/>
                <w:sz w:val="21"/>
                <w:szCs w:val="21"/>
              </w:rPr>
            </w:pPr>
          </w:p>
        </w:tc>
        <w:tc>
          <w:tcPr>
            <w:tcW w:w="0" w:type="auto"/>
            <w:noWrap/>
            <w:hideMark/>
          </w:tcPr>
          <w:p w14:paraId="7F095DA0" w14:textId="63AF183C" w:rsidR="00CF1F71" w:rsidRPr="00401755" w:rsidRDefault="00CF1F71" w:rsidP="00CF1F71">
            <w:pPr>
              <w:jc w:val="right"/>
              <w:rPr>
                <w:rFonts w:ascii="Calibri" w:eastAsia="Times New Roman" w:hAnsi="Calibri" w:cs="Calibri"/>
                <w:color w:val="000000"/>
                <w:sz w:val="21"/>
                <w:szCs w:val="21"/>
              </w:rPr>
            </w:pPr>
            <w:r w:rsidRPr="00401755">
              <w:rPr>
                <w:rFonts w:ascii="Calibri" w:eastAsia="Times New Roman" w:hAnsi="Calibri" w:cs="Calibri"/>
                <w:color w:val="000000"/>
                <w:sz w:val="21"/>
                <w:szCs w:val="21"/>
              </w:rPr>
              <w:t>$8</w:t>
            </w:r>
            <w:r w:rsidR="00B50C78">
              <w:rPr>
                <w:rFonts w:ascii="Calibri" w:eastAsia="Times New Roman" w:hAnsi="Calibri" w:cs="Calibri"/>
                <w:color w:val="000000"/>
                <w:sz w:val="21"/>
                <w:szCs w:val="21"/>
              </w:rPr>
              <w:t>7,5</w:t>
            </w:r>
            <w:r w:rsidRPr="00401755">
              <w:rPr>
                <w:rFonts w:ascii="Calibri" w:eastAsia="Times New Roman" w:hAnsi="Calibri" w:cs="Calibri"/>
                <w:color w:val="000000"/>
                <w:sz w:val="21"/>
                <w:szCs w:val="21"/>
              </w:rPr>
              <w:t xml:space="preserve">00.00 </w:t>
            </w:r>
          </w:p>
        </w:tc>
      </w:tr>
      <w:tr w:rsidR="00CF1F71" w:rsidRPr="00401755" w14:paraId="566B3AC1" w14:textId="77777777" w:rsidTr="00840CCE">
        <w:trPr>
          <w:trHeight w:val="285"/>
        </w:trPr>
        <w:tc>
          <w:tcPr>
            <w:tcW w:w="0" w:type="auto"/>
            <w:noWrap/>
            <w:hideMark/>
          </w:tcPr>
          <w:p w14:paraId="0BCFCA9C" w14:textId="77777777" w:rsidR="00CF1F71" w:rsidRPr="00401755" w:rsidRDefault="00CF1F71" w:rsidP="00CF1F71">
            <w:pPr>
              <w:rPr>
                <w:rFonts w:ascii="Calibri" w:eastAsia="Times New Roman" w:hAnsi="Calibri" w:cs="Calibri"/>
                <w:color w:val="000000"/>
                <w:sz w:val="21"/>
                <w:szCs w:val="21"/>
              </w:rPr>
            </w:pPr>
            <w:r w:rsidRPr="00401755">
              <w:rPr>
                <w:rFonts w:ascii="Calibri" w:eastAsia="Times New Roman" w:hAnsi="Calibri" w:cs="Calibri"/>
                <w:color w:val="000000"/>
                <w:sz w:val="21"/>
                <w:szCs w:val="21"/>
              </w:rPr>
              <w:t>Middle school principal</w:t>
            </w:r>
          </w:p>
        </w:tc>
        <w:tc>
          <w:tcPr>
            <w:tcW w:w="0" w:type="auto"/>
            <w:noWrap/>
            <w:hideMark/>
          </w:tcPr>
          <w:p w14:paraId="01243BEE" w14:textId="53A50231" w:rsidR="00CF1F71" w:rsidRPr="00401755" w:rsidRDefault="00CF1F71" w:rsidP="00CF1F71">
            <w:pPr>
              <w:jc w:val="center"/>
              <w:rPr>
                <w:rFonts w:ascii="Calibri" w:eastAsia="Times New Roman" w:hAnsi="Calibri" w:cs="Calibri"/>
                <w:color w:val="000000"/>
                <w:sz w:val="21"/>
                <w:szCs w:val="21"/>
              </w:rPr>
            </w:pPr>
            <w:r w:rsidRPr="00401755">
              <w:rPr>
                <w:rFonts w:ascii="Calibri" w:eastAsia="Times New Roman" w:hAnsi="Calibri" w:cs="Calibri"/>
                <w:color w:val="000000"/>
                <w:sz w:val="21"/>
                <w:szCs w:val="21"/>
              </w:rPr>
              <w:t>1.4</w:t>
            </w:r>
            <w:r w:rsidR="00B50C78">
              <w:rPr>
                <w:rFonts w:ascii="Calibri" w:eastAsia="Times New Roman" w:hAnsi="Calibri" w:cs="Calibri"/>
                <w:color w:val="000000"/>
                <w:sz w:val="21"/>
                <w:szCs w:val="21"/>
              </w:rPr>
              <w:t>5</w:t>
            </w:r>
          </w:p>
        </w:tc>
        <w:tc>
          <w:tcPr>
            <w:tcW w:w="0" w:type="auto"/>
            <w:noWrap/>
            <w:hideMark/>
          </w:tcPr>
          <w:p w14:paraId="661BDC85" w14:textId="77777777" w:rsidR="00CF1F71" w:rsidRPr="00401755" w:rsidRDefault="00CF1F71" w:rsidP="00CF1F71">
            <w:pPr>
              <w:jc w:val="center"/>
              <w:rPr>
                <w:rFonts w:ascii="Calibri" w:eastAsia="Times New Roman" w:hAnsi="Calibri" w:cs="Calibri"/>
                <w:color w:val="000000"/>
                <w:sz w:val="21"/>
                <w:szCs w:val="21"/>
              </w:rPr>
            </w:pPr>
          </w:p>
        </w:tc>
        <w:tc>
          <w:tcPr>
            <w:tcW w:w="0" w:type="auto"/>
            <w:noWrap/>
            <w:hideMark/>
          </w:tcPr>
          <w:p w14:paraId="55E7C9F6" w14:textId="2B81B50D" w:rsidR="00CF1F71" w:rsidRPr="00401755" w:rsidRDefault="00CF1F71" w:rsidP="00CF1F71">
            <w:pPr>
              <w:jc w:val="right"/>
              <w:rPr>
                <w:rFonts w:ascii="Calibri" w:eastAsia="Times New Roman" w:hAnsi="Calibri" w:cs="Calibri"/>
                <w:color w:val="000000"/>
                <w:sz w:val="21"/>
                <w:szCs w:val="21"/>
              </w:rPr>
            </w:pPr>
            <w:r w:rsidRPr="00401755">
              <w:rPr>
                <w:rFonts w:ascii="Calibri" w:eastAsia="Times New Roman" w:hAnsi="Calibri" w:cs="Calibri"/>
                <w:color w:val="000000"/>
                <w:sz w:val="21"/>
                <w:szCs w:val="21"/>
              </w:rPr>
              <w:t>$</w:t>
            </w:r>
            <w:r w:rsidR="00B50C78">
              <w:rPr>
                <w:rFonts w:ascii="Calibri" w:eastAsia="Times New Roman" w:hAnsi="Calibri" w:cs="Calibri"/>
                <w:color w:val="000000"/>
                <w:sz w:val="21"/>
                <w:szCs w:val="21"/>
              </w:rPr>
              <w:t>101,5</w:t>
            </w:r>
            <w:r w:rsidRPr="00401755">
              <w:rPr>
                <w:rFonts w:ascii="Calibri" w:eastAsia="Times New Roman" w:hAnsi="Calibri" w:cs="Calibri"/>
                <w:color w:val="000000"/>
                <w:sz w:val="21"/>
                <w:szCs w:val="21"/>
              </w:rPr>
              <w:t xml:space="preserve">00.00 </w:t>
            </w:r>
          </w:p>
        </w:tc>
      </w:tr>
      <w:tr w:rsidR="00CF1F71" w:rsidRPr="00401755" w14:paraId="5FCF7FA7" w14:textId="77777777" w:rsidTr="00840CCE">
        <w:trPr>
          <w:trHeight w:val="285"/>
        </w:trPr>
        <w:tc>
          <w:tcPr>
            <w:tcW w:w="0" w:type="auto"/>
            <w:noWrap/>
            <w:hideMark/>
          </w:tcPr>
          <w:p w14:paraId="6AB9E344" w14:textId="77777777" w:rsidR="00CF1F71" w:rsidRPr="00401755" w:rsidRDefault="00CF1F71" w:rsidP="00CF1F71">
            <w:pPr>
              <w:rPr>
                <w:rFonts w:ascii="Calibri" w:eastAsia="Times New Roman" w:hAnsi="Calibri" w:cs="Calibri"/>
                <w:color w:val="000000"/>
                <w:sz w:val="21"/>
                <w:szCs w:val="21"/>
              </w:rPr>
            </w:pPr>
            <w:r w:rsidRPr="00401755">
              <w:rPr>
                <w:rFonts w:ascii="Calibri" w:eastAsia="Times New Roman" w:hAnsi="Calibri" w:cs="Calibri"/>
                <w:color w:val="000000"/>
                <w:sz w:val="21"/>
                <w:szCs w:val="21"/>
              </w:rPr>
              <w:t>High school principal</w:t>
            </w:r>
          </w:p>
        </w:tc>
        <w:tc>
          <w:tcPr>
            <w:tcW w:w="0" w:type="auto"/>
            <w:noWrap/>
            <w:hideMark/>
          </w:tcPr>
          <w:p w14:paraId="494FD19E" w14:textId="6F42534E" w:rsidR="00CF1F71" w:rsidRPr="00401755" w:rsidRDefault="00CF1F71" w:rsidP="00CF1F71">
            <w:pPr>
              <w:jc w:val="center"/>
              <w:rPr>
                <w:rFonts w:ascii="Calibri" w:eastAsia="Times New Roman" w:hAnsi="Calibri" w:cs="Calibri"/>
                <w:color w:val="000000"/>
                <w:sz w:val="21"/>
                <w:szCs w:val="21"/>
              </w:rPr>
            </w:pPr>
            <w:r w:rsidRPr="00401755">
              <w:rPr>
                <w:rFonts w:ascii="Calibri" w:eastAsia="Times New Roman" w:hAnsi="Calibri" w:cs="Calibri"/>
                <w:color w:val="000000"/>
                <w:sz w:val="21"/>
                <w:szCs w:val="21"/>
              </w:rPr>
              <w:t>1.6</w:t>
            </w:r>
            <w:r w:rsidR="00B50C78">
              <w:rPr>
                <w:rFonts w:ascii="Calibri" w:eastAsia="Times New Roman" w:hAnsi="Calibri" w:cs="Calibri"/>
                <w:color w:val="000000"/>
                <w:sz w:val="21"/>
                <w:szCs w:val="21"/>
              </w:rPr>
              <w:t>5</w:t>
            </w:r>
          </w:p>
        </w:tc>
        <w:tc>
          <w:tcPr>
            <w:tcW w:w="0" w:type="auto"/>
            <w:noWrap/>
            <w:hideMark/>
          </w:tcPr>
          <w:p w14:paraId="162988EC" w14:textId="77777777" w:rsidR="00CF1F71" w:rsidRPr="00401755" w:rsidRDefault="00CF1F71" w:rsidP="00CF1F71">
            <w:pPr>
              <w:jc w:val="center"/>
              <w:rPr>
                <w:rFonts w:ascii="Calibri" w:eastAsia="Times New Roman" w:hAnsi="Calibri" w:cs="Calibri"/>
                <w:color w:val="000000"/>
                <w:sz w:val="21"/>
                <w:szCs w:val="21"/>
              </w:rPr>
            </w:pPr>
          </w:p>
        </w:tc>
        <w:tc>
          <w:tcPr>
            <w:tcW w:w="0" w:type="auto"/>
            <w:noWrap/>
            <w:hideMark/>
          </w:tcPr>
          <w:p w14:paraId="52767623" w14:textId="0607CFA5" w:rsidR="00CF1F71" w:rsidRPr="00401755" w:rsidRDefault="00CF1F71" w:rsidP="00CF1F71">
            <w:pPr>
              <w:jc w:val="right"/>
              <w:rPr>
                <w:rFonts w:ascii="Calibri" w:eastAsia="Times New Roman" w:hAnsi="Calibri" w:cs="Calibri"/>
                <w:color w:val="000000"/>
                <w:sz w:val="21"/>
                <w:szCs w:val="21"/>
              </w:rPr>
            </w:pPr>
            <w:r w:rsidRPr="00401755">
              <w:rPr>
                <w:rFonts w:ascii="Calibri" w:eastAsia="Times New Roman" w:hAnsi="Calibri" w:cs="Calibri"/>
                <w:color w:val="000000"/>
                <w:sz w:val="21"/>
                <w:szCs w:val="21"/>
              </w:rPr>
              <w:t>$11</w:t>
            </w:r>
            <w:r w:rsidR="00B50C78">
              <w:rPr>
                <w:rFonts w:ascii="Calibri" w:eastAsia="Times New Roman" w:hAnsi="Calibri" w:cs="Calibri"/>
                <w:color w:val="000000"/>
                <w:sz w:val="21"/>
                <w:szCs w:val="21"/>
              </w:rPr>
              <w:t>5,5</w:t>
            </w:r>
            <w:r w:rsidRPr="00401755">
              <w:rPr>
                <w:rFonts w:ascii="Calibri" w:eastAsia="Times New Roman" w:hAnsi="Calibri" w:cs="Calibri"/>
                <w:color w:val="000000"/>
                <w:sz w:val="21"/>
                <w:szCs w:val="21"/>
              </w:rPr>
              <w:t xml:space="preserve">00.00 </w:t>
            </w:r>
          </w:p>
        </w:tc>
      </w:tr>
      <w:tr w:rsidR="00CF1F71" w:rsidRPr="00401755" w14:paraId="090FB52E" w14:textId="77777777" w:rsidTr="00840CCE">
        <w:trPr>
          <w:trHeight w:val="285"/>
        </w:trPr>
        <w:tc>
          <w:tcPr>
            <w:tcW w:w="0" w:type="auto"/>
            <w:noWrap/>
            <w:hideMark/>
          </w:tcPr>
          <w:p w14:paraId="36611CD5" w14:textId="77777777" w:rsidR="00CF1F71" w:rsidRPr="00401755" w:rsidRDefault="00CF1F71" w:rsidP="00CF1F71">
            <w:pPr>
              <w:rPr>
                <w:rFonts w:ascii="Calibri" w:eastAsia="Times New Roman" w:hAnsi="Calibri" w:cs="Calibri"/>
                <w:color w:val="000000"/>
                <w:sz w:val="21"/>
                <w:szCs w:val="21"/>
              </w:rPr>
            </w:pPr>
            <w:r w:rsidRPr="00401755">
              <w:rPr>
                <w:rFonts w:ascii="Calibri" w:eastAsia="Times New Roman" w:hAnsi="Calibri" w:cs="Calibri"/>
                <w:color w:val="000000"/>
                <w:sz w:val="21"/>
                <w:szCs w:val="21"/>
              </w:rPr>
              <w:t>Elementary school assist. principal</w:t>
            </w:r>
          </w:p>
        </w:tc>
        <w:tc>
          <w:tcPr>
            <w:tcW w:w="0" w:type="auto"/>
            <w:noWrap/>
            <w:hideMark/>
          </w:tcPr>
          <w:p w14:paraId="2F8DD48D" w14:textId="5C1AE04F" w:rsidR="00CF1F71" w:rsidRPr="00401755" w:rsidRDefault="00CF1F71" w:rsidP="00CF1F71">
            <w:pPr>
              <w:jc w:val="center"/>
              <w:rPr>
                <w:rFonts w:ascii="Calibri" w:eastAsia="Times New Roman" w:hAnsi="Calibri" w:cs="Calibri"/>
                <w:color w:val="000000"/>
                <w:sz w:val="21"/>
                <w:szCs w:val="21"/>
              </w:rPr>
            </w:pPr>
            <w:r w:rsidRPr="00401755">
              <w:rPr>
                <w:rFonts w:ascii="Calibri" w:eastAsia="Times New Roman" w:hAnsi="Calibri" w:cs="Calibri"/>
                <w:color w:val="000000"/>
                <w:sz w:val="21"/>
                <w:szCs w:val="21"/>
              </w:rPr>
              <w:t>1.1</w:t>
            </w:r>
            <w:r w:rsidR="00B50C78">
              <w:rPr>
                <w:rFonts w:ascii="Calibri" w:eastAsia="Times New Roman" w:hAnsi="Calibri" w:cs="Calibri"/>
                <w:color w:val="000000"/>
                <w:sz w:val="21"/>
                <w:szCs w:val="21"/>
              </w:rPr>
              <w:t>5</w:t>
            </w:r>
          </w:p>
        </w:tc>
        <w:tc>
          <w:tcPr>
            <w:tcW w:w="0" w:type="auto"/>
            <w:noWrap/>
            <w:hideMark/>
          </w:tcPr>
          <w:p w14:paraId="6F2002BB" w14:textId="77777777" w:rsidR="00CF1F71" w:rsidRPr="00401755" w:rsidRDefault="00CF1F71" w:rsidP="00CF1F71">
            <w:pPr>
              <w:jc w:val="center"/>
              <w:rPr>
                <w:rFonts w:ascii="Calibri" w:eastAsia="Times New Roman" w:hAnsi="Calibri" w:cs="Calibri"/>
                <w:color w:val="000000"/>
                <w:sz w:val="21"/>
                <w:szCs w:val="21"/>
              </w:rPr>
            </w:pPr>
          </w:p>
        </w:tc>
        <w:tc>
          <w:tcPr>
            <w:tcW w:w="0" w:type="auto"/>
            <w:noWrap/>
            <w:hideMark/>
          </w:tcPr>
          <w:p w14:paraId="3A15B426" w14:textId="0253E51D" w:rsidR="00CF1F71" w:rsidRPr="00401755" w:rsidRDefault="00CF1F71" w:rsidP="00CF1F71">
            <w:pPr>
              <w:jc w:val="right"/>
              <w:rPr>
                <w:rFonts w:ascii="Calibri" w:eastAsia="Times New Roman" w:hAnsi="Calibri" w:cs="Calibri"/>
                <w:color w:val="000000"/>
                <w:sz w:val="21"/>
                <w:szCs w:val="21"/>
              </w:rPr>
            </w:pPr>
            <w:r w:rsidRPr="00401755">
              <w:rPr>
                <w:rFonts w:ascii="Calibri" w:eastAsia="Times New Roman" w:hAnsi="Calibri" w:cs="Calibri"/>
                <w:color w:val="000000"/>
                <w:sz w:val="21"/>
                <w:szCs w:val="21"/>
              </w:rPr>
              <w:t>$</w:t>
            </w:r>
            <w:r w:rsidR="00B50C78">
              <w:rPr>
                <w:rFonts w:ascii="Calibri" w:eastAsia="Times New Roman" w:hAnsi="Calibri" w:cs="Calibri"/>
                <w:color w:val="000000"/>
                <w:sz w:val="21"/>
                <w:szCs w:val="21"/>
              </w:rPr>
              <w:t>80,5</w:t>
            </w:r>
            <w:r w:rsidRPr="00401755">
              <w:rPr>
                <w:rFonts w:ascii="Calibri" w:eastAsia="Times New Roman" w:hAnsi="Calibri" w:cs="Calibri"/>
                <w:color w:val="000000"/>
                <w:sz w:val="21"/>
                <w:szCs w:val="21"/>
              </w:rPr>
              <w:t xml:space="preserve">00.00 </w:t>
            </w:r>
          </w:p>
        </w:tc>
      </w:tr>
      <w:tr w:rsidR="00CF1F71" w:rsidRPr="00401755" w14:paraId="6E61172B" w14:textId="77777777" w:rsidTr="00840CCE">
        <w:trPr>
          <w:trHeight w:val="285"/>
        </w:trPr>
        <w:tc>
          <w:tcPr>
            <w:tcW w:w="0" w:type="auto"/>
            <w:noWrap/>
            <w:hideMark/>
          </w:tcPr>
          <w:p w14:paraId="3AA66387" w14:textId="77777777" w:rsidR="00CF1F71" w:rsidRPr="00401755" w:rsidRDefault="00CF1F71" w:rsidP="00CF1F71">
            <w:pPr>
              <w:rPr>
                <w:rFonts w:ascii="Calibri" w:eastAsia="Times New Roman" w:hAnsi="Calibri" w:cs="Calibri"/>
                <w:color w:val="000000"/>
                <w:sz w:val="21"/>
                <w:szCs w:val="21"/>
              </w:rPr>
            </w:pPr>
            <w:r w:rsidRPr="00401755">
              <w:rPr>
                <w:rFonts w:ascii="Calibri" w:eastAsia="Times New Roman" w:hAnsi="Calibri" w:cs="Calibri"/>
                <w:color w:val="000000"/>
                <w:sz w:val="21"/>
                <w:szCs w:val="21"/>
              </w:rPr>
              <w:t>Middle school assist. principal</w:t>
            </w:r>
          </w:p>
        </w:tc>
        <w:tc>
          <w:tcPr>
            <w:tcW w:w="0" w:type="auto"/>
            <w:noWrap/>
            <w:hideMark/>
          </w:tcPr>
          <w:p w14:paraId="40B987CF" w14:textId="226CB510" w:rsidR="00CF1F71" w:rsidRPr="00401755" w:rsidRDefault="00CF1F71" w:rsidP="00CF1F71">
            <w:pPr>
              <w:jc w:val="center"/>
              <w:rPr>
                <w:rFonts w:ascii="Calibri" w:eastAsia="Times New Roman" w:hAnsi="Calibri" w:cs="Calibri"/>
                <w:color w:val="000000"/>
                <w:sz w:val="21"/>
                <w:szCs w:val="21"/>
              </w:rPr>
            </w:pPr>
            <w:r w:rsidRPr="00401755">
              <w:rPr>
                <w:rFonts w:ascii="Calibri" w:eastAsia="Times New Roman" w:hAnsi="Calibri" w:cs="Calibri"/>
                <w:color w:val="000000"/>
                <w:sz w:val="21"/>
                <w:szCs w:val="21"/>
              </w:rPr>
              <w:t>1.</w:t>
            </w:r>
            <w:r w:rsidR="00B50C78">
              <w:rPr>
                <w:rFonts w:ascii="Calibri" w:eastAsia="Times New Roman" w:hAnsi="Calibri" w:cs="Calibri"/>
                <w:color w:val="000000"/>
                <w:sz w:val="21"/>
                <w:szCs w:val="21"/>
              </w:rPr>
              <w:t>20</w:t>
            </w:r>
          </w:p>
        </w:tc>
        <w:tc>
          <w:tcPr>
            <w:tcW w:w="0" w:type="auto"/>
            <w:noWrap/>
            <w:hideMark/>
          </w:tcPr>
          <w:p w14:paraId="289BD79C" w14:textId="77777777" w:rsidR="00CF1F71" w:rsidRPr="00401755" w:rsidRDefault="00CF1F71" w:rsidP="00CF1F71">
            <w:pPr>
              <w:jc w:val="center"/>
              <w:rPr>
                <w:rFonts w:ascii="Calibri" w:eastAsia="Times New Roman" w:hAnsi="Calibri" w:cs="Calibri"/>
                <w:color w:val="000000"/>
                <w:sz w:val="21"/>
                <w:szCs w:val="21"/>
              </w:rPr>
            </w:pPr>
          </w:p>
        </w:tc>
        <w:tc>
          <w:tcPr>
            <w:tcW w:w="0" w:type="auto"/>
            <w:noWrap/>
            <w:hideMark/>
          </w:tcPr>
          <w:p w14:paraId="7DAB331E" w14:textId="7D632189" w:rsidR="00CF1F71" w:rsidRPr="00401755" w:rsidRDefault="00CF1F71" w:rsidP="00CF1F71">
            <w:pPr>
              <w:jc w:val="right"/>
              <w:rPr>
                <w:rFonts w:ascii="Calibri" w:eastAsia="Times New Roman" w:hAnsi="Calibri" w:cs="Calibri"/>
                <w:color w:val="000000"/>
                <w:sz w:val="21"/>
                <w:szCs w:val="21"/>
              </w:rPr>
            </w:pPr>
            <w:r w:rsidRPr="00401755">
              <w:rPr>
                <w:rFonts w:ascii="Calibri" w:eastAsia="Times New Roman" w:hAnsi="Calibri" w:cs="Calibri"/>
                <w:color w:val="000000"/>
                <w:sz w:val="21"/>
                <w:szCs w:val="21"/>
              </w:rPr>
              <w:t>$8</w:t>
            </w:r>
            <w:r w:rsidR="00B50C78">
              <w:rPr>
                <w:rFonts w:ascii="Calibri" w:eastAsia="Times New Roman" w:hAnsi="Calibri" w:cs="Calibri"/>
                <w:color w:val="000000"/>
                <w:sz w:val="21"/>
                <w:szCs w:val="21"/>
              </w:rPr>
              <w:t>4,0</w:t>
            </w:r>
            <w:r w:rsidRPr="00401755">
              <w:rPr>
                <w:rFonts w:ascii="Calibri" w:eastAsia="Times New Roman" w:hAnsi="Calibri" w:cs="Calibri"/>
                <w:color w:val="000000"/>
                <w:sz w:val="21"/>
                <w:szCs w:val="21"/>
              </w:rPr>
              <w:t xml:space="preserve">00.00 </w:t>
            </w:r>
          </w:p>
        </w:tc>
      </w:tr>
      <w:tr w:rsidR="00CF1F71" w:rsidRPr="00401755" w14:paraId="06ADEBF2" w14:textId="77777777" w:rsidTr="00840CCE">
        <w:trPr>
          <w:trHeight w:val="285"/>
        </w:trPr>
        <w:tc>
          <w:tcPr>
            <w:tcW w:w="0" w:type="auto"/>
            <w:noWrap/>
            <w:hideMark/>
          </w:tcPr>
          <w:p w14:paraId="1DC2AD6E" w14:textId="77777777" w:rsidR="00CF1F71" w:rsidRPr="00401755" w:rsidRDefault="00CF1F71" w:rsidP="00CF1F71">
            <w:pPr>
              <w:rPr>
                <w:rFonts w:ascii="Calibri" w:eastAsia="Times New Roman" w:hAnsi="Calibri" w:cs="Calibri"/>
                <w:color w:val="000000"/>
                <w:sz w:val="21"/>
                <w:szCs w:val="21"/>
              </w:rPr>
            </w:pPr>
            <w:r w:rsidRPr="00401755">
              <w:rPr>
                <w:rFonts w:ascii="Calibri" w:eastAsia="Times New Roman" w:hAnsi="Calibri" w:cs="Calibri"/>
                <w:color w:val="000000"/>
                <w:sz w:val="21"/>
                <w:szCs w:val="21"/>
              </w:rPr>
              <w:t>High school assist. principal</w:t>
            </w:r>
          </w:p>
        </w:tc>
        <w:tc>
          <w:tcPr>
            <w:tcW w:w="0" w:type="auto"/>
            <w:noWrap/>
            <w:hideMark/>
          </w:tcPr>
          <w:p w14:paraId="3F65EC6D" w14:textId="7DF0CB0A" w:rsidR="00CF1F71" w:rsidRPr="00401755" w:rsidRDefault="00CF1F71" w:rsidP="00CF1F71">
            <w:pPr>
              <w:jc w:val="center"/>
              <w:rPr>
                <w:rFonts w:ascii="Calibri" w:eastAsia="Times New Roman" w:hAnsi="Calibri" w:cs="Calibri"/>
                <w:color w:val="000000"/>
                <w:sz w:val="21"/>
                <w:szCs w:val="21"/>
              </w:rPr>
            </w:pPr>
            <w:r w:rsidRPr="00401755">
              <w:rPr>
                <w:rFonts w:ascii="Calibri" w:eastAsia="Times New Roman" w:hAnsi="Calibri" w:cs="Calibri"/>
                <w:color w:val="000000"/>
                <w:sz w:val="21"/>
                <w:szCs w:val="21"/>
              </w:rPr>
              <w:t>1.</w:t>
            </w:r>
            <w:r w:rsidR="00B50C78">
              <w:rPr>
                <w:rFonts w:ascii="Calibri" w:eastAsia="Times New Roman" w:hAnsi="Calibri" w:cs="Calibri"/>
                <w:color w:val="000000"/>
                <w:sz w:val="21"/>
                <w:szCs w:val="21"/>
              </w:rPr>
              <w:t>30</w:t>
            </w:r>
          </w:p>
        </w:tc>
        <w:tc>
          <w:tcPr>
            <w:tcW w:w="0" w:type="auto"/>
            <w:noWrap/>
            <w:hideMark/>
          </w:tcPr>
          <w:p w14:paraId="442BE67E" w14:textId="77777777" w:rsidR="00CF1F71" w:rsidRPr="00401755" w:rsidRDefault="00CF1F71" w:rsidP="00CF1F71">
            <w:pPr>
              <w:jc w:val="center"/>
              <w:rPr>
                <w:rFonts w:ascii="Calibri" w:eastAsia="Times New Roman" w:hAnsi="Calibri" w:cs="Calibri"/>
                <w:color w:val="000000"/>
                <w:sz w:val="21"/>
                <w:szCs w:val="21"/>
              </w:rPr>
            </w:pPr>
          </w:p>
        </w:tc>
        <w:tc>
          <w:tcPr>
            <w:tcW w:w="0" w:type="auto"/>
            <w:noWrap/>
            <w:hideMark/>
          </w:tcPr>
          <w:p w14:paraId="633641E5" w14:textId="39D64292" w:rsidR="00CF1F71" w:rsidRPr="00401755" w:rsidRDefault="00CF1F71" w:rsidP="00CF1F71">
            <w:pPr>
              <w:jc w:val="right"/>
              <w:rPr>
                <w:rFonts w:ascii="Calibri" w:eastAsia="Times New Roman" w:hAnsi="Calibri" w:cs="Calibri"/>
                <w:color w:val="000000"/>
                <w:sz w:val="21"/>
                <w:szCs w:val="21"/>
              </w:rPr>
            </w:pPr>
            <w:r w:rsidRPr="00401755">
              <w:rPr>
                <w:rFonts w:ascii="Calibri" w:eastAsia="Times New Roman" w:hAnsi="Calibri" w:cs="Calibri"/>
                <w:color w:val="000000"/>
                <w:sz w:val="21"/>
                <w:szCs w:val="21"/>
              </w:rPr>
              <w:t>$</w:t>
            </w:r>
            <w:r w:rsidR="00B50C78">
              <w:rPr>
                <w:rFonts w:ascii="Calibri" w:eastAsia="Times New Roman" w:hAnsi="Calibri" w:cs="Calibri"/>
                <w:color w:val="000000"/>
                <w:sz w:val="21"/>
                <w:szCs w:val="21"/>
              </w:rPr>
              <w:t>91,0</w:t>
            </w:r>
            <w:r w:rsidRPr="00401755">
              <w:rPr>
                <w:rFonts w:ascii="Calibri" w:eastAsia="Times New Roman" w:hAnsi="Calibri" w:cs="Calibri"/>
                <w:color w:val="000000"/>
                <w:sz w:val="21"/>
                <w:szCs w:val="21"/>
              </w:rPr>
              <w:t xml:space="preserve">00.00 </w:t>
            </w:r>
          </w:p>
        </w:tc>
      </w:tr>
    </w:tbl>
    <w:p w14:paraId="6CB59961" w14:textId="50D2DC5A" w:rsidR="00F445DB" w:rsidRPr="00A15244" w:rsidRDefault="00F445DB" w:rsidP="00A15244">
      <w:pPr>
        <w:spacing w:after="0" w:line="240" w:lineRule="auto"/>
        <w:rPr>
          <w:sz w:val="8"/>
          <w:szCs w:val="8"/>
        </w:rPr>
      </w:pPr>
    </w:p>
    <w:sectPr w:rsidR="00F445DB" w:rsidRPr="00A152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74BB5" w14:textId="77777777" w:rsidR="007D1F85" w:rsidRDefault="007D1F85" w:rsidP="00A15244">
      <w:pPr>
        <w:spacing w:after="0" w:line="240" w:lineRule="auto"/>
      </w:pPr>
      <w:r>
        <w:separator/>
      </w:r>
    </w:p>
  </w:endnote>
  <w:endnote w:type="continuationSeparator" w:id="0">
    <w:p w14:paraId="702F707C" w14:textId="77777777" w:rsidR="007D1F85" w:rsidRDefault="007D1F85" w:rsidP="00A1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C6EBA" w14:textId="77777777" w:rsidR="007D1F85" w:rsidRDefault="007D1F85" w:rsidP="00A15244">
      <w:pPr>
        <w:spacing w:after="0" w:line="240" w:lineRule="auto"/>
      </w:pPr>
      <w:r>
        <w:separator/>
      </w:r>
    </w:p>
  </w:footnote>
  <w:footnote w:type="continuationSeparator" w:id="0">
    <w:p w14:paraId="045A6546" w14:textId="77777777" w:rsidR="007D1F85" w:rsidRDefault="007D1F85" w:rsidP="00A15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4C6251"/>
    <w:multiLevelType w:val="hybridMultilevel"/>
    <w:tmpl w:val="4F38ADBA"/>
    <w:lvl w:ilvl="0" w:tplc="4C6C4B2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266C48"/>
    <w:multiLevelType w:val="hybridMultilevel"/>
    <w:tmpl w:val="4378AD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8831BD8"/>
    <w:multiLevelType w:val="hybridMultilevel"/>
    <w:tmpl w:val="B55C4158"/>
    <w:lvl w:ilvl="0" w:tplc="04090015">
      <w:start w:val="1"/>
      <w:numFmt w:val="upperLetter"/>
      <w:lvlText w:val="%1."/>
      <w:lvlJc w:val="left"/>
      <w:pPr>
        <w:ind w:left="720" w:hanging="360"/>
      </w:pPr>
      <w:rPr>
        <w:rFonts w:hint="default"/>
      </w:rPr>
    </w:lvl>
    <w:lvl w:ilvl="1" w:tplc="4ACE2BAA">
      <w:start w:val="1"/>
      <w:numFmt w:val="decimal"/>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ED47CB"/>
    <w:multiLevelType w:val="hybridMultilevel"/>
    <w:tmpl w:val="4008C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529613">
    <w:abstractNumId w:val="1"/>
  </w:num>
  <w:num w:numId="2" w16cid:durableId="510264659">
    <w:abstractNumId w:val="2"/>
  </w:num>
  <w:num w:numId="3" w16cid:durableId="1300266184">
    <w:abstractNumId w:val="0"/>
  </w:num>
  <w:num w:numId="4" w16cid:durableId="2110004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5DB"/>
    <w:rsid w:val="00075EC6"/>
    <w:rsid w:val="000D0A19"/>
    <w:rsid w:val="000F6EC0"/>
    <w:rsid w:val="001048EE"/>
    <w:rsid w:val="00117427"/>
    <w:rsid w:val="001335D7"/>
    <w:rsid w:val="001965F7"/>
    <w:rsid w:val="003754F3"/>
    <w:rsid w:val="00401755"/>
    <w:rsid w:val="004A5E20"/>
    <w:rsid w:val="005267AA"/>
    <w:rsid w:val="005556C4"/>
    <w:rsid w:val="0057098B"/>
    <w:rsid w:val="00584B36"/>
    <w:rsid w:val="00595D0D"/>
    <w:rsid w:val="00653BE8"/>
    <w:rsid w:val="007D1F85"/>
    <w:rsid w:val="00840CCE"/>
    <w:rsid w:val="00852A39"/>
    <w:rsid w:val="00872771"/>
    <w:rsid w:val="008C67C4"/>
    <w:rsid w:val="00903313"/>
    <w:rsid w:val="0091442D"/>
    <w:rsid w:val="009B2035"/>
    <w:rsid w:val="009D46CC"/>
    <w:rsid w:val="00A15244"/>
    <w:rsid w:val="00A6008F"/>
    <w:rsid w:val="00B22B1C"/>
    <w:rsid w:val="00B50C78"/>
    <w:rsid w:val="00C3404E"/>
    <w:rsid w:val="00CA039F"/>
    <w:rsid w:val="00CC5CF2"/>
    <w:rsid w:val="00CF1F71"/>
    <w:rsid w:val="00D36436"/>
    <w:rsid w:val="00D526BD"/>
    <w:rsid w:val="00DD1F8D"/>
    <w:rsid w:val="00DD4EDE"/>
    <w:rsid w:val="00F119A7"/>
    <w:rsid w:val="00F445DB"/>
    <w:rsid w:val="00FA6A62"/>
    <w:rsid w:val="00FD71AB"/>
    <w:rsid w:val="00FF3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19726"/>
  <w15:chartTrackingRefBased/>
  <w15:docId w15:val="{F2EB4D58-AB07-459C-ACEC-4D8E026D9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0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5DB"/>
    <w:pPr>
      <w:ind w:left="720"/>
      <w:contextualSpacing/>
    </w:pPr>
  </w:style>
  <w:style w:type="paragraph" w:styleId="BalloonText">
    <w:name w:val="Balloon Text"/>
    <w:basedOn w:val="Normal"/>
    <w:link w:val="BalloonTextChar"/>
    <w:uiPriority w:val="99"/>
    <w:semiHidden/>
    <w:unhideWhenUsed/>
    <w:rsid w:val="00D526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6BD"/>
    <w:rPr>
      <w:rFonts w:ascii="Segoe UI" w:hAnsi="Segoe UI" w:cs="Segoe UI"/>
      <w:sz w:val="18"/>
      <w:szCs w:val="18"/>
    </w:rPr>
  </w:style>
  <w:style w:type="character" w:styleId="Hyperlink">
    <w:name w:val="Hyperlink"/>
    <w:basedOn w:val="DefaultParagraphFont"/>
    <w:uiPriority w:val="99"/>
    <w:unhideWhenUsed/>
    <w:rsid w:val="00DD1F8D"/>
    <w:rPr>
      <w:color w:val="0563C1" w:themeColor="hyperlink"/>
      <w:u w:val="single"/>
    </w:rPr>
  </w:style>
  <w:style w:type="character" w:customStyle="1" w:styleId="UnresolvedMention1">
    <w:name w:val="Unresolved Mention1"/>
    <w:basedOn w:val="DefaultParagraphFont"/>
    <w:uiPriority w:val="99"/>
    <w:semiHidden/>
    <w:unhideWhenUsed/>
    <w:rsid w:val="00DD1F8D"/>
    <w:rPr>
      <w:color w:val="605E5C"/>
      <w:shd w:val="clear" w:color="auto" w:fill="E1DFDD"/>
    </w:rPr>
  </w:style>
  <w:style w:type="character" w:styleId="FollowedHyperlink">
    <w:name w:val="FollowedHyperlink"/>
    <w:basedOn w:val="DefaultParagraphFont"/>
    <w:uiPriority w:val="99"/>
    <w:semiHidden/>
    <w:unhideWhenUsed/>
    <w:rsid w:val="00903313"/>
    <w:rPr>
      <w:color w:val="954F72" w:themeColor="followedHyperlink"/>
      <w:u w:val="single"/>
    </w:rPr>
  </w:style>
  <w:style w:type="paragraph" w:styleId="NormalWeb">
    <w:name w:val="Normal (Web)"/>
    <w:basedOn w:val="Normal"/>
    <w:uiPriority w:val="99"/>
    <w:semiHidden/>
    <w:unhideWhenUsed/>
    <w:rsid w:val="005556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56C4"/>
    <w:rPr>
      <w:b/>
      <w:bCs/>
    </w:rPr>
  </w:style>
  <w:style w:type="table" w:styleId="TableGrid">
    <w:name w:val="Table Grid"/>
    <w:basedOn w:val="TableNormal"/>
    <w:uiPriority w:val="39"/>
    <w:rsid w:val="00401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5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244"/>
  </w:style>
  <w:style w:type="paragraph" w:styleId="Footer">
    <w:name w:val="footer"/>
    <w:basedOn w:val="Normal"/>
    <w:link w:val="FooterChar"/>
    <w:uiPriority w:val="99"/>
    <w:unhideWhenUsed/>
    <w:rsid w:val="00A15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244"/>
  </w:style>
  <w:style w:type="character" w:styleId="UnresolvedMention">
    <w:name w:val="Unresolved Mention"/>
    <w:basedOn w:val="DefaultParagraphFont"/>
    <w:uiPriority w:val="99"/>
    <w:semiHidden/>
    <w:unhideWhenUsed/>
    <w:rsid w:val="00D36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639487">
      <w:bodyDiv w:val="1"/>
      <w:marLeft w:val="0"/>
      <w:marRight w:val="0"/>
      <w:marTop w:val="0"/>
      <w:marBottom w:val="0"/>
      <w:divBdr>
        <w:top w:val="none" w:sz="0" w:space="0" w:color="auto"/>
        <w:left w:val="none" w:sz="0" w:space="0" w:color="auto"/>
        <w:bottom w:val="none" w:sz="0" w:space="0" w:color="auto"/>
        <w:right w:val="none" w:sz="0" w:space="0" w:color="auto"/>
      </w:divBdr>
    </w:div>
    <w:div w:id="949437502">
      <w:bodyDiv w:val="1"/>
      <w:marLeft w:val="0"/>
      <w:marRight w:val="0"/>
      <w:marTop w:val="0"/>
      <w:marBottom w:val="0"/>
      <w:divBdr>
        <w:top w:val="none" w:sz="0" w:space="0" w:color="auto"/>
        <w:left w:val="none" w:sz="0" w:space="0" w:color="auto"/>
        <w:bottom w:val="none" w:sz="0" w:space="0" w:color="auto"/>
        <w:right w:val="none" w:sz="0" w:space="0" w:color="auto"/>
      </w:divBdr>
    </w:div>
    <w:div w:id="137962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bnew.ped.state.nm.us/bureaus/school-budget/staffing-cost-multiplier-te-tci-submission/" TargetMode="External"/><Relationship Id="rId5" Type="http://schemas.openxmlformats.org/officeDocument/2006/relationships/styles" Target="styles.xml"/><Relationship Id="rId10" Type="http://schemas.openxmlformats.org/officeDocument/2006/relationships/hyperlink" Target="https://webnew.ped.state.nm.us/wp-content/uploads/2022/04/NMPED-OBMS-User-Manual-Vol2-v-1.0.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6183C4C3D00C4092CA449382392A9C" ma:contentTypeVersion="1" ma:contentTypeDescription="Create a new document." ma:contentTypeScope="" ma:versionID="914f73d8c2bd7f4dc7cc16cad58a6fcd">
  <xsd:schema xmlns:xsd="http://www.w3.org/2001/XMLSchema" xmlns:xs="http://www.w3.org/2001/XMLSchema" xmlns:p="http://schemas.microsoft.com/office/2006/metadata/properties" xmlns:ns2="f31b0f60-fd0c-42a1-8924-8e870d476e8f" targetNamespace="http://schemas.microsoft.com/office/2006/metadata/properties" ma:root="true" ma:fieldsID="d1476ff42fd900919167a4dfdca23b4a" ns2:_="">
    <xsd:import namespace="f31b0f60-fd0c-42a1-8924-8e870d476e8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b0f60-fd0c-42a1-8924-8e870d476e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1323E2-6A29-42AD-B158-325EE3235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b0f60-fd0c-42a1-8924-8e870d476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251EC-D17B-42F7-B56E-AA2A1CECE490}">
  <ds:schemaRefs>
    <ds:schemaRef ds:uri="http://schemas.microsoft.com/office/infopath/2007/PartnerControls"/>
    <ds:schemaRef ds:uri="http://schemas.microsoft.com/office/2006/metadata/properties"/>
    <ds:schemaRef ds:uri="http://www.w3.org/XML/1998/namespace"/>
    <ds:schemaRef ds:uri="f31b0f60-fd0c-42a1-8924-8e870d476e8f"/>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s>
</ds:datastoreItem>
</file>

<file path=customXml/itemProps3.xml><?xml version="1.0" encoding="utf-8"?>
<ds:datastoreItem xmlns:ds="http://schemas.openxmlformats.org/officeDocument/2006/customXml" ds:itemID="{BAA2DCB9-00D4-4D4E-8A1A-A2B24912EE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State of New Mexico</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dc:creator>
  <cp:keywords/>
  <dc:description/>
  <cp:lastModifiedBy>Cordova, Sara, PED</cp:lastModifiedBy>
  <cp:revision>4</cp:revision>
  <dcterms:created xsi:type="dcterms:W3CDTF">2024-07-08T16:36:00Z</dcterms:created>
  <dcterms:modified xsi:type="dcterms:W3CDTF">2024-07-15T20:21:00Z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0x010100FC6183C4C3D00C4092CA449382392A9C</vt:lpwstr>
  </property>
</Properties>
</file>