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Overview of Performance Framework Business Rules Changes</w:t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September 19, 2024, PEC Work Session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1.A.2.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Reading and math calculated separately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Numerator language simplified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rPr>
          <w:u w:val="none"/>
        </w:rPr>
      </w:pPr>
      <w:r w:rsidDel="00000000" w:rsidR="00000000" w:rsidRPr="00000000">
        <w:rPr>
          <w:rtl w:val="0"/>
        </w:rPr>
        <w:t xml:space="preserve">Denominator provides for attenuation &lt; 95% participation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1.A.3.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Provides for attenuation &lt; 95% participation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rPr>
          <w:u w:val="none"/>
        </w:rPr>
      </w:pPr>
      <w:r w:rsidDel="00000000" w:rsidR="00000000" w:rsidRPr="00000000">
        <w:rPr>
          <w:rtl w:val="0"/>
        </w:rPr>
        <w:t xml:space="preserve">Defines testing population as students identified for testing rather than FAY students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1.B.1.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</w:pPr>
      <w:r w:rsidDel="00000000" w:rsidR="00000000" w:rsidRPr="00000000">
        <w:rPr>
          <w:rtl w:val="0"/>
        </w:rPr>
        <w:t xml:space="preserve">Reading and math calculated separately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Removes Attenuation &lt; 85% (would be 95% if attenuating) because PED does not attenuate the growth calculation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Clean-up language re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1.B.2.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/>
      </w:pPr>
      <w:r w:rsidDel="00000000" w:rsidR="00000000" w:rsidRPr="00000000">
        <w:rPr>
          <w:rtl w:val="0"/>
        </w:rPr>
        <w:t xml:space="preserve">Reading and math calculated separately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rPr>
          <w:u w:val="none"/>
        </w:rPr>
      </w:pPr>
      <w:r w:rsidDel="00000000" w:rsidR="00000000" w:rsidRPr="00000000">
        <w:rPr>
          <w:rtl w:val="0"/>
        </w:rPr>
        <w:t xml:space="preserve">Note: some grade levels will not have median SGP; see comment regarding calculation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1.B.3.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</w:pPr>
      <w:r w:rsidDel="00000000" w:rsidR="00000000" w:rsidRPr="00000000">
        <w:rPr>
          <w:rtl w:val="0"/>
        </w:rPr>
        <w:t xml:space="preserve">Defines testing population as students identified for testing rather than all students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Non-substantive clean-up edits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</w:pPr>
      <w:r w:rsidDel="00000000" w:rsidR="00000000" w:rsidRPr="00000000">
        <w:rPr>
          <w:rtl w:val="0"/>
        </w:rPr>
        <w:t xml:space="preserve">Replace “Approaching” with “Working to Meet”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</w:pPr>
      <w:r w:rsidDel="00000000" w:rsidR="00000000" w:rsidRPr="00000000">
        <w:rPr>
          <w:rtl w:val="0"/>
        </w:rPr>
        <w:t xml:space="preserve">Use “student groups” rather than “special student groups” throughout for consistency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≥ and &lt; rather than more than, greater than, at least, fewer than, less than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80"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