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BFEFE6" w14:textId="77777777" w:rsidR="001966A9" w:rsidRDefault="001966A9">
      <w:pPr>
        <w:jc w:val="center"/>
        <w:rPr>
          <w:sz w:val="48"/>
          <w:szCs w:val="48"/>
        </w:rPr>
      </w:pPr>
    </w:p>
    <w:p w14:paraId="7A632896" w14:textId="77777777" w:rsidR="001966A9" w:rsidRDefault="00000000">
      <w:pPr>
        <w:jc w:val="center"/>
        <w:rPr>
          <w:sz w:val="48"/>
          <w:szCs w:val="48"/>
        </w:rPr>
      </w:pPr>
      <w:r>
        <w:rPr>
          <w:sz w:val="48"/>
          <w:szCs w:val="48"/>
        </w:rPr>
        <w:t>New Mexico Public Education Commission</w:t>
      </w:r>
    </w:p>
    <w:p w14:paraId="4919011F" w14:textId="77777777" w:rsidR="001966A9" w:rsidRDefault="001966A9">
      <w:pPr>
        <w:jc w:val="center"/>
        <w:rPr>
          <w:sz w:val="48"/>
          <w:szCs w:val="48"/>
        </w:rPr>
      </w:pPr>
    </w:p>
    <w:p w14:paraId="5F4CDB33" w14:textId="77777777" w:rsidR="001966A9" w:rsidRDefault="00000000">
      <w:pPr>
        <w:jc w:val="center"/>
        <w:rPr>
          <w:sz w:val="40"/>
          <w:szCs w:val="40"/>
        </w:rPr>
      </w:pPr>
      <w:r>
        <w:rPr>
          <w:rFonts w:ascii="Times New Roman" w:eastAsia="Times New Roman" w:hAnsi="Times New Roman" w:cs="Times New Roman"/>
          <w:noProof/>
          <w:sz w:val="20"/>
          <w:szCs w:val="20"/>
        </w:rPr>
        <w:drawing>
          <wp:inline distT="0" distB="0" distL="0" distR="0" wp14:anchorId="3A9AB58F" wp14:editId="5C34130D">
            <wp:extent cx="1542963" cy="1572768"/>
            <wp:effectExtent l="0" t="0" r="0" b="0"/>
            <wp:docPr id="1494811040" name="image1.png" descr="neweagle"/>
            <wp:cNvGraphicFramePr/>
            <a:graphic xmlns:a="http://schemas.openxmlformats.org/drawingml/2006/main">
              <a:graphicData uri="http://schemas.openxmlformats.org/drawingml/2006/picture">
                <pic:pic xmlns:pic="http://schemas.openxmlformats.org/drawingml/2006/picture">
                  <pic:nvPicPr>
                    <pic:cNvPr id="0" name="image1.png" descr="neweagle"/>
                    <pic:cNvPicPr preferRelativeResize="0"/>
                  </pic:nvPicPr>
                  <pic:blipFill>
                    <a:blip r:embed="rId8"/>
                    <a:srcRect/>
                    <a:stretch>
                      <a:fillRect/>
                    </a:stretch>
                  </pic:blipFill>
                  <pic:spPr>
                    <a:xfrm>
                      <a:off x="0" y="0"/>
                      <a:ext cx="1542963" cy="1572768"/>
                    </a:xfrm>
                    <a:prstGeom prst="rect">
                      <a:avLst/>
                    </a:prstGeom>
                    <a:ln/>
                  </pic:spPr>
                </pic:pic>
              </a:graphicData>
            </a:graphic>
          </wp:inline>
        </w:drawing>
      </w:r>
    </w:p>
    <w:p w14:paraId="228224AC" w14:textId="77777777" w:rsidR="001966A9" w:rsidRDefault="001966A9">
      <w:pPr>
        <w:rPr>
          <w:sz w:val="40"/>
          <w:szCs w:val="40"/>
        </w:rPr>
      </w:pPr>
    </w:p>
    <w:p w14:paraId="75C59899" w14:textId="77777777" w:rsidR="001966A9" w:rsidRDefault="00000000">
      <w:pPr>
        <w:jc w:val="center"/>
        <w:rPr>
          <w:sz w:val="44"/>
          <w:szCs w:val="44"/>
        </w:rPr>
      </w:pPr>
      <w:r>
        <w:rPr>
          <w:sz w:val="44"/>
          <w:szCs w:val="44"/>
        </w:rPr>
        <w:t xml:space="preserve">New Mexico Charter School </w:t>
      </w:r>
    </w:p>
    <w:p w14:paraId="387C15AD" w14:textId="77777777" w:rsidR="001966A9" w:rsidRDefault="00000000">
      <w:pPr>
        <w:jc w:val="center"/>
        <w:rPr>
          <w:sz w:val="44"/>
          <w:szCs w:val="44"/>
        </w:rPr>
      </w:pPr>
      <w:r>
        <w:rPr>
          <w:sz w:val="44"/>
          <w:szCs w:val="44"/>
        </w:rPr>
        <w:t>Performance Framework</w:t>
      </w:r>
    </w:p>
    <w:p w14:paraId="0B585D80" w14:textId="77777777" w:rsidR="001966A9" w:rsidRDefault="001966A9">
      <w:pPr>
        <w:jc w:val="center"/>
        <w:rPr>
          <w:sz w:val="44"/>
          <w:szCs w:val="44"/>
        </w:rPr>
      </w:pPr>
    </w:p>
    <w:p w14:paraId="5807AE32" w14:textId="77777777" w:rsidR="001966A9" w:rsidRDefault="00000000">
      <w:pPr>
        <w:jc w:val="center"/>
        <w:rPr>
          <w:sz w:val="28"/>
          <w:szCs w:val="28"/>
        </w:rPr>
      </w:pPr>
      <w:r>
        <w:rPr>
          <w:sz w:val="28"/>
          <w:szCs w:val="28"/>
        </w:rPr>
        <w:t>Approved by the PEC: May 17, 2024</w:t>
      </w:r>
    </w:p>
    <w:p w14:paraId="2C8B6309" w14:textId="5E101EFC" w:rsidR="00A9142B" w:rsidRDefault="00A9142B">
      <w:pPr>
        <w:jc w:val="center"/>
        <w:rPr>
          <w:sz w:val="32"/>
          <w:szCs w:val="32"/>
        </w:rPr>
      </w:pPr>
      <w:r>
        <w:rPr>
          <w:sz w:val="28"/>
          <w:szCs w:val="28"/>
        </w:rPr>
        <w:t>Revis</w:t>
      </w:r>
      <w:r w:rsidR="00176493">
        <w:rPr>
          <w:sz w:val="28"/>
          <w:szCs w:val="28"/>
        </w:rPr>
        <w:t>ed:</w:t>
      </w:r>
      <w:r>
        <w:rPr>
          <w:sz w:val="28"/>
          <w:szCs w:val="28"/>
        </w:rPr>
        <w:t xml:space="preserve"> August 15, 2024</w:t>
      </w:r>
    </w:p>
    <w:p w14:paraId="39B2A4EF" w14:textId="77777777" w:rsidR="001966A9" w:rsidRDefault="001966A9">
      <w:pPr>
        <w:jc w:val="center"/>
        <w:rPr>
          <w:sz w:val="44"/>
          <w:szCs w:val="44"/>
        </w:rPr>
      </w:pPr>
    </w:p>
    <w:p w14:paraId="156E2677" w14:textId="77777777" w:rsidR="001966A9" w:rsidRDefault="00000000">
      <w:pPr>
        <w:jc w:val="center"/>
        <w:rPr>
          <w:sz w:val="44"/>
          <w:szCs w:val="44"/>
        </w:rPr>
      </w:pPr>
      <w:r>
        <w:rPr>
          <w:sz w:val="44"/>
          <w:szCs w:val="44"/>
        </w:rPr>
        <w:t>For [</w:t>
      </w:r>
      <w:r>
        <w:rPr>
          <w:i/>
          <w:sz w:val="44"/>
          <w:szCs w:val="44"/>
        </w:rPr>
        <w:t>insert school name]</w:t>
      </w:r>
    </w:p>
    <w:p w14:paraId="3DC65B34" w14:textId="77777777" w:rsidR="001966A9" w:rsidRDefault="00000000">
      <w:pPr>
        <w:jc w:val="center"/>
        <w:rPr>
          <w:sz w:val="44"/>
          <w:szCs w:val="44"/>
        </w:rPr>
      </w:pPr>
      <w:r>
        <w:rPr>
          <w:sz w:val="44"/>
          <w:szCs w:val="44"/>
        </w:rPr>
        <w:t>For the charter term: [</w:t>
      </w:r>
      <w:r>
        <w:rPr>
          <w:i/>
          <w:sz w:val="44"/>
          <w:szCs w:val="44"/>
        </w:rPr>
        <w:t>insert charter term]</w:t>
      </w:r>
    </w:p>
    <w:p w14:paraId="7DA5A7AA" w14:textId="77777777" w:rsidR="001966A9" w:rsidRDefault="001966A9">
      <w:pPr>
        <w:rPr>
          <w:sz w:val="32"/>
          <w:szCs w:val="32"/>
        </w:rPr>
      </w:pPr>
    </w:p>
    <w:p w14:paraId="571E136D" w14:textId="77777777" w:rsidR="001966A9" w:rsidRDefault="00000000">
      <w:pPr>
        <w:spacing w:after="0"/>
        <w:jc w:val="center"/>
        <w:rPr>
          <w:sz w:val="24"/>
          <w:szCs w:val="24"/>
        </w:rPr>
      </w:pPr>
      <w:r>
        <w:rPr>
          <w:sz w:val="24"/>
          <w:szCs w:val="24"/>
        </w:rPr>
        <w:t>Public Education Commission</w:t>
      </w:r>
    </w:p>
    <w:p w14:paraId="37DC2161" w14:textId="77777777" w:rsidR="001966A9" w:rsidRDefault="00000000">
      <w:pPr>
        <w:spacing w:after="0"/>
        <w:jc w:val="center"/>
        <w:rPr>
          <w:sz w:val="24"/>
          <w:szCs w:val="24"/>
        </w:rPr>
      </w:pPr>
      <w:r>
        <w:rPr>
          <w:sz w:val="24"/>
          <w:szCs w:val="24"/>
        </w:rPr>
        <w:t>300 Don Gaspar Ave.</w:t>
      </w:r>
    </w:p>
    <w:p w14:paraId="12F9457B" w14:textId="77777777" w:rsidR="001966A9" w:rsidRDefault="00000000">
      <w:pPr>
        <w:spacing w:after="0"/>
        <w:jc w:val="center"/>
        <w:rPr>
          <w:sz w:val="24"/>
          <w:szCs w:val="24"/>
        </w:rPr>
      </w:pPr>
      <w:r>
        <w:rPr>
          <w:sz w:val="24"/>
          <w:szCs w:val="24"/>
        </w:rPr>
        <w:t>Santa Fe, NM 87501</w:t>
      </w:r>
    </w:p>
    <w:p w14:paraId="7FEB3ED8" w14:textId="77777777" w:rsidR="001966A9" w:rsidRDefault="00000000">
      <w:pPr>
        <w:spacing w:after="0"/>
        <w:jc w:val="center"/>
        <w:rPr>
          <w:sz w:val="24"/>
          <w:szCs w:val="24"/>
        </w:rPr>
      </w:pPr>
      <w:r>
        <w:rPr>
          <w:sz w:val="24"/>
          <w:szCs w:val="24"/>
        </w:rPr>
        <w:t>(505) 827-6909</w:t>
      </w:r>
    </w:p>
    <w:p w14:paraId="7ED6E963" w14:textId="77777777" w:rsidR="001966A9" w:rsidRDefault="00000000">
      <w:pPr>
        <w:spacing w:after="0"/>
        <w:jc w:val="center"/>
        <w:rPr>
          <w:sz w:val="24"/>
          <w:szCs w:val="24"/>
        </w:rPr>
      </w:pPr>
      <w:hyperlink r:id="rId9">
        <w:r>
          <w:rPr>
            <w:color w:val="0563C1"/>
            <w:sz w:val="24"/>
            <w:szCs w:val="24"/>
            <w:u w:val="single"/>
          </w:rPr>
          <w:t>charter.schools@ped.nm.gov</w:t>
        </w:r>
      </w:hyperlink>
    </w:p>
    <w:p w14:paraId="15C48429" w14:textId="77777777" w:rsidR="001966A9" w:rsidRDefault="00000000">
      <w:pPr>
        <w:rPr>
          <w:sz w:val="24"/>
          <w:szCs w:val="24"/>
        </w:rPr>
      </w:pPr>
      <w:r>
        <w:br w:type="page"/>
      </w:r>
    </w:p>
    <w:p w14:paraId="2F0EE2DA" w14:textId="77777777" w:rsidR="001966A9" w:rsidRDefault="001966A9">
      <w:pPr>
        <w:keepNext/>
        <w:keepLines/>
        <w:pBdr>
          <w:top w:val="nil"/>
          <w:left w:val="nil"/>
          <w:bottom w:val="nil"/>
          <w:right w:val="nil"/>
          <w:between w:val="nil"/>
        </w:pBdr>
        <w:spacing w:before="240" w:after="0"/>
        <w:rPr>
          <w:color w:val="000000"/>
        </w:rPr>
      </w:pPr>
    </w:p>
    <w:p w14:paraId="69218362" w14:textId="77777777" w:rsidR="001966A9" w:rsidRDefault="00000000">
      <w:pPr>
        <w:keepNext/>
        <w:keepLines/>
        <w:pBdr>
          <w:top w:val="nil"/>
          <w:left w:val="nil"/>
          <w:bottom w:val="nil"/>
          <w:right w:val="nil"/>
          <w:between w:val="nil"/>
        </w:pBdr>
        <w:spacing w:before="240" w:after="0"/>
        <w:jc w:val="center"/>
        <w:rPr>
          <w:b/>
          <w:color w:val="000000"/>
          <w:sz w:val="28"/>
          <w:szCs w:val="28"/>
        </w:rPr>
      </w:pPr>
      <w:r>
        <w:rPr>
          <w:b/>
          <w:color w:val="000000"/>
          <w:sz w:val="28"/>
          <w:szCs w:val="28"/>
        </w:rPr>
        <w:t>Contents</w:t>
      </w:r>
    </w:p>
    <w:sdt>
      <w:sdtPr>
        <w:id w:val="1552354633"/>
        <w:docPartObj>
          <w:docPartGallery w:val="Table of Contents"/>
          <w:docPartUnique/>
        </w:docPartObj>
      </w:sdtPr>
      <w:sdtContent>
        <w:p w14:paraId="089C5FDE" w14:textId="269EC7B6" w:rsidR="0046046C" w:rsidRDefault="00000000">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w:instrText>
          </w:r>
          <w:r>
            <w:fldChar w:fldCharType="separate"/>
          </w:r>
          <w:hyperlink w:anchor="_Toc168642310" w:history="1">
            <w:r w:rsidR="0046046C" w:rsidRPr="002F10C1">
              <w:rPr>
                <w:rStyle w:val="Hyperlink"/>
                <w:noProof/>
              </w:rPr>
              <w:t>Introduction</w:t>
            </w:r>
            <w:r w:rsidR="0046046C">
              <w:rPr>
                <w:noProof/>
                <w:webHidden/>
              </w:rPr>
              <w:tab/>
            </w:r>
            <w:r w:rsidR="0046046C">
              <w:rPr>
                <w:noProof/>
                <w:webHidden/>
              </w:rPr>
              <w:fldChar w:fldCharType="begin"/>
            </w:r>
            <w:r w:rsidR="0046046C">
              <w:rPr>
                <w:noProof/>
                <w:webHidden/>
              </w:rPr>
              <w:instrText xml:space="preserve"> PAGEREF _Toc168642310 \h </w:instrText>
            </w:r>
            <w:r w:rsidR="0046046C">
              <w:rPr>
                <w:noProof/>
                <w:webHidden/>
              </w:rPr>
            </w:r>
            <w:r w:rsidR="0046046C">
              <w:rPr>
                <w:noProof/>
                <w:webHidden/>
              </w:rPr>
              <w:fldChar w:fldCharType="separate"/>
            </w:r>
            <w:r w:rsidR="0046046C">
              <w:rPr>
                <w:noProof/>
                <w:webHidden/>
              </w:rPr>
              <w:t>3</w:t>
            </w:r>
            <w:r w:rsidR="0046046C">
              <w:rPr>
                <w:noProof/>
                <w:webHidden/>
              </w:rPr>
              <w:fldChar w:fldCharType="end"/>
            </w:r>
          </w:hyperlink>
        </w:p>
        <w:p w14:paraId="7216805E" w14:textId="5DBD9474" w:rsidR="0046046C" w:rsidRDefault="00000000">
          <w:pPr>
            <w:pStyle w:val="TOC1"/>
            <w:rPr>
              <w:rFonts w:asciiTheme="minorHAnsi" w:eastAsiaTheme="minorEastAsia" w:hAnsiTheme="minorHAnsi" w:cstheme="minorBidi"/>
              <w:noProof/>
              <w:kern w:val="2"/>
              <w:sz w:val="24"/>
              <w:szCs w:val="24"/>
              <w14:ligatures w14:val="standardContextual"/>
            </w:rPr>
          </w:pPr>
          <w:hyperlink w:anchor="_Toc168642311" w:history="1">
            <w:r w:rsidR="0046046C" w:rsidRPr="002F10C1">
              <w:rPr>
                <w:rStyle w:val="Hyperlink"/>
                <w:noProof/>
              </w:rPr>
              <w:t>How the Performance Framework Is Used</w:t>
            </w:r>
            <w:r w:rsidR="0046046C">
              <w:rPr>
                <w:noProof/>
                <w:webHidden/>
              </w:rPr>
              <w:tab/>
            </w:r>
            <w:r w:rsidR="0046046C">
              <w:rPr>
                <w:noProof/>
                <w:webHidden/>
              </w:rPr>
              <w:fldChar w:fldCharType="begin"/>
            </w:r>
            <w:r w:rsidR="0046046C">
              <w:rPr>
                <w:noProof/>
                <w:webHidden/>
              </w:rPr>
              <w:instrText xml:space="preserve"> PAGEREF _Toc168642311 \h </w:instrText>
            </w:r>
            <w:r w:rsidR="0046046C">
              <w:rPr>
                <w:noProof/>
                <w:webHidden/>
              </w:rPr>
            </w:r>
            <w:r w:rsidR="0046046C">
              <w:rPr>
                <w:noProof/>
                <w:webHidden/>
              </w:rPr>
              <w:fldChar w:fldCharType="separate"/>
            </w:r>
            <w:r w:rsidR="0046046C">
              <w:rPr>
                <w:noProof/>
                <w:webHidden/>
              </w:rPr>
              <w:t>3</w:t>
            </w:r>
            <w:r w:rsidR="0046046C">
              <w:rPr>
                <w:noProof/>
                <w:webHidden/>
              </w:rPr>
              <w:fldChar w:fldCharType="end"/>
            </w:r>
          </w:hyperlink>
        </w:p>
        <w:p w14:paraId="6447833E" w14:textId="6E2AC9E5" w:rsidR="0046046C" w:rsidRDefault="00000000">
          <w:pPr>
            <w:pStyle w:val="TOC1"/>
            <w:rPr>
              <w:rFonts w:asciiTheme="minorHAnsi" w:eastAsiaTheme="minorEastAsia" w:hAnsiTheme="minorHAnsi" w:cstheme="minorBidi"/>
              <w:noProof/>
              <w:kern w:val="2"/>
              <w:sz w:val="24"/>
              <w:szCs w:val="24"/>
              <w14:ligatures w14:val="standardContextual"/>
            </w:rPr>
          </w:pPr>
          <w:hyperlink w:anchor="_Toc168642312" w:history="1">
            <w:r w:rsidR="0046046C" w:rsidRPr="002F10C1">
              <w:rPr>
                <w:rStyle w:val="Hyperlink"/>
                <w:noProof/>
              </w:rPr>
              <w:t>Statutory Requirements for the Performance Framework</w:t>
            </w:r>
            <w:r w:rsidR="0046046C">
              <w:rPr>
                <w:noProof/>
                <w:webHidden/>
              </w:rPr>
              <w:tab/>
            </w:r>
            <w:r w:rsidR="0046046C">
              <w:rPr>
                <w:noProof/>
                <w:webHidden/>
              </w:rPr>
              <w:fldChar w:fldCharType="begin"/>
            </w:r>
            <w:r w:rsidR="0046046C">
              <w:rPr>
                <w:noProof/>
                <w:webHidden/>
              </w:rPr>
              <w:instrText xml:space="preserve"> PAGEREF _Toc168642312 \h </w:instrText>
            </w:r>
            <w:r w:rsidR="0046046C">
              <w:rPr>
                <w:noProof/>
                <w:webHidden/>
              </w:rPr>
            </w:r>
            <w:r w:rsidR="0046046C">
              <w:rPr>
                <w:noProof/>
                <w:webHidden/>
              </w:rPr>
              <w:fldChar w:fldCharType="separate"/>
            </w:r>
            <w:r w:rsidR="0046046C">
              <w:rPr>
                <w:noProof/>
                <w:webHidden/>
              </w:rPr>
              <w:t>3</w:t>
            </w:r>
            <w:r w:rsidR="0046046C">
              <w:rPr>
                <w:noProof/>
                <w:webHidden/>
              </w:rPr>
              <w:fldChar w:fldCharType="end"/>
            </w:r>
          </w:hyperlink>
        </w:p>
        <w:p w14:paraId="2682CD59" w14:textId="190F81A8" w:rsidR="0046046C" w:rsidRDefault="00000000">
          <w:pPr>
            <w:pStyle w:val="TOC1"/>
            <w:rPr>
              <w:rFonts w:asciiTheme="minorHAnsi" w:eastAsiaTheme="minorEastAsia" w:hAnsiTheme="minorHAnsi" w:cstheme="minorBidi"/>
              <w:noProof/>
              <w:kern w:val="2"/>
              <w:sz w:val="24"/>
              <w:szCs w:val="24"/>
              <w14:ligatures w14:val="standardContextual"/>
            </w:rPr>
          </w:pPr>
          <w:hyperlink w:anchor="_Toc168642313" w:history="1">
            <w:r w:rsidR="0046046C" w:rsidRPr="002F10C1">
              <w:rPr>
                <w:rStyle w:val="Hyperlink"/>
                <w:noProof/>
              </w:rPr>
              <w:t>Framework, Categories, and Performance Indicators</w:t>
            </w:r>
            <w:r w:rsidR="0046046C">
              <w:rPr>
                <w:noProof/>
                <w:webHidden/>
              </w:rPr>
              <w:tab/>
            </w:r>
            <w:r w:rsidR="0046046C">
              <w:rPr>
                <w:noProof/>
                <w:webHidden/>
              </w:rPr>
              <w:fldChar w:fldCharType="begin"/>
            </w:r>
            <w:r w:rsidR="0046046C">
              <w:rPr>
                <w:noProof/>
                <w:webHidden/>
              </w:rPr>
              <w:instrText xml:space="preserve"> PAGEREF _Toc168642313 \h </w:instrText>
            </w:r>
            <w:r w:rsidR="0046046C">
              <w:rPr>
                <w:noProof/>
                <w:webHidden/>
              </w:rPr>
            </w:r>
            <w:r w:rsidR="0046046C">
              <w:rPr>
                <w:noProof/>
                <w:webHidden/>
              </w:rPr>
              <w:fldChar w:fldCharType="separate"/>
            </w:r>
            <w:r w:rsidR="0046046C">
              <w:rPr>
                <w:noProof/>
                <w:webHidden/>
              </w:rPr>
              <w:t>5</w:t>
            </w:r>
            <w:r w:rsidR="0046046C">
              <w:rPr>
                <w:noProof/>
                <w:webHidden/>
              </w:rPr>
              <w:fldChar w:fldCharType="end"/>
            </w:r>
          </w:hyperlink>
        </w:p>
        <w:p w14:paraId="030C916C" w14:textId="5FFA5567" w:rsidR="0046046C" w:rsidRDefault="00000000">
          <w:pPr>
            <w:pStyle w:val="TOC1"/>
            <w:rPr>
              <w:rFonts w:asciiTheme="minorHAnsi" w:eastAsiaTheme="minorEastAsia" w:hAnsiTheme="minorHAnsi" w:cstheme="minorBidi"/>
              <w:noProof/>
              <w:kern w:val="2"/>
              <w:sz w:val="24"/>
              <w:szCs w:val="24"/>
              <w14:ligatures w14:val="standardContextual"/>
            </w:rPr>
          </w:pPr>
          <w:hyperlink w:anchor="_Toc168642314" w:history="1">
            <w:r w:rsidR="0046046C" w:rsidRPr="002F10C1">
              <w:rPr>
                <w:rStyle w:val="Hyperlink"/>
                <w:noProof/>
              </w:rPr>
              <w:t>Annual Evaluation and Reports</w:t>
            </w:r>
            <w:r w:rsidR="0046046C">
              <w:rPr>
                <w:noProof/>
                <w:webHidden/>
              </w:rPr>
              <w:tab/>
            </w:r>
            <w:r w:rsidR="0046046C">
              <w:rPr>
                <w:noProof/>
                <w:webHidden/>
              </w:rPr>
              <w:fldChar w:fldCharType="begin"/>
            </w:r>
            <w:r w:rsidR="0046046C">
              <w:rPr>
                <w:noProof/>
                <w:webHidden/>
              </w:rPr>
              <w:instrText xml:space="preserve"> PAGEREF _Toc168642314 \h </w:instrText>
            </w:r>
            <w:r w:rsidR="0046046C">
              <w:rPr>
                <w:noProof/>
                <w:webHidden/>
              </w:rPr>
            </w:r>
            <w:r w:rsidR="0046046C">
              <w:rPr>
                <w:noProof/>
                <w:webHidden/>
              </w:rPr>
              <w:fldChar w:fldCharType="separate"/>
            </w:r>
            <w:r w:rsidR="0046046C">
              <w:rPr>
                <w:noProof/>
                <w:webHidden/>
              </w:rPr>
              <w:t>6</w:t>
            </w:r>
            <w:r w:rsidR="0046046C">
              <w:rPr>
                <w:noProof/>
                <w:webHidden/>
              </w:rPr>
              <w:fldChar w:fldCharType="end"/>
            </w:r>
          </w:hyperlink>
        </w:p>
        <w:p w14:paraId="143397A8" w14:textId="44D4073D" w:rsidR="0046046C" w:rsidRDefault="00000000">
          <w:pPr>
            <w:pStyle w:val="TOC1"/>
            <w:rPr>
              <w:rFonts w:asciiTheme="minorHAnsi" w:eastAsiaTheme="minorEastAsia" w:hAnsiTheme="minorHAnsi" w:cstheme="minorBidi"/>
              <w:noProof/>
              <w:kern w:val="2"/>
              <w:sz w:val="24"/>
              <w:szCs w:val="24"/>
              <w14:ligatures w14:val="standardContextual"/>
            </w:rPr>
          </w:pPr>
          <w:hyperlink w:anchor="_Toc168642315" w:history="1">
            <w:r w:rsidR="0046046C" w:rsidRPr="002F10C1">
              <w:rPr>
                <w:rStyle w:val="Hyperlink"/>
                <w:noProof/>
              </w:rPr>
              <w:t>Part I: Academic Framework</w:t>
            </w:r>
            <w:r w:rsidR="0046046C">
              <w:rPr>
                <w:noProof/>
                <w:webHidden/>
              </w:rPr>
              <w:tab/>
            </w:r>
            <w:r w:rsidR="0046046C">
              <w:rPr>
                <w:noProof/>
                <w:webHidden/>
              </w:rPr>
              <w:fldChar w:fldCharType="begin"/>
            </w:r>
            <w:r w:rsidR="0046046C">
              <w:rPr>
                <w:noProof/>
                <w:webHidden/>
              </w:rPr>
              <w:instrText xml:space="preserve"> PAGEREF _Toc168642315 \h </w:instrText>
            </w:r>
            <w:r w:rsidR="0046046C">
              <w:rPr>
                <w:noProof/>
                <w:webHidden/>
              </w:rPr>
            </w:r>
            <w:r w:rsidR="0046046C">
              <w:rPr>
                <w:noProof/>
                <w:webHidden/>
              </w:rPr>
              <w:fldChar w:fldCharType="separate"/>
            </w:r>
            <w:r w:rsidR="0046046C">
              <w:rPr>
                <w:noProof/>
                <w:webHidden/>
              </w:rPr>
              <w:t>7</w:t>
            </w:r>
            <w:r w:rsidR="0046046C">
              <w:rPr>
                <w:noProof/>
                <w:webHidden/>
              </w:rPr>
              <w:fldChar w:fldCharType="end"/>
            </w:r>
          </w:hyperlink>
        </w:p>
        <w:p w14:paraId="1A4DBD16" w14:textId="40F2857A" w:rsidR="0046046C" w:rsidRDefault="00000000">
          <w:pPr>
            <w:pStyle w:val="TOC1"/>
            <w:rPr>
              <w:rFonts w:asciiTheme="minorHAnsi" w:eastAsiaTheme="minorEastAsia" w:hAnsiTheme="minorHAnsi" w:cstheme="minorBidi"/>
              <w:noProof/>
              <w:kern w:val="2"/>
              <w:sz w:val="24"/>
              <w:szCs w:val="24"/>
              <w14:ligatures w14:val="standardContextual"/>
            </w:rPr>
          </w:pPr>
          <w:hyperlink w:anchor="_Toc168642316" w:history="1">
            <w:r w:rsidR="0046046C" w:rsidRPr="002F10C1">
              <w:rPr>
                <w:rStyle w:val="Hyperlink"/>
                <w:noProof/>
              </w:rPr>
              <w:t>Part II: Organizational Framework</w:t>
            </w:r>
            <w:r w:rsidR="0046046C">
              <w:rPr>
                <w:noProof/>
                <w:webHidden/>
              </w:rPr>
              <w:tab/>
            </w:r>
            <w:r w:rsidR="0046046C">
              <w:rPr>
                <w:noProof/>
                <w:webHidden/>
              </w:rPr>
              <w:fldChar w:fldCharType="begin"/>
            </w:r>
            <w:r w:rsidR="0046046C">
              <w:rPr>
                <w:noProof/>
                <w:webHidden/>
              </w:rPr>
              <w:instrText xml:space="preserve"> PAGEREF _Toc168642316 \h </w:instrText>
            </w:r>
            <w:r w:rsidR="0046046C">
              <w:rPr>
                <w:noProof/>
                <w:webHidden/>
              </w:rPr>
            </w:r>
            <w:r w:rsidR="0046046C">
              <w:rPr>
                <w:noProof/>
                <w:webHidden/>
              </w:rPr>
              <w:fldChar w:fldCharType="separate"/>
            </w:r>
            <w:r w:rsidR="0046046C">
              <w:rPr>
                <w:noProof/>
                <w:webHidden/>
              </w:rPr>
              <w:t>13</w:t>
            </w:r>
            <w:r w:rsidR="0046046C">
              <w:rPr>
                <w:noProof/>
                <w:webHidden/>
              </w:rPr>
              <w:fldChar w:fldCharType="end"/>
            </w:r>
          </w:hyperlink>
        </w:p>
        <w:p w14:paraId="335BB030" w14:textId="560C8248" w:rsidR="0046046C" w:rsidRDefault="00000000">
          <w:pPr>
            <w:pStyle w:val="TOC1"/>
            <w:rPr>
              <w:rFonts w:asciiTheme="minorHAnsi" w:eastAsiaTheme="minorEastAsia" w:hAnsiTheme="minorHAnsi" w:cstheme="minorBidi"/>
              <w:noProof/>
              <w:kern w:val="2"/>
              <w:sz w:val="24"/>
              <w:szCs w:val="24"/>
              <w14:ligatures w14:val="standardContextual"/>
            </w:rPr>
          </w:pPr>
          <w:hyperlink w:anchor="_Toc168642317" w:history="1">
            <w:r w:rsidR="0046046C" w:rsidRPr="002F10C1">
              <w:rPr>
                <w:rStyle w:val="Hyperlink"/>
                <w:noProof/>
              </w:rPr>
              <w:t>Part III: Financial Framework</w:t>
            </w:r>
            <w:r w:rsidR="0046046C">
              <w:rPr>
                <w:noProof/>
                <w:webHidden/>
              </w:rPr>
              <w:tab/>
            </w:r>
            <w:r w:rsidR="0046046C">
              <w:rPr>
                <w:noProof/>
                <w:webHidden/>
              </w:rPr>
              <w:fldChar w:fldCharType="begin"/>
            </w:r>
            <w:r w:rsidR="0046046C">
              <w:rPr>
                <w:noProof/>
                <w:webHidden/>
              </w:rPr>
              <w:instrText xml:space="preserve"> PAGEREF _Toc168642317 \h </w:instrText>
            </w:r>
            <w:r w:rsidR="0046046C">
              <w:rPr>
                <w:noProof/>
                <w:webHidden/>
              </w:rPr>
            </w:r>
            <w:r w:rsidR="0046046C">
              <w:rPr>
                <w:noProof/>
                <w:webHidden/>
              </w:rPr>
              <w:fldChar w:fldCharType="separate"/>
            </w:r>
            <w:r w:rsidR="0046046C">
              <w:rPr>
                <w:noProof/>
                <w:webHidden/>
              </w:rPr>
              <w:t>15</w:t>
            </w:r>
            <w:r w:rsidR="0046046C">
              <w:rPr>
                <w:noProof/>
                <w:webHidden/>
              </w:rPr>
              <w:fldChar w:fldCharType="end"/>
            </w:r>
          </w:hyperlink>
        </w:p>
        <w:p w14:paraId="2D9925B0" w14:textId="5F82E7F2" w:rsidR="001966A9" w:rsidRDefault="00000000">
          <w:pPr>
            <w:widowControl w:val="0"/>
            <w:tabs>
              <w:tab w:val="right" w:pos="12000"/>
            </w:tabs>
            <w:spacing w:before="60" w:after="0" w:line="240" w:lineRule="auto"/>
            <w:rPr>
              <w:rFonts w:ascii="Arial" w:eastAsia="Arial" w:hAnsi="Arial" w:cs="Arial"/>
              <w:b/>
              <w:color w:val="000000"/>
            </w:rPr>
          </w:pPr>
          <w:r>
            <w:fldChar w:fldCharType="end"/>
          </w:r>
        </w:p>
      </w:sdtContent>
    </w:sdt>
    <w:p w14:paraId="674798A4" w14:textId="77777777" w:rsidR="001966A9" w:rsidRDefault="00000000">
      <w:pPr>
        <w:pStyle w:val="Heading1"/>
      </w:pPr>
      <w:bookmarkStart w:id="0" w:name="_heading=h.aspa47s3vber" w:colFirst="0" w:colLast="0"/>
      <w:bookmarkEnd w:id="0"/>
      <w:r>
        <w:br w:type="page"/>
      </w:r>
    </w:p>
    <w:p w14:paraId="40B7C543" w14:textId="77777777" w:rsidR="001966A9" w:rsidRDefault="00000000">
      <w:pPr>
        <w:pStyle w:val="Heading1"/>
      </w:pPr>
      <w:bookmarkStart w:id="1" w:name="_Toc168642310"/>
      <w:r>
        <w:lastRenderedPageBreak/>
        <w:t>Introduction</w:t>
      </w:r>
      <w:bookmarkEnd w:id="1"/>
    </w:p>
    <w:p w14:paraId="65177494" w14:textId="77777777" w:rsidR="001966A9" w:rsidRDefault="00000000">
      <w:r>
        <w:t xml:space="preserve">The New Mexico Charter Schools Performance Framework supports the Public Education Commission (PEC), state-authorized charter schools, and the Charter Schools Division (CSD) in answering a series of three questions posed by an approach called </w:t>
      </w:r>
      <w:hyperlink r:id="rId10">
        <w:r>
          <w:rPr>
            <w:color w:val="0563C1"/>
            <w:u w:val="single"/>
          </w:rPr>
          <w:t>Results-Based Accountability</w:t>
        </w:r>
      </w:hyperlink>
      <w:r>
        <w:rPr>
          <w:vertAlign w:val="superscript"/>
        </w:rPr>
        <w:t>TM</w:t>
      </w:r>
      <w:r>
        <w:t>: How much did each charter school do? How well did they do it? Is anyone better off as a result?</w:t>
      </w:r>
      <w:r>
        <w:rPr>
          <w:vertAlign w:val="superscript"/>
        </w:rPr>
        <w:footnoteReference w:id="1"/>
      </w:r>
      <w:r>
        <w:t xml:space="preserve"> This process resulted in measures that include both </w:t>
      </w:r>
      <w:r>
        <w:rPr>
          <w:i/>
        </w:rPr>
        <w:t>school-specific performance indicators</w:t>
      </w:r>
      <w:r>
        <w:t xml:space="preserve"> that give schools flexibility in capturing how their mission is being operationalized and fulfilled and </w:t>
      </w:r>
      <w:r>
        <w:rPr>
          <w:i/>
        </w:rPr>
        <w:t>universal performance indicators</w:t>
      </w:r>
      <w:r>
        <w:t xml:space="preserve"> applied across all state-authorized charter schools. These universal performance indicators capture the PEC’s priorities surrounding standard quality processes and outcomes across all schools in its portfolio.</w:t>
      </w:r>
    </w:p>
    <w:p w14:paraId="4FE0386B" w14:textId="77777777" w:rsidR="001966A9" w:rsidRDefault="00000000">
      <w:r>
        <w:t>The Performance Framework provides a roadmap for the annual evaluation of the performance of state-authorized charter schools and is a material term of the charter schools’ contracts, as stated in NMSA §22-8B-9.1 (1978).</w:t>
      </w:r>
    </w:p>
    <w:p w14:paraId="67E134DD" w14:textId="77777777" w:rsidR="001966A9" w:rsidRDefault="001966A9"/>
    <w:p w14:paraId="45B5F3E0" w14:textId="77777777" w:rsidR="001966A9" w:rsidRDefault="00000000">
      <w:pPr>
        <w:pStyle w:val="Heading1"/>
      </w:pPr>
      <w:bookmarkStart w:id="2" w:name="_Toc168642311"/>
      <w:r>
        <w:t>How the Performance Framework Is Used</w:t>
      </w:r>
      <w:bookmarkEnd w:id="2"/>
    </w:p>
    <w:p w14:paraId="7059C04C" w14:textId="77777777" w:rsidR="001966A9" w:rsidRDefault="00000000">
      <w:r>
        <w:t>As the authorizer of state-chartered schools, the PEC uses the Performance Framework as the primary tool for school monitoring and accountability. The PEC, in collaboration with the CSD, has designed the New Mexico Performance Framework to be more than just that. In addition to providing transparent criteria by which the PEC will consider to make informed charter authorization decisions, the Performance Framework is also intended to support all parties with the following:</w:t>
      </w:r>
    </w:p>
    <w:p w14:paraId="3E332157" w14:textId="77777777" w:rsidR="001966A9" w:rsidRDefault="00000000">
      <w:pPr>
        <w:numPr>
          <w:ilvl w:val="0"/>
          <w:numId w:val="4"/>
        </w:numPr>
      </w:pPr>
      <w:r>
        <w:t>Understanding where schools are strong and where they need support,</w:t>
      </w:r>
    </w:p>
    <w:p w14:paraId="4A92D8A7" w14:textId="77777777" w:rsidR="001966A9" w:rsidRDefault="00000000">
      <w:pPr>
        <w:numPr>
          <w:ilvl w:val="0"/>
          <w:numId w:val="4"/>
        </w:numPr>
      </w:pPr>
      <w:r>
        <w:t xml:space="preserve">Supporting schools’ internal continuous improvement efforts, </w:t>
      </w:r>
    </w:p>
    <w:p w14:paraId="7E8E5488" w14:textId="77777777" w:rsidR="001966A9" w:rsidRDefault="00000000">
      <w:pPr>
        <w:numPr>
          <w:ilvl w:val="0"/>
          <w:numId w:val="4"/>
        </w:numPr>
      </w:pPr>
      <w:r>
        <w:t>Identifying and celebrating promising practices and programs, and</w:t>
      </w:r>
    </w:p>
    <w:p w14:paraId="354DEBC1" w14:textId="77777777" w:rsidR="001966A9" w:rsidRDefault="00000000">
      <w:pPr>
        <w:numPr>
          <w:ilvl w:val="0"/>
          <w:numId w:val="4"/>
        </w:numPr>
      </w:pPr>
      <w:r>
        <w:t>Providing the PEC and individual schools with data and stories that help communicate a meaningful and positive narrative about New Mexican students, communities, and schools.</w:t>
      </w:r>
    </w:p>
    <w:p w14:paraId="095A18D1" w14:textId="77777777" w:rsidR="001966A9" w:rsidRDefault="001966A9">
      <w:pPr>
        <w:pStyle w:val="Heading1"/>
        <w:jc w:val="left"/>
      </w:pPr>
    </w:p>
    <w:p w14:paraId="6076CB43" w14:textId="77777777" w:rsidR="001966A9" w:rsidRDefault="00000000">
      <w:pPr>
        <w:pStyle w:val="Heading1"/>
      </w:pPr>
      <w:bookmarkStart w:id="3" w:name="_Toc168642312"/>
      <w:r>
        <w:t>Statutory Requirements for the Performance Framework</w:t>
      </w:r>
      <w:bookmarkEnd w:id="3"/>
    </w:p>
    <w:p w14:paraId="4860B22A" w14:textId="77777777" w:rsidR="001966A9" w:rsidRDefault="00000000">
      <w:r>
        <w:t>This document meets the requirements of New Mexico Statutes Annotated §§ 22-8B-9 and 9.1, NMSA 1978, and will allow the PEC and CSD to effectively monitor school performance in a transparent and clear manner. According to § 22-8B-9(B.11), “the process and criteria that the chartering authority intends to use to annually monitor and evaluate the fiscal well-being, overall governance, and student performance of the charter school, including the method that the chartering authority intends to use to conduct the evaluation as required by Section 22-8B-12 NMSA 1978.”</w:t>
      </w:r>
    </w:p>
    <w:p w14:paraId="409FD385" w14:textId="77777777" w:rsidR="001966A9" w:rsidRDefault="00000000">
      <w:r>
        <w:br w:type="page"/>
      </w:r>
    </w:p>
    <w:p w14:paraId="4E825C20" w14:textId="77777777" w:rsidR="001966A9" w:rsidRDefault="00000000">
      <w:r>
        <w:lastRenderedPageBreak/>
        <w:t>Further, the following is required for a performance framework:</w:t>
      </w:r>
    </w:p>
    <w:p w14:paraId="7A15040C" w14:textId="77777777" w:rsidR="001966A9" w:rsidRDefault="00000000">
      <w:pPr>
        <w:rPr>
          <w:i/>
        </w:rPr>
      </w:pPr>
      <w:bookmarkStart w:id="4" w:name="_heading=h.3znysh7" w:colFirst="0" w:colLast="0"/>
      <w:bookmarkEnd w:id="4"/>
      <w:r>
        <w:t>§ 22-8B-9.1. Performance Framework</w:t>
      </w:r>
    </w:p>
    <w:p w14:paraId="13494B0E" w14:textId="77777777" w:rsidR="001966A9" w:rsidRDefault="00000000">
      <w:pPr>
        <w:numPr>
          <w:ilvl w:val="0"/>
          <w:numId w:val="1"/>
        </w:numPr>
      </w:pPr>
      <w:r>
        <w:t>The performance provisions in the charter contract shall be based on a Framework that clearly sets forth the academic and operations performance indicators and performance targets that will guide the chartering authority's evaluation of each charter school. The Performance Framework shall be a material term of the charter school contract and shall include performance indicators and performance targets for, at a minimum:</w:t>
      </w:r>
    </w:p>
    <w:p w14:paraId="7DD113F3" w14:textId="77777777" w:rsidR="001966A9" w:rsidRDefault="00000000">
      <w:pPr>
        <w:numPr>
          <w:ilvl w:val="0"/>
          <w:numId w:val="5"/>
        </w:numPr>
      </w:pPr>
      <w:r>
        <w:t>student academic performance;</w:t>
      </w:r>
    </w:p>
    <w:p w14:paraId="58F75680" w14:textId="77777777" w:rsidR="001966A9" w:rsidRDefault="00000000">
      <w:pPr>
        <w:numPr>
          <w:ilvl w:val="0"/>
          <w:numId w:val="5"/>
        </w:numPr>
      </w:pPr>
      <w:r>
        <w:t>student academic growth;</w:t>
      </w:r>
    </w:p>
    <w:p w14:paraId="23BE44D8" w14:textId="77777777" w:rsidR="001966A9" w:rsidRDefault="00000000">
      <w:pPr>
        <w:numPr>
          <w:ilvl w:val="0"/>
          <w:numId w:val="5"/>
        </w:numPr>
      </w:pPr>
      <w:r>
        <w:t>achievement gaps in both proficiency and growth between student subgroups;</w:t>
      </w:r>
    </w:p>
    <w:p w14:paraId="5563CBDD" w14:textId="77777777" w:rsidR="001966A9" w:rsidRDefault="00000000">
      <w:pPr>
        <w:numPr>
          <w:ilvl w:val="0"/>
          <w:numId w:val="5"/>
        </w:numPr>
      </w:pPr>
      <w:r>
        <w:t>attendance;</w:t>
      </w:r>
    </w:p>
    <w:p w14:paraId="7090BC5E" w14:textId="77777777" w:rsidR="001966A9" w:rsidRDefault="00000000">
      <w:pPr>
        <w:numPr>
          <w:ilvl w:val="0"/>
          <w:numId w:val="5"/>
        </w:numPr>
      </w:pPr>
      <w:r>
        <w:t>recurrent enrollment from year to year;</w:t>
      </w:r>
    </w:p>
    <w:p w14:paraId="7B974F3E" w14:textId="77777777" w:rsidR="001966A9" w:rsidRDefault="00000000">
      <w:pPr>
        <w:numPr>
          <w:ilvl w:val="0"/>
          <w:numId w:val="5"/>
        </w:numPr>
      </w:pPr>
      <w:r>
        <w:t>if the charter school is a high school, post-secondary readiness;</w:t>
      </w:r>
    </w:p>
    <w:p w14:paraId="76C7E958" w14:textId="77777777" w:rsidR="001966A9" w:rsidRDefault="00000000">
      <w:pPr>
        <w:numPr>
          <w:ilvl w:val="0"/>
          <w:numId w:val="5"/>
        </w:numPr>
      </w:pPr>
      <w:r>
        <w:t>if the charter school is a high school, the graduation rate;</w:t>
      </w:r>
    </w:p>
    <w:p w14:paraId="6E4FBD7E" w14:textId="77777777" w:rsidR="001966A9" w:rsidRDefault="00000000">
      <w:pPr>
        <w:numPr>
          <w:ilvl w:val="0"/>
          <w:numId w:val="5"/>
        </w:numPr>
      </w:pPr>
      <w:r>
        <w:t>financial performance and sustainability; and</w:t>
      </w:r>
    </w:p>
    <w:p w14:paraId="0425739A" w14:textId="77777777" w:rsidR="001966A9" w:rsidRDefault="00000000">
      <w:pPr>
        <w:numPr>
          <w:ilvl w:val="0"/>
          <w:numId w:val="5"/>
        </w:numPr>
      </w:pPr>
      <w:r>
        <w:t>governing body performance, including compliance with all applicable laws, rules, and terms of the charter contract.</w:t>
      </w:r>
    </w:p>
    <w:p w14:paraId="2BD092EB" w14:textId="77777777" w:rsidR="001966A9" w:rsidRDefault="00000000">
      <w:pPr>
        <w:numPr>
          <w:ilvl w:val="0"/>
          <w:numId w:val="1"/>
        </w:numPr>
        <w:pBdr>
          <w:top w:val="nil"/>
          <w:left w:val="nil"/>
          <w:bottom w:val="nil"/>
          <w:right w:val="nil"/>
          <w:between w:val="nil"/>
        </w:pBdr>
      </w:pPr>
      <w:r>
        <w:rPr>
          <w:color w:val="000000"/>
        </w:rPr>
        <w:t>Annual performance targets shall be set by each chartering authority in consultation with its charter schools and shall be designed to help each charter school meet applicable federal, state, and chartering authority expectations as set forth in the charter contracts to which the authority is a party.</w:t>
      </w:r>
    </w:p>
    <w:p w14:paraId="7BA10F25" w14:textId="77777777" w:rsidR="001966A9" w:rsidRDefault="00000000">
      <w:pPr>
        <w:numPr>
          <w:ilvl w:val="0"/>
          <w:numId w:val="1"/>
        </w:numPr>
        <w:pBdr>
          <w:top w:val="nil"/>
          <w:left w:val="nil"/>
          <w:bottom w:val="nil"/>
          <w:right w:val="nil"/>
          <w:between w:val="nil"/>
        </w:pBdr>
      </w:pPr>
      <w:r>
        <w:rPr>
          <w:color w:val="000000"/>
        </w:rPr>
        <w:t>The performance framework shall allow for the inclusion of additional rigorous, valid, and reliable indicators proposed by a charter school to augment external evaluations of its performance, provided that the chartering authority shall approve the quality and rigor of such proposed indicators and the indicators are consistent with the purposes of the Charter Schools Act.</w:t>
      </w:r>
    </w:p>
    <w:p w14:paraId="6CCEED1C" w14:textId="77777777" w:rsidR="001966A9" w:rsidRDefault="00000000">
      <w:pPr>
        <w:numPr>
          <w:ilvl w:val="0"/>
          <w:numId w:val="1"/>
        </w:numPr>
        <w:pBdr>
          <w:top w:val="nil"/>
          <w:left w:val="nil"/>
          <w:bottom w:val="nil"/>
          <w:right w:val="nil"/>
          <w:between w:val="nil"/>
        </w:pBdr>
      </w:pPr>
      <w:r>
        <w:rPr>
          <w:color w:val="000000"/>
        </w:rPr>
        <w:t>The performance framework shall require the disaggregation of all student performance data collected in compliance with this section by student subgroup, including gender, race, poverty status, special education or gifted status, and English language learner.</w:t>
      </w:r>
    </w:p>
    <w:p w14:paraId="596B2FF3" w14:textId="77777777" w:rsidR="001966A9" w:rsidRDefault="00000000">
      <w:pPr>
        <w:numPr>
          <w:ilvl w:val="0"/>
          <w:numId w:val="1"/>
        </w:numPr>
        <w:pBdr>
          <w:top w:val="nil"/>
          <w:left w:val="nil"/>
          <w:bottom w:val="nil"/>
          <w:right w:val="nil"/>
          <w:between w:val="nil"/>
        </w:pBdr>
      </w:pPr>
      <w:r>
        <w:rPr>
          <w:color w:val="000000"/>
        </w:rPr>
        <w:t>The chartering authority shall collect, analyze and report all data from state assessment tests in accordance with the performance Framework set forth in the charter contract for each charter school overseen by that chartering authority.</w:t>
      </w:r>
    </w:p>
    <w:p w14:paraId="001B62F6" w14:textId="77777777" w:rsidR="001966A9" w:rsidRDefault="00000000">
      <w:r>
        <w:t xml:space="preserve">NMAC 6.2.9.11 – 6.2.9.13 provides further direction regarding how this Performance Framework and the performance indicators will be incorporated into the CSD annual reports and possibly form the basis for corrective action issued by the PEC to the school. </w:t>
      </w:r>
    </w:p>
    <w:p w14:paraId="35B01723" w14:textId="77777777" w:rsidR="001966A9" w:rsidRDefault="00000000">
      <w:pPr>
        <w:rPr>
          <w:b/>
          <w:sz w:val="28"/>
          <w:szCs w:val="28"/>
        </w:rPr>
      </w:pPr>
      <w:r>
        <w:br w:type="page"/>
      </w:r>
    </w:p>
    <w:p w14:paraId="3F747428" w14:textId="77777777" w:rsidR="001966A9" w:rsidRDefault="00000000">
      <w:pPr>
        <w:pStyle w:val="Heading1"/>
      </w:pPr>
      <w:bookmarkStart w:id="5" w:name="_Toc168642313"/>
      <w:r>
        <w:lastRenderedPageBreak/>
        <w:t>Framework, Categories, and Performance Indicators</w:t>
      </w:r>
      <w:bookmarkEnd w:id="5"/>
    </w:p>
    <w:tbl>
      <w:tblPr>
        <w:tblStyle w:val="afff"/>
        <w:tblW w:w="9216"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6"/>
        <w:gridCol w:w="3060"/>
        <w:gridCol w:w="4590"/>
      </w:tblGrid>
      <w:tr w:rsidR="001966A9" w14:paraId="7FEA8961" w14:textId="77777777">
        <w:trPr>
          <w:trHeight w:val="90"/>
          <w:tblHeader/>
        </w:trPr>
        <w:tc>
          <w:tcPr>
            <w:tcW w:w="1566" w:type="dxa"/>
            <w:shd w:val="clear" w:color="auto" w:fill="0B5394"/>
            <w:tcMar>
              <w:top w:w="99" w:type="dxa"/>
              <w:left w:w="99" w:type="dxa"/>
              <w:bottom w:w="99" w:type="dxa"/>
              <w:right w:w="99" w:type="dxa"/>
            </w:tcMar>
            <w:vAlign w:val="center"/>
          </w:tcPr>
          <w:p w14:paraId="7198ED9B" w14:textId="77777777" w:rsidR="001966A9" w:rsidRDefault="00000000">
            <w:pPr>
              <w:jc w:val="center"/>
              <w:rPr>
                <w:b/>
                <w:color w:val="FFFFFF"/>
                <w:sz w:val="26"/>
                <w:szCs w:val="26"/>
              </w:rPr>
            </w:pPr>
            <w:r>
              <w:rPr>
                <w:b/>
                <w:color w:val="FFFFFF"/>
                <w:sz w:val="26"/>
                <w:szCs w:val="26"/>
              </w:rPr>
              <w:t>Framework</w:t>
            </w:r>
          </w:p>
        </w:tc>
        <w:tc>
          <w:tcPr>
            <w:tcW w:w="3060" w:type="dxa"/>
            <w:shd w:val="clear" w:color="auto" w:fill="0B5394"/>
            <w:tcMar>
              <w:top w:w="99" w:type="dxa"/>
              <w:left w:w="99" w:type="dxa"/>
              <w:bottom w:w="99" w:type="dxa"/>
              <w:right w:w="99" w:type="dxa"/>
            </w:tcMar>
            <w:vAlign w:val="center"/>
          </w:tcPr>
          <w:p w14:paraId="12E053AA" w14:textId="77777777" w:rsidR="001966A9" w:rsidRDefault="00000000">
            <w:pPr>
              <w:jc w:val="center"/>
              <w:rPr>
                <w:b/>
                <w:color w:val="FFFFFF"/>
                <w:sz w:val="26"/>
                <w:szCs w:val="26"/>
              </w:rPr>
            </w:pPr>
            <w:r>
              <w:rPr>
                <w:b/>
                <w:color w:val="FFFFFF"/>
                <w:sz w:val="26"/>
                <w:szCs w:val="26"/>
              </w:rPr>
              <w:t>Category</w:t>
            </w:r>
          </w:p>
        </w:tc>
        <w:tc>
          <w:tcPr>
            <w:tcW w:w="4590" w:type="dxa"/>
            <w:shd w:val="clear" w:color="auto" w:fill="0B5394"/>
            <w:tcMar>
              <w:top w:w="99" w:type="dxa"/>
              <w:left w:w="99" w:type="dxa"/>
              <w:bottom w:w="99" w:type="dxa"/>
              <w:right w:w="99" w:type="dxa"/>
            </w:tcMar>
            <w:vAlign w:val="center"/>
          </w:tcPr>
          <w:p w14:paraId="42F65A14" w14:textId="77777777" w:rsidR="001966A9" w:rsidRDefault="00000000">
            <w:pPr>
              <w:jc w:val="center"/>
              <w:rPr>
                <w:b/>
                <w:color w:val="FFFFFF"/>
                <w:sz w:val="26"/>
                <w:szCs w:val="26"/>
              </w:rPr>
            </w:pPr>
            <w:r>
              <w:rPr>
                <w:b/>
                <w:color w:val="FFFFFF"/>
                <w:sz w:val="26"/>
                <w:szCs w:val="26"/>
              </w:rPr>
              <w:t>Performance Indicator</w:t>
            </w:r>
          </w:p>
        </w:tc>
      </w:tr>
      <w:tr w:rsidR="001966A9" w14:paraId="3B7ACD25" w14:textId="77777777">
        <w:trPr>
          <w:trHeight w:val="315"/>
        </w:trPr>
        <w:tc>
          <w:tcPr>
            <w:tcW w:w="1566" w:type="dxa"/>
            <w:vMerge w:val="restart"/>
            <w:shd w:val="clear" w:color="auto" w:fill="auto"/>
            <w:tcMar>
              <w:top w:w="28" w:type="dxa"/>
              <w:left w:w="28" w:type="dxa"/>
              <w:bottom w:w="28" w:type="dxa"/>
              <w:right w:w="28" w:type="dxa"/>
            </w:tcMar>
            <w:vAlign w:val="center"/>
          </w:tcPr>
          <w:p w14:paraId="63A53F74" w14:textId="77777777" w:rsidR="001966A9" w:rsidRDefault="00000000">
            <w:pPr>
              <w:rPr>
                <w:b/>
              </w:rPr>
            </w:pPr>
            <w:r>
              <w:rPr>
                <w:b/>
              </w:rPr>
              <w:t>Academic</w:t>
            </w:r>
          </w:p>
        </w:tc>
        <w:tc>
          <w:tcPr>
            <w:tcW w:w="3060" w:type="dxa"/>
            <w:vMerge w:val="restart"/>
            <w:shd w:val="clear" w:color="auto" w:fill="auto"/>
            <w:tcMar>
              <w:top w:w="28" w:type="dxa"/>
              <w:left w:w="28" w:type="dxa"/>
              <w:bottom w:w="28" w:type="dxa"/>
              <w:right w:w="28" w:type="dxa"/>
            </w:tcMar>
            <w:vAlign w:val="center"/>
          </w:tcPr>
          <w:p w14:paraId="558030A9" w14:textId="77777777" w:rsidR="001966A9" w:rsidRDefault="00000000">
            <w:r>
              <w:t>State Accountability System</w:t>
            </w:r>
          </w:p>
        </w:tc>
        <w:tc>
          <w:tcPr>
            <w:tcW w:w="4590" w:type="dxa"/>
            <w:shd w:val="clear" w:color="auto" w:fill="auto"/>
            <w:tcMar>
              <w:top w:w="28" w:type="dxa"/>
              <w:left w:w="28" w:type="dxa"/>
              <w:bottom w:w="28" w:type="dxa"/>
              <w:right w:w="28" w:type="dxa"/>
            </w:tcMar>
            <w:vAlign w:val="center"/>
          </w:tcPr>
          <w:p w14:paraId="31D7B656" w14:textId="77777777" w:rsidR="001966A9" w:rsidRDefault="00000000">
            <w:r>
              <w:t>1.A. State Accountability System</w:t>
            </w:r>
          </w:p>
        </w:tc>
      </w:tr>
      <w:tr w:rsidR="001966A9" w14:paraId="320D0328" w14:textId="77777777">
        <w:trPr>
          <w:trHeight w:val="360"/>
        </w:trPr>
        <w:tc>
          <w:tcPr>
            <w:tcW w:w="1566" w:type="dxa"/>
            <w:vMerge/>
            <w:shd w:val="clear" w:color="auto" w:fill="auto"/>
            <w:tcMar>
              <w:top w:w="28" w:type="dxa"/>
              <w:left w:w="28" w:type="dxa"/>
              <w:bottom w:w="28" w:type="dxa"/>
              <w:right w:w="28" w:type="dxa"/>
            </w:tcMar>
            <w:vAlign w:val="center"/>
          </w:tcPr>
          <w:p w14:paraId="711CDE5A" w14:textId="77777777" w:rsidR="001966A9" w:rsidRDefault="001966A9">
            <w:pPr>
              <w:widowControl w:val="0"/>
              <w:pBdr>
                <w:top w:val="nil"/>
                <w:left w:val="nil"/>
                <w:bottom w:val="nil"/>
                <w:right w:val="nil"/>
                <w:between w:val="nil"/>
              </w:pBdr>
              <w:spacing w:line="276" w:lineRule="auto"/>
            </w:pPr>
          </w:p>
        </w:tc>
        <w:tc>
          <w:tcPr>
            <w:tcW w:w="3060" w:type="dxa"/>
            <w:vMerge/>
            <w:shd w:val="clear" w:color="auto" w:fill="auto"/>
            <w:tcMar>
              <w:top w:w="28" w:type="dxa"/>
              <w:left w:w="28" w:type="dxa"/>
              <w:bottom w:w="28" w:type="dxa"/>
              <w:right w:w="28" w:type="dxa"/>
            </w:tcMar>
            <w:vAlign w:val="center"/>
          </w:tcPr>
          <w:p w14:paraId="7B8B21B2" w14:textId="77777777" w:rsidR="001966A9" w:rsidRDefault="001966A9">
            <w:pPr>
              <w:widowControl w:val="0"/>
              <w:pBdr>
                <w:top w:val="nil"/>
                <w:left w:val="nil"/>
                <w:bottom w:val="nil"/>
                <w:right w:val="nil"/>
                <w:between w:val="nil"/>
              </w:pBdr>
              <w:spacing w:line="276" w:lineRule="auto"/>
            </w:pPr>
          </w:p>
        </w:tc>
        <w:tc>
          <w:tcPr>
            <w:tcW w:w="4590" w:type="dxa"/>
            <w:shd w:val="clear" w:color="auto" w:fill="auto"/>
            <w:tcMar>
              <w:top w:w="28" w:type="dxa"/>
              <w:left w:w="28" w:type="dxa"/>
              <w:bottom w:w="28" w:type="dxa"/>
              <w:right w:w="28" w:type="dxa"/>
            </w:tcMar>
            <w:vAlign w:val="center"/>
          </w:tcPr>
          <w:p w14:paraId="2398A55F" w14:textId="77777777" w:rsidR="001966A9" w:rsidRDefault="00000000">
            <w:r>
              <w:t xml:space="preserve">1.B. Outcomes for Special Student Groups </w:t>
            </w:r>
          </w:p>
        </w:tc>
      </w:tr>
      <w:tr w:rsidR="001966A9" w14:paraId="4FFD6883" w14:textId="77777777">
        <w:trPr>
          <w:trHeight w:val="330"/>
        </w:trPr>
        <w:tc>
          <w:tcPr>
            <w:tcW w:w="1566" w:type="dxa"/>
            <w:vMerge/>
            <w:shd w:val="clear" w:color="auto" w:fill="auto"/>
            <w:tcMar>
              <w:top w:w="28" w:type="dxa"/>
              <w:left w:w="28" w:type="dxa"/>
              <w:bottom w:w="28" w:type="dxa"/>
              <w:right w:w="28" w:type="dxa"/>
            </w:tcMar>
            <w:vAlign w:val="center"/>
          </w:tcPr>
          <w:p w14:paraId="383EE09C" w14:textId="77777777" w:rsidR="001966A9" w:rsidRDefault="001966A9">
            <w:pPr>
              <w:widowControl w:val="0"/>
              <w:pBdr>
                <w:top w:val="nil"/>
                <w:left w:val="nil"/>
                <w:bottom w:val="nil"/>
                <w:right w:val="nil"/>
                <w:between w:val="nil"/>
              </w:pBdr>
              <w:spacing w:line="276" w:lineRule="auto"/>
            </w:pPr>
          </w:p>
        </w:tc>
        <w:tc>
          <w:tcPr>
            <w:tcW w:w="3060" w:type="dxa"/>
            <w:vMerge/>
            <w:shd w:val="clear" w:color="auto" w:fill="auto"/>
            <w:tcMar>
              <w:top w:w="28" w:type="dxa"/>
              <w:left w:w="28" w:type="dxa"/>
              <w:bottom w:w="28" w:type="dxa"/>
              <w:right w:w="28" w:type="dxa"/>
            </w:tcMar>
            <w:vAlign w:val="center"/>
          </w:tcPr>
          <w:p w14:paraId="5F3B9AA9" w14:textId="77777777" w:rsidR="001966A9" w:rsidRDefault="001966A9">
            <w:pPr>
              <w:widowControl w:val="0"/>
              <w:pBdr>
                <w:top w:val="nil"/>
                <w:left w:val="nil"/>
                <w:bottom w:val="nil"/>
                <w:right w:val="nil"/>
                <w:between w:val="nil"/>
              </w:pBdr>
              <w:spacing w:line="276" w:lineRule="auto"/>
            </w:pPr>
          </w:p>
        </w:tc>
        <w:tc>
          <w:tcPr>
            <w:tcW w:w="4590" w:type="dxa"/>
            <w:shd w:val="clear" w:color="auto" w:fill="auto"/>
            <w:tcMar>
              <w:top w:w="28" w:type="dxa"/>
              <w:left w:w="28" w:type="dxa"/>
              <w:bottom w:w="28" w:type="dxa"/>
              <w:right w:w="28" w:type="dxa"/>
            </w:tcMar>
            <w:vAlign w:val="center"/>
          </w:tcPr>
          <w:p w14:paraId="0CA92502" w14:textId="77777777" w:rsidR="001966A9" w:rsidRDefault="00000000">
            <w:r>
              <w:t>1.C. Participation Rate</w:t>
            </w:r>
          </w:p>
        </w:tc>
      </w:tr>
      <w:tr w:rsidR="001966A9" w14:paraId="06680F5A" w14:textId="77777777">
        <w:trPr>
          <w:trHeight w:val="345"/>
        </w:trPr>
        <w:tc>
          <w:tcPr>
            <w:tcW w:w="1566" w:type="dxa"/>
            <w:vMerge/>
            <w:shd w:val="clear" w:color="auto" w:fill="auto"/>
            <w:tcMar>
              <w:top w:w="28" w:type="dxa"/>
              <w:left w:w="28" w:type="dxa"/>
              <w:bottom w:w="28" w:type="dxa"/>
              <w:right w:w="28" w:type="dxa"/>
            </w:tcMar>
            <w:vAlign w:val="center"/>
          </w:tcPr>
          <w:p w14:paraId="479F3890" w14:textId="77777777" w:rsidR="001966A9" w:rsidRDefault="001966A9">
            <w:pPr>
              <w:widowControl w:val="0"/>
              <w:pBdr>
                <w:top w:val="nil"/>
                <w:left w:val="nil"/>
                <w:bottom w:val="nil"/>
                <w:right w:val="nil"/>
                <w:between w:val="nil"/>
              </w:pBdr>
              <w:spacing w:line="276" w:lineRule="auto"/>
            </w:pPr>
          </w:p>
        </w:tc>
        <w:tc>
          <w:tcPr>
            <w:tcW w:w="3060" w:type="dxa"/>
            <w:vMerge w:val="restart"/>
            <w:shd w:val="clear" w:color="auto" w:fill="auto"/>
            <w:tcMar>
              <w:top w:w="28" w:type="dxa"/>
              <w:left w:w="28" w:type="dxa"/>
              <w:bottom w:w="28" w:type="dxa"/>
              <w:right w:w="28" w:type="dxa"/>
            </w:tcMar>
            <w:vAlign w:val="center"/>
          </w:tcPr>
          <w:p w14:paraId="4249D763" w14:textId="77777777" w:rsidR="001966A9" w:rsidRDefault="00000000">
            <w:r>
              <w:t>School-Specific</w:t>
            </w:r>
          </w:p>
        </w:tc>
        <w:tc>
          <w:tcPr>
            <w:tcW w:w="4590" w:type="dxa"/>
            <w:shd w:val="clear" w:color="auto" w:fill="auto"/>
            <w:tcMar>
              <w:top w:w="28" w:type="dxa"/>
              <w:left w:w="28" w:type="dxa"/>
              <w:bottom w:w="28" w:type="dxa"/>
              <w:right w:w="28" w:type="dxa"/>
            </w:tcMar>
            <w:vAlign w:val="center"/>
          </w:tcPr>
          <w:p w14:paraId="25D8BA19" w14:textId="77777777" w:rsidR="001966A9" w:rsidRDefault="00000000">
            <w:r>
              <w:t>2.A. Mission Goal</w:t>
            </w:r>
          </w:p>
        </w:tc>
      </w:tr>
      <w:tr w:rsidR="001966A9" w14:paraId="30EEB595" w14:textId="77777777">
        <w:trPr>
          <w:trHeight w:val="375"/>
        </w:trPr>
        <w:tc>
          <w:tcPr>
            <w:tcW w:w="1566" w:type="dxa"/>
            <w:vMerge/>
            <w:shd w:val="clear" w:color="auto" w:fill="auto"/>
            <w:tcMar>
              <w:top w:w="28" w:type="dxa"/>
              <w:left w:w="28" w:type="dxa"/>
              <w:bottom w:w="28" w:type="dxa"/>
              <w:right w:w="28" w:type="dxa"/>
            </w:tcMar>
            <w:vAlign w:val="center"/>
          </w:tcPr>
          <w:p w14:paraId="6121A0FF" w14:textId="77777777" w:rsidR="001966A9" w:rsidRDefault="001966A9">
            <w:pPr>
              <w:widowControl w:val="0"/>
              <w:pBdr>
                <w:top w:val="nil"/>
                <w:left w:val="nil"/>
                <w:bottom w:val="nil"/>
                <w:right w:val="nil"/>
                <w:between w:val="nil"/>
              </w:pBdr>
              <w:spacing w:line="276" w:lineRule="auto"/>
            </w:pPr>
          </w:p>
        </w:tc>
        <w:tc>
          <w:tcPr>
            <w:tcW w:w="3060" w:type="dxa"/>
            <w:vMerge/>
            <w:shd w:val="clear" w:color="auto" w:fill="auto"/>
            <w:tcMar>
              <w:top w:w="28" w:type="dxa"/>
              <w:left w:w="28" w:type="dxa"/>
              <w:bottom w:w="28" w:type="dxa"/>
              <w:right w:w="28" w:type="dxa"/>
            </w:tcMar>
            <w:vAlign w:val="center"/>
          </w:tcPr>
          <w:p w14:paraId="622A4468" w14:textId="77777777" w:rsidR="001966A9" w:rsidRDefault="001966A9">
            <w:pPr>
              <w:widowControl w:val="0"/>
              <w:pBdr>
                <w:top w:val="nil"/>
                <w:left w:val="nil"/>
                <w:bottom w:val="nil"/>
                <w:right w:val="nil"/>
                <w:between w:val="nil"/>
              </w:pBdr>
              <w:spacing w:line="276" w:lineRule="auto"/>
            </w:pPr>
          </w:p>
        </w:tc>
        <w:tc>
          <w:tcPr>
            <w:tcW w:w="4590" w:type="dxa"/>
            <w:shd w:val="clear" w:color="auto" w:fill="auto"/>
            <w:tcMar>
              <w:top w:w="28" w:type="dxa"/>
              <w:left w:w="28" w:type="dxa"/>
              <w:bottom w:w="28" w:type="dxa"/>
              <w:right w:w="28" w:type="dxa"/>
            </w:tcMar>
            <w:vAlign w:val="center"/>
          </w:tcPr>
          <w:p w14:paraId="0A8F2798" w14:textId="77777777" w:rsidR="001966A9" w:rsidRDefault="00000000">
            <w:r>
              <w:t xml:space="preserve">2.B. Education Program Implementation </w:t>
            </w:r>
          </w:p>
        </w:tc>
      </w:tr>
      <w:tr w:rsidR="001966A9" w14:paraId="54468D3F" w14:textId="77777777">
        <w:trPr>
          <w:trHeight w:val="405"/>
        </w:trPr>
        <w:tc>
          <w:tcPr>
            <w:tcW w:w="1566" w:type="dxa"/>
            <w:vMerge/>
            <w:shd w:val="clear" w:color="auto" w:fill="auto"/>
            <w:tcMar>
              <w:top w:w="28" w:type="dxa"/>
              <w:left w:w="28" w:type="dxa"/>
              <w:bottom w:w="28" w:type="dxa"/>
              <w:right w:w="28" w:type="dxa"/>
            </w:tcMar>
            <w:vAlign w:val="center"/>
          </w:tcPr>
          <w:p w14:paraId="50B8D3EB" w14:textId="77777777" w:rsidR="001966A9" w:rsidRDefault="001966A9">
            <w:pPr>
              <w:widowControl w:val="0"/>
              <w:pBdr>
                <w:top w:val="nil"/>
                <w:left w:val="nil"/>
                <w:bottom w:val="nil"/>
                <w:right w:val="nil"/>
                <w:between w:val="nil"/>
              </w:pBdr>
              <w:spacing w:line="276" w:lineRule="auto"/>
            </w:pPr>
          </w:p>
        </w:tc>
        <w:tc>
          <w:tcPr>
            <w:tcW w:w="3060" w:type="dxa"/>
            <w:vMerge/>
            <w:shd w:val="clear" w:color="auto" w:fill="auto"/>
            <w:tcMar>
              <w:top w:w="28" w:type="dxa"/>
              <w:left w:w="28" w:type="dxa"/>
              <w:bottom w:w="28" w:type="dxa"/>
              <w:right w:w="28" w:type="dxa"/>
            </w:tcMar>
            <w:vAlign w:val="center"/>
          </w:tcPr>
          <w:p w14:paraId="5DA6C073" w14:textId="77777777" w:rsidR="001966A9" w:rsidRDefault="001966A9">
            <w:pPr>
              <w:widowControl w:val="0"/>
              <w:pBdr>
                <w:top w:val="nil"/>
                <w:left w:val="nil"/>
                <w:bottom w:val="nil"/>
                <w:right w:val="nil"/>
                <w:between w:val="nil"/>
              </w:pBdr>
              <w:spacing w:line="276" w:lineRule="auto"/>
            </w:pPr>
          </w:p>
        </w:tc>
        <w:tc>
          <w:tcPr>
            <w:tcW w:w="4590" w:type="dxa"/>
            <w:shd w:val="clear" w:color="auto" w:fill="auto"/>
            <w:tcMar>
              <w:top w:w="28" w:type="dxa"/>
              <w:left w:w="28" w:type="dxa"/>
              <w:bottom w:w="28" w:type="dxa"/>
              <w:right w:w="28" w:type="dxa"/>
            </w:tcMar>
            <w:vAlign w:val="center"/>
          </w:tcPr>
          <w:p w14:paraId="6131F310" w14:textId="77777777" w:rsidR="001966A9" w:rsidRDefault="00000000">
            <w:r>
              <w:t>2.C. Conducive Learning Culture</w:t>
            </w:r>
          </w:p>
        </w:tc>
      </w:tr>
      <w:tr w:rsidR="001966A9" w14:paraId="7D324160" w14:textId="77777777">
        <w:trPr>
          <w:trHeight w:val="255"/>
        </w:trPr>
        <w:tc>
          <w:tcPr>
            <w:tcW w:w="1566" w:type="dxa"/>
            <w:vMerge w:val="restart"/>
            <w:shd w:val="clear" w:color="auto" w:fill="auto"/>
            <w:tcMar>
              <w:top w:w="28" w:type="dxa"/>
              <w:left w:w="28" w:type="dxa"/>
              <w:bottom w:w="28" w:type="dxa"/>
              <w:right w:w="28" w:type="dxa"/>
            </w:tcMar>
            <w:vAlign w:val="center"/>
          </w:tcPr>
          <w:p w14:paraId="31A57AF6" w14:textId="77777777" w:rsidR="001966A9" w:rsidRDefault="00000000">
            <w:pPr>
              <w:rPr>
                <w:b/>
              </w:rPr>
            </w:pPr>
            <w:r>
              <w:rPr>
                <w:b/>
              </w:rPr>
              <w:t>Organizational</w:t>
            </w:r>
          </w:p>
          <w:p w14:paraId="346AF760" w14:textId="77777777" w:rsidR="001966A9" w:rsidRDefault="001966A9">
            <w:pPr>
              <w:rPr>
                <w:b/>
              </w:rPr>
            </w:pPr>
          </w:p>
        </w:tc>
        <w:tc>
          <w:tcPr>
            <w:tcW w:w="3060" w:type="dxa"/>
            <w:vMerge w:val="restart"/>
            <w:shd w:val="clear" w:color="auto" w:fill="auto"/>
            <w:tcMar>
              <w:top w:w="28" w:type="dxa"/>
              <w:left w:w="28" w:type="dxa"/>
              <w:bottom w:w="28" w:type="dxa"/>
              <w:right w:w="28" w:type="dxa"/>
            </w:tcMar>
            <w:vAlign w:val="center"/>
          </w:tcPr>
          <w:p w14:paraId="06A0E6B6" w14:textId="77777777" w:rsidR="001966A9" w:rsidRDefault="00000000">
            <w:r>
              <w:t>Governing Body Membership, Training, and Responsibilities</w:t>
            </w:r>
          </w:p>
        </w:tc>
        <w:tc>
          <w:tcPr>
            <w:tcW w:w="4590" w:type="dxa"/>
            <w:shd w:val="clear" w:color="auto" w:fill="auto"/>
            <w:tcMar>
              <w:top w:w="28" w:type="dxa"/>
              <w:left w:w="28" w:type="dxa"/>
              <w:bottom w:w="28" w:type="dxa"/>
              <w:right w:w="28" w:type="dxa"/>
            </w:tcMar>
            <w:vAlign w:val="center"/>
          </w:tcPr>
          <w:p w14:paraId="65BF7682" w14:textId="77777777" w:rsidR="001966A9" w:rsidRDefault="00000000">
            <w:r>
              <w:t>3.A.1. Membership</w:t>
            </w:r>
          </w:p>
        </w:tc>
      </w:tr>
      <w:tr w:rsidR="001966A9" w14:paraId="6BC2EFF1" w14:textId="77777777">
        <w:trPr>
          <w:trHeight w:val="285"/>
        </w:trPr>
        <w:tc>
          <w:tcPr>
            <w:tcW w:w="1566" w:type="dxa"/>
            <w:vMerge/>
            <w:shd w:val="clear" w:color="auto" w:fill="auto"/>
            <w:tcMar>
              <w:top w:w="28" w:type="dxa"/>
              <w:left w:w="28" w:type="dxa"/>
              <w:bottom w:w="28" w:type="dxa"/>
              <w:right w:w="28" w:type="dxa"/>
            </w:tcMar>
            <w:vAlign w:val="center"/>
          </w:tcPr>
          <w:p w14:paraId="0C02EC26" w14:textId="77777777" w:rsidR="001966A9" w:rsidRDefault="001966A9">
            <w:pPr>
              <w:widowControl w:val="0"/>
              <w:pBdr>
                <w:top w:val="nil"/>
                <w:left w:val="nil"/>
                <w:bottom w:val="nil"/>
                <w:right w:val="nil"/>
                <w:between w:val="nil"/>
              </w:pBdr>
              <w:spacing w:line="276" w:lineRule="auto"/>
            </w:pPr>
          </w:p>
        </w:tc>
        <w:tc>
          <w:tcPr>
            <w:tcW w:w="3060" w:type="dxa"/>
            <w:vMerge/>
            <w:shd w:val="clear" w:color="auto" w:fill="auto"/>
            <w:tcMar>
              <w:top w:w="28" w:type="dxa"/>
              <w:left w:w="28" w:type="dxa"/>
              <w:bottom w:w="28" w:type="dxa"/>
              <w:right w:w="28" w:type="dxa"/>
            </w:tcMar>
            <w:vAlign w:val="center"/>
          </w:tcPr>
          <w:p w14:paraId="672A3369" w14:textId="77777777" w:rsidR="001966A9" w:rsidRDefault="001966A9">
            <w:pPr>
              <w:widowControl w:val="0"/>
              <w:pBdr>
                <w:top w:val="nil"/>
                <w:left w:val="nil"/>
                <w:bottom w:val="nil"/>
                <w:right w:val="nil"/>
                <w:between w:val="nil"/>
              </w:pBdr>
              <w:spacing w:line="276" w:lineRule="auto"/>
            </w:pPr>
          </w:p>
        </w:tc>
        <w:tc>
          <w:tcPr>
            <w:tcW w:w="4590" w:type="dxa"/>
            <w:shd w:val="clear" w:color="auto" w:fill="auto"/>
            <w:tcMar>
              <w:top w:w="28" w:type="dxa"/>
              <w:left w:w="28" w:type="dxa"/>
              <w:bottom w:w="28" w:type="dxa"/>
              <w:right w:w="28" w:type="dxa"/>
            </w:tcMar>
            <w:vAlign w:val="center"/>
          </w:tcPr>
          <w:p w14:paraId="59033988" w14:textId="77777777" w:rsidR="001966A9" w:rsidRDefault="00000000">
            <w:r>
              <w:t>3.A.2. Training</w:t>
            </w:r>
          </w:p>
        </w:tc>
      </w:tr>
      <w:tr w:rsidR="001966A9" w14:paraId="5A8D416F" w14:textId="77777777">
        <w:trPr>
          <w:trHeight w:val="375"/>
        </w:trPr>
        <w:tc>
          <w:tcPr>
            <w:tcW w:w="1566" w:type="dxa"/>
            <w:vMerge/>
            <w:shd w:val="clear" w:color="auto" w:fill="auto"/>
            <w:tcMar>
              <w:top w:w="28" w:type="dxa"/>
              <w:left w:w="28" w:type="dxa"/>
              <w:bottom w:w="28" w:type="dxa"/>
              <w:right w:w="28" w:type="dxa"/>
            </w:tcMar>
            <w:vAlign w:val="center"/>
          </w:tcPr>
          <w:p w14:paraId="307BF314" w14:textId="77777777" w:rsidR="001966A9" w:rsidRDefault="001966A9">
            <w:pPr>
              <w:widowControl w:val="0"/>
              <w:pBdr>
                <w:top w:val="nil"/>
                <w:left w:val="nil"/>
                <w:bottom w:val="nil"/>
                <w:right w:val="nil"/>
                <w:between w:val="nil"/>
              </w:pBdr>
              <w:spacing w:line="276" w:lineRule="auto"/>
            </w:pPr>
          </w:p>
        </w:tc>
        <w:tc>
          <w:tcPr>
            <w:tcW w:w="3060" w:type="dxa"/>
            <w:vMerge/>
            <w:shd w:val="clear" w:color="auto" w:fill="auto"/>
            <w:tcMar>
              <w:top w:w="28" w:type="dxa"/>
              <w:left w:w="28" w:type="dxa"/>
              <w:bottom w:w="28" w:type="dxa"/>
              <w:right w:w="28" w:type="dxa"/>
            </w:tcMar>
            <w:vAlign w:val="center"/>
          </w:tcPr>
          <w:p w14:paraId="1E2909EE" w14:textId="77777777" w:rsidR="001966A9" w:rsidRDefault="001966A9">
            <w:pPr>
              <w:widowControl w:val="0"/>
              <w:pBdr>
                <w:top w:val="nil"/>
                <w:left w:val="nil"/>
                <w:bottom w:val="nil"/>
                <w:right w:val="nil"/>
                <w:between w:val="nil"/>
              </w:pBdr>
              <w:spacing w:line="276" w:lineRule="auto"/>
            </w:pPr>
          </w:p>
        </w:tc>
        <w:tc>
          <w:tcPr>
            <w:tcW w:w="4590" w:type="dxa"/>
            <w:shd w:val="clear" w:color="auto" w:fill="auto"/>
            <w:tcMar>
              <w:top w:w="28" w:type="dxa"/>
              <w:left w:w="28" w:type="dxa"/>
              <w:bottom w:w="28" w:type="dxa"/>
              <w:right w:w="28" w:type="dxa"/>
            </w:tcMar>
            <w:vAlign w:val="center"/>
          </w:tcPr>
          <w:p w14:paraId="276EA3C3" w14:textId="77777777" w:rsidR="001966A9" w:rsidRDefault="00000000">
            <w:r>
              <w:t>3.A.3. Meeting Transparency and Documentation</w:t>
            </w:r>
          </w:p>
        </w:tc>
      </w:tr>
      <w:tr w:rsidR="001966A9" w14:paraId="69F8CD08" w14:textId="77777777">
        <w:trPr>
          <w:trHeight w:val="375"/>
        </w:trPr>
        <w:tc>
          <w:tcPr>
            <w:tcW w:w="1566" w:type="dxa"/>
            <w:vMerge/>
            <w:shd w:val="clear" w:color="auto" w:fill="auto"/>
            <w:tcMar>
              <w:top w:w="28" w:type="dxa"/>
              <w:left w:w="28" w:type="dxa"/>
              <w:bottom w:w="28" w:type="dxa"/>
              <w:right w:w="28" w:type="dxa"/>
            </w:tcMar>
            <w:vAlign w:val="center"/>
          </w:tcPr>
          <w:p w14:paraId="7814381B" w14:textId="77777777" w:rsidR="001966A9" w:rsidRDefault="001966A9">
            <w:pPr>
              <w:widowControl w:val="0"/>
              <w:pBdr>
                <w:top w:val="nil"/>
                <w:left w:val="nil"/>
                <w:bottom w:val="nil"/>
                <w:right w:val="nil"/>
                <w:between w:val="nil"/>
              </w:pBdr>
              <w:spacing w:line="276" w:lineRule="auto"/>
            </w:pPr>
          </w:p>
        </w:tc>
        <w:tc>
          <w:tcPr>
            <w:tcW w:w="3060" w:type="dxa"/>
            <w:shd w:val="clear" w:color="auto" w:fill="auto"/>
            <w:tcMar>
              <w:top w:w="28" w:type="dxa"/>
              <w:left w:w="28" w:type="dxa"/>
              <w:bottom w:w="28" w:type="dxa"/>
              <w:right w:w="28" w:type="dxa"/>
            </w:tcMar>
            <w:vAlign w:val="center"/>
          </w:tcPr>
          <w:p w14:paraId="3AB95C85" w14:textId="77777777" w:rsidR="001966A9" w:rsidRDefault="00000000">
            <w:r>
              <w:t>Equitable Enrollment Process</w:t>
            </w:r>
          </w:p>
        </w:tc>
        <w:tc>
          <w:tcPr>
            <w:tcW w:w="4590" w:type="dxa"/>
            <w:shd w:val="clear" w:color="auto" w:fill="auto"/>
            <w:tcMar>
              <w:top w:w="28" w:type="dxa"/>
              <w:left w:w="28" w:type="dxa"/>
              <w:bottom w:w="28" w:type="dxa"/>
              <w:right w:w="28" w:type="dxa"/>
            </w:tcMar>
            <w:vAlign w:val="center"/>
          </w:tcPr>
          <w:p w14:paraId="741F25C4" w14:textId="77777777" w:rsidR="001966A9" w:rsidRDefault="00000000">
            <w:r>
              <w:t>3.B. Non-discriminatory enrollment process</w:t>
            </w:r>
          </w:p>
        </w:tc>
      </w:tr>
      <w:tr w:rsidR="001966A9" w14:paraId="1DA31068" w14:textId="77777777">
        <w:trPr>
          <w:trHeight w:val="315"/>
        </w:trPr>
        <w:tc>
          <w:tcPr>
            <w:tcW w:w="1566" w:type="dxa"/>
            <w:vMerge/>
            <w:shd w:val="clear" w:color="auto" w:fill="auto"/>
            <w:tcMar>
              <w:top w:w="28" w:type="dxa"/>
              <w:left w:w="28" w:type="dxa"/>
              <w:bottom w:w="28" w:type="dxa"/>
              <w:right w:w="28" w:type="dxa"/>
            </w:tcMar>
            <w:vAlign w:val="center"/>
          </w:tcPr>
          <w:p w14:paraId="08DE9D6D" w14:textId="77777777" w:rsidR="001966A9" w:rsidRDefault="001966A9">
            <w:pPr>
              <w:widowControl w:val="0"/>
              <w:pBdr>
                <w:top w:val="nil"/>
                <w:left w:val="nil"/>
                <w:bottom w:val="nil"/>
                <w:right w:val="nil"/>
                <w:between w:val="nil"/>
              </w:pBdr>
              <w:spacing w:line="276" w:lineRule="auto"/>
            </w:pPr>
          </w:p>
        </w:tc>
        <w:tc>
          <w:tcPr>
            <w:tcW w:w="3060" w:type="dxa"/>
            <w:shd w:val="clear" w:color="auto" w:fill="auto"/>
            <w:tcMar>
              <w:top w:w="28" w:type="dxa"/>
              <w:left w:w="28" w:type="dxa"/>
              <w:bottom w:w="28" w:type="dxa"/>
              <w:right w:w="28" w:type="dxa"/>
            </w:tcMar>
            <w:vAlign w:val="center"/>
          </w:tcPr>
          <w:p w14:paraId="5F4A1931" w14:textId="77777777" w:rsidR="001966A9" w:rsidRDefault="00000000">
            <w:r>
              <w:t>Compliance with Legal Requirements</w:t>
            </w:r>
          </w:p>
        </w:tc>
        <w:tc>
          <w:tcPr>
            <w:tcW w:w="4590" w:type="dxa"/>
            <w:shd w:val="clear" w:color="auto" w:fill="auto"/>
            <w:tcMar>
              <w:top w:w="28" w:type="dxa"/>
              <w:left w:w="28" w:type="dxa"/>
              <w:bottom w:w="28" w:type="dxa"/>
              <w:right w:w="28" w:type="dxa"/>
            </w:tcMar>
            <w:vAlign w:val="center"/>
          </w:tcPr>
          <w:p w14:paraId="38B5484A" w14:textId="77777777" w:rsidR="001966A9" w:rsidRDefault="00000000">
            <w:r>
              <w:t>3.C. Annual Compliance Requirements</w:t>
            </w:r>
          </w:p>
        </w:tc>
      </w:tr>
      <w:tr w:rsidR="001966A9" w14:paraId="5D508AC6" w14:textId="77777777">
        <w:trPr>
          <w:trHeight w:val="345"/>
        </w:trPr>
        <w:tc>
          <w:tcPr>
            <w:tcW w:w="1566" w:type="dxa"/>
            <w:vMerge w:val="restart"/>
            <w:shd w:val="clear" w:color="auto" w:fill="auto"/>
            <w:tcMar>
              <w:top w:w="28" w:type="dxa"/>
              <w:left w:w="28" w:type="dxa"/>
              <w:bottom w:w="28" w:type="dxa"/>
              <w:right w:w="28" w:type="dxa"/>
            </w:tcMar>
            <w:vAlign w:val="center"/>
          </w:tcPr>
          <w:p w14:paraId="13B9313D" w14:textId="77777777" w:rsidR="001966A9" w:rsidRDefault="00000000">
            <w:pPr>
              <w:rPr>
                <w:b/>
              </w:rPr>
            </w:pPr>
            <w:r>
              <w:rPr>
                <w:b/>
              </w:rPr>
              <w:t>Financial</w:t>
            </w:r>
          </w:p>
        </w:tc>
        <w:tc>
          <w:tcPr>
            <w:tcW w:w="3060" w:type="dxa"/>
            <w:vMerge w:val="restart"/>
            <w:shd w:val="clear" w:color="auto" w:fill="auto"/>
            <w:tcMar>
              <w:top w:w="28" w:type="dxa"/>
              <w:left w:w="28" w:type="dxa"/>
              <w:bottom w:w="28" w:type="dxa"/>
              <w:right w:w="28" w:type="dxa"/>
            </w:tcMar>
            <w:vAlign w:val="center"/>
          </w:tcPr>
          <w:p w14:paraId="42A2A144" w14:textId="77777777" w:rsidR="001966A9" w:rsidRDefault="00000000">
            <w:r>
              <w:t>Financial Health</w:t>
            </w:r>
          </w:p>
        </w:tc>
        <w:tc>
          <w:tcPr>
            <w:tcW w:w="4590" w:type="dxa"/>
            <w:shd w:val="clear" w:color="auto" w:fill="auto"/>
            <w:tcMar>
              <w:top w:w="28" w:type="dxa"/>
              <w:left w:w="28" w:type="dxa"/>
              <w:bottom w:w="28" w:type="dxa"/>
              <w:right w:w="28" w:type="dxa"/>
            </w:tcMar>
            <w:vAlign w:val="center"/>
          </w:tcPr>
          <w:p w14:paraId="741178B4" w14:textId="77777777" w:rsidR="001966A9" w:rsidRDefault="00000000">
            <w:r>
              <w:t>4.A. Days Cash on Hand</w:t>
            </w:r>
          </w:p>
        </w:tc>
      </w:tr>
      <w:tr w:rsidR="001966A9" w14:paraId="1D888508" w14:textId="77777777">
        <w:trPr>
          <w:trHeight w:val="270"/>
        </w:trPr>
        <w:tc>
          <w:tcPr>
            <w:tcW w:w="1566" w:type="dxa"/>
            <w:vMerge/>
            <w:shd w:val="clear" w:color="auto" w:fill="auto"/>
            <w:tcMar>
              <w:top w:w="28" w:type="dxa"/>
              <w:left w:w="28" w:type="dxa"/>
              <w:bottom w:w="28" w:type="dxa"/>
              <w:right w:w="28" w:type="dxa"/>
            </w:tcMar>
            <w:vAlign w:val="center"/>
          </w:tcPr>
          <w:p w14:paraId="75E8B1A8" w14:textId="77777777" w:rsidR="001966A9" w:rsidRDefault="001966A9">
            <w:pPr>
              <w:widowControl w:val="0"/>
              <w:pBdr>
                <w:top w:val="nil"/>
                <w:left w:val="nil"/>
                <w:bottom w:val="nil"/>
                <w:right w:val="nil"/>
                <w:between w:val="nil"/>
              </w:pBdr>
              <w:spacing w:line="276" w:lineRule="auto"/>
            </w:pPr>
          </w:p>
        </w:tc>
        <w:tc>
          <w:tcPr>
            <w:tcW w:w="3060" w:type="dxa"/>
            <w:vMerge/>
            <w:shd w:val="clear" w:color="auto" w:fill="auto"/>
            <w:tcMar>
              <w:top w:w="28" w:type="dxa"/>
              <w:left w:w="28" w:type="dxa"/>
              <w:bottom w:w="28" w:type="dxa"/>
              <w:right w:w="28" w:type="dxa"/>
            </w:tcMar>
            <w:vAlign w:val="center"/>
          </w:tcPr>
          <w:p w14:paraId="7AF4712A" w14:textId="77777777" w:rsidR="001966A9" w:rsidRDefault="001966A9">
            <w:pPr>
              <w:widowControl w:val="0"/>
              <w:pBdr>
                <w:top w:val="nil"/>
                <w:left w:val="nil"/>
                <w:bottom w:val="nil"/>
                <w:right w:val="nil"/>
                <w:between w:val="nil"/>
              </w:pBdr>
              <w:spacing w:line="276" w:lineRule="auto"/>
            </w:pPr>
          </w:p>
        </w:tc>
        <w:tc>
          <w:tcPr>
            <w:tcW w:w="4590" w:type="dxa"/>
            <w:shd w:val="clear" w:color="auto" w:fill="auto"/>
            <w:tcMar>
              <w:top w:w="28" w:type="dxa"/>
              <w:left w:w="28" w:type="dxa"/>
              <w:bottom w:w="28" w:type="dxa"/>
              <w:right w:w="28" w:type="dxa"/>
            </w:tcMar>
            <w:vAlign w:val="center"/>
          </w:tcPr>
          <w:p w14:paraId="0EA65145" w14:textId="77777777" w:rsidR="001966A9" w:rsidRDefault="00000000">
            <w:r>
              <w:t xml:space="preserve">4.B. Annual Financial Audit </w:t>
            </w:r>
          </w:p>
        </w:tc>
      </w:tr>
      <w:tr w:rsidR="001966A9" w14:paraId="0CCE429A" w14:textId="77777777">
        <w:trPr>
          <w:trHeight w:val="330"/>
        </w:trPr>
        <w:tc>
          <w:tcPr>
            <w:tcW w:w="1566" w:type="dxa"/>
            <w:vMerge/>
            <w:shd w:val="clear" w:color="auto" w:fill="auto"/>
            <w:tcMar>
              <w:top w:w="28" w:type="dxa"/>
              <w:left w:w="28" w:type="dxa"/>
              <w:bottom w:w="28" w:type="dxa"/>
              <w:right w:w="28" w:type="dxa"/>
            </w:tcMar>
            <w:vAlign w:val="center"/>
          </w:tcPr>
          <w:p w14:paraId="196449E4" w14:textId="77777777" w:rsidR="001966A9" w:rsidRDefault="001966A9">
            <w:pPr>
              <w:widowControl w:val="0"/>
              <w:pBdr>
                <w:top w:val="nil"/>
                <w:left w:val="nil"/>
                <w:bottom w:val="nil"/>
                <w:right w:val="nil"/>
                <w:between w:val="nil"/>
              </w:pBdr>
              <w:spacing w:line="276" w:lineRule="auto"/>
            </w:pPr>
          </w:p>
        </w:tc>
        <w:tc>
          <w:tcPr>
            <w:tcW w:w="3060" w:type="dxa"/>
            <w:vMerge/>
            <w:shd w:val="clear" w:color="auto" w:fill="auto"/>
            <w:tcMar>
              <w:top w:w="28" w:type="dxa"/>
              <w:left w:w="28" w:type="dxa"/>
              <w:bottom w:w="28" w:type="dxa"/>
              <w:right w:w="28" w:type="dxa"/>
            </w:tcMar>
            <w:vAlign w:val="center"/>
          </w:tcPr>
          <w:p w14:paraId="37737C55" w14:textId="77777777" w:rsidR="001966A9" w:rsidRDefault="001966A9">
            <w:pPr>
              <w:widowControl w:val="0"/>
              <w:pBdr>
                <w:top w:val="nil"/>
                <w:left w:val="nil"/>
                <w:bottom w:val="nil"/>
                <w:right w:val="nil"/>
                <w:between w:val="nil"/>
              </w:pBdr>
              <w:spacing w:line="276" w:lineRule="auto"/>
            </w:pPr>
          </w:p>
        </w:tc>
        <w:tc>
          <w:tcPr>
            <w:tcW w:w="4590" w:type="dxa"/>
            <w:shd w:val="clear" w:color="auto" w:fill="auto"/>
            <w:tcMar>
              <w:top w:w="28" w:type="dxa"/>
              <w:left w:w="28" w:type="dxa"/>
              <w:bottom w:w="28" w:type="dxa"/>
              <w:right w:w="28" w:type="dxa"/>
            </w:tcMar>
            <w:vAlign w:val="center"/>
          </w:tcPr>
          <w:p w14:paraId="64758DD0" w14:textId="77777777" w:rsidR="001966A9" w:rsidRDefault="00000000">
            <w:r>
              <w:t>4.C. Financial Reporting and Compliance</w:t>
            </w:r>
          </w:p>
        </w:tc>
      </w:tr>
      <w:tr w:rsidR="001966A9" w14:paraId="2B5FCE74" w14:textId="77777777">
        <w:trPr>
          <w:trHeight w:val="345"/>
        </w:trPr>
        <w:tc>
          <w:tcPr>
            <w:tcW w:w="1566" w:type="dxa"/>
            <w:vMerge/>
            <w:shd w:val="clear" w:color="auto" w:fill="auto"/>
            <w:tcMar>
              <w:top w:w="28" w:type="dxa"/>
              <w:left w:w="28" w:type="dxa"/>
              <w:bottom w:w="28" w:type="dxa"/>
              <w:right w:w="28" w:type="dxa"/>
            </w:tcMar>
            <w:vAlign w:val="center"/>
          </w:tcPr>
          <w:p w14:paraId="5FDDBFD9" w14:textId="77777777" w:rsidR="001966A9" w:rsidRDefault="001966A9">
            <w:pPr>
              <w:widowControl w:val="0"/>
              <w:pBdr>
                <w:top w:val="nil"/>
                <w:left w:val="nil"/>
                <w:bottom w:val="nil"/>
                <w:right w:val="nil"/>
                <w:between w:val="nil"/>
              </w:pBdr>
              <w:spacing w:line="276" w:lineRule="auto"/>
            </w:pPr>
          </w:p>
        </w:tc>
        <w:tc>
          <w:tcPr>
            <w:tcW w:w="3060" w:type="dxa"/>
            <w:vMerge/>
            <w:shd w:val="clear" w:color="auto" w:fill="auto"/>
            <w:tcMar>
              <w:top w:w="28" w:type="dxa"/>
              <w:left w:w="28" w:type="dxa"/>
              <w:bottom w:w="28" w:type="dxa"/>
              <w:right w:w="28" w:type="dxa"/>
            </w:tcMar>
            <w:vAlign w:val="center"/>
          </w:tcPr>
          <w:p w14:paraId="5915C09F" w14:textId="77777777" w:rsidR="001966A9" w:rsidRDefault="001966A9">
            <w:pPr>
              <w:widowControl w:val="0"/>
              <w:pBdr>
                <w:top w:val="nil"/>
                <w:left w:val="nil"/>
                <w:bottom w:val="nil"/>
                <w:right w:val="nil"/>
                <w:between w:val="nil"/>
              </w:pBdr>
              <w:spacing w:line="276" w:lineRule="auto"/>
            </w:pPr>
          </w:p>
        </w:tc>
        <w:tc>
          <w:tcPr>
            <w:tcW w:w="4590" w:type="dxa"/>
            <w:shd w:val="clear" w:color="auto" w:fill="auto"/>
            <w:tcMar>
              <w:top w:w="28" w:type="dxa"/>
              <w:left w:w="28" w:type="dxa"/>
              <w:bottom w:w="28" w:type="dxa"/>
              <w:right w:w="28" w:type="dxa"/>
            </w:tcMar>
            <w:vAlign w:val="center"/>
          </w:tcPr>
          <w:p w14:paraId="328B76F8" w14:textId="77777777" w:rsidR="001966A9" w:rsidRDefault="00000000">
            <w:r>
              <w:t>4.D. Fiscal Oversight</w:t>
            </w:r>
          </w:p>
        </w:tc>
      </w:tr>
      <w:tr w:rsidR="001966A9" w14:paraId="7F882FE0" w14:textId="77777777">
        <w:trPr>
          <w:trHeight w:val="345"/>
        </w:trPr>
        <w:tc>
          <w:tcPr>
            <w:tcW w:w="1566" w:type="dxa"/>
            <w:vMerge/>
            <w:shd w:val="clear" w:color="auto" w:fill="auto"/>
            <w:tcMar>
              <w:top w:w="28" w:type="dxa"/>
              <w:left w:w="28" w:type="dxa"/>
              <w:bottom w:w="28" w:type="dxa"/>
              <w:right w:w="28" w:type="dxa"/>
            </w:tcMar>
            <w:vAlign w:val="center"/>
          </w:tcPr>
          <w:p w14:paraId="15800120" w14:textId="77777777" w:rsidR="001966A9" w:rsidRDefault="001966A9">
            <w:pPr>
              <w:widowControl w:val="0"/>
              <w:pBdr>
                <w:top w:val="nil"/>
                <w:left w:val="nil"/>
                <w:bottom w:val="nil"/>
                <w:right w:val="nil"/>
                <w:between w:val="nil"/>
              </w:pBdr>
              <w:spacing w:line="276" w:lineRule="auto"/>
            </w:pPr>
          </w:p>
        </w:tc>
        <w:tc>
          <w:tcPr>
            <w:tcW w:w="3060" w:type="dxa"/>
            <w:vMerge/>
            <w:shd w:val="clear" w:color="auto" w:fill="auto"/>
            <w:tcMar>
              <w:top w:w="28" w:type="dxa"/>
              <w:left w:w="28" w:type="dxa"/>
              <w:bottom w:w="28" w:type="dxa"/>
              <w:right w:w="28" w:type="dxa"/>
            </w:tcMar>
            <w:vAlign w:val="center"/>
          </w:tcPr>
          <w:p w14:paraId="6AB7D8F4" w14:textId="77777777" w:rsidR="001966A9" w:rsidRDefault="001966A9">
            <w:pPr>
              <w:widowControl w:val="0"/>
              <w:pBdr>
                <w:top w:val="nil"/>
                <w:left w:val="nil"/>
                <w:bottom w:val="nil"/>
                <w:right w:val="nil"/>
                <w:between w:val="nil"/>
              </w:pBdr>
              <w:spacing w:line="276" w:lineRule="auto"/>
            </w:pPr>
          </w:p>
        </w:tc>
        <w:tc>
          <w:tcPr>
            <w:tcW w:w="4590" w:type="dxa"/>
            <w:shd w:val="clear" w:color="auto" w:fill="auto"/>
            <w:tcMar>
              <w:top w:w="28" w:type="dxa"/>
              <w:left w:w="28" w:type="dxa"/>
              <w:bottom w:w="28" w:type="dxa"/>
              <w:right w:w="28" w:type="dxa"/>
            </w:tcMar>
            <w:vAlign w:val="center"/>
          </w:tcPr>
          <w:p w14:paraId="2A0AE88D" w14:textId="77777777" w:rsidR="001966A9" w:rsidRDefault="00000000">
            <w:r>
              <w:t>4.E. Enrollment Variance</w:t>
            </w:r>
          </w:p>
        </w:tc>
      </w:tr>
    </w:tbl>
    <w:p w14:paraId="26A1AF98" w14:textId="77777777" w:rsidR="001966A9" w:rsidRDefault="001966A9"/>
    <w:p w14:paraId="23DA2094" w14:textId="77777777" w:rsidR="001966A9" w:rsidRDefault="00000000">
      <w:r>
        <w:t xml:space="preserve">For each performance indicator, the PEC has determined the performance measure and performance criteria. For a number of performance indicators in the Academic Framework, the PEC has embedded school choice in selecting performance measures. This provides flexibility for a school to demonstrate academic performance that is directly aligned with its mission, vision, and educational program and meets the needs of its families. </w:t>
      </w:r>
    </w:p>
    <w:p w14:paraId="022096C0" w14:textId="77777777" w:rsidR="001966A9" w:rsidRDefault="001966A9"/>
    <w:p w14:paraId="3743F414" w14:textId="77777777" w:rsidR="001966A9" w:rsidRDefault="001966A9"/>
    <w:p w14:paraId="44F7832D" w14:textId="77777777" w:rsidR="001966A9" w:rsidRDefault="001966A9"/>
    <w:p w14:paraId="66703302" w14:textId="77777777" w:rsidR="001966A9" w:rsidRDefault="001966A9"/>
    <w:p w14:paraId="7961AF83" w14:textId="77777777" w:rsidR="001966A9" w:rsidRDefault="00000000">
      <w:r>
        <w:br w:type="page"/>
      </w:r>
    </w:p>
    <w:p w14:paraId="339721FC" w14:textId="77777777" w:rsidR="001966A9" w:rsidRDefault="00000000">
      <w:pPr>
        <w:pStyle w:val="Heading1"/>
      </w:pPr>
      <w:bookmarkStart w:id="6" w:name="_Toc168642314"/>
      <w:r>
        <w:lastRenderedPageBreak/>
        <w:t>Annual Evaluation and Reports</w:t>
      </w:r>
      <w:bookmarkEnd w:id="6"/>
    </w:p>
    <w:p w14:paraId="47FFA1E1" w14:textId="77777777" w:rsidR="001966A9" w:rsidRDefault="00000000">
      <w:r>
        <w:t xml:space="preserve">Schools will receive an annual evaluation based on their performance on all three areas of the Performance Framework combined (Academic, Organizational and Financial). The annual evaluation provides the PEC and the public with information about the school's overall performance in the previous school year. The evaluation provides the school with useful information on their performance and transparency into their strengths and areas for improvement. The purpose of providing this evaluation is to set clear expectations, promote continuous improvement and provide clear results contained in the school’s record of performance as required by NMAC 6.2.9.11. </w:t>
      </w:r>
    </w:p>
    <w:p w14:paraId="34F20CB5" w14:textId="77777777" w:rsidR="001966A9" w:rsidRDefault="00000000">
      <w:r>
        <w:t>The CSD may recommend, and the PEC may provide a notice of exemplary performance, a notice of satisfactory performance, a notice of unsatisfactory performance or a notice of uncorrected unsatisfactory performance based on the Annual Report. A school may receive a notice of unsatisfactory or uncorrected unsatisfactory performance for any indicator that scores below a “Meets Performance Expectations” even if a school earns an overall evaluation rating of “On Track for Expedited Renewal” or “On Track for Renewal.”</w:t>
      </w:r>
    </w:p>
    <w:p w14:paraId="44DE38AC" w14:textId="77777777" w:rsidR="001966A9" w:rsidRDefault="00000000">
      <w:r>
        <w:t>PEC will then accept the annual reports, issue corrective action as it deems necessary during the term of the charter contract and make a decision on renewal at the end of the charter term on the full record of performance and consistent with § 22-8B-12, NMSA 1978 and NMAC 6.2.9.11, 12, 13, 16 and 17.</w:t>
      </w:r>
    </w:p>
    <w:tbl>
      <w:tblPr>
        <w:tblStyle w:val="afff0"/>
        <w:tblW w:w="9949"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9"/>
        <w:gridCol w:w="2727"/>
        <w:gridCol w:w="5323"/>
      </w:tblGrid>
      <w:tr w:rsidR="001966A9" w14:paraId="1BD34F6D" w14:textId="77777777">
        <w:trPr>
          <w:trHeight w:val="84"/>
          <w:tblHeader/>
        </w:trPr>
        <w:tc>
          <w:tcPr>
            <w:tcW w:w="9949" w:type="dxa"/>
            <w:gridSpan w:val="3"/>
            <w:shd w:val="clear" w:color="auto" w:fill="0B5394"/>
          </w:tcPr>
          <w:p w14:paraId="1C30EBD0" w14:textId="77777777" w:rsidR="001966A9" w:rsidRDefault="00000000">
            <w:pPr>
              <w:jc w:val="center"/>
              <w:rPr>
                <w:b/>
                <w:color w:val="FFFFFF"/>
                <w:sz w:val="26"/>
                <w:szCs w:val="26"/>
              </w:rPr>
            </w:pPr>
            <w:r>
              <w:rPr>
                <w:b/>
                <w:color w:val="FFFFFF"/>
                <w:sz w:val="26"/>
                <w:szCs w:val="26"/>
              </w:rPr>
              <w:t>Overall Evaluation</w:t>
            </w:r>
          </w:p>
        </w:tc>
      </w:tr>
      <w:tr w:rsidR="001966A9" w14:paraId="12F45E90" w14:textId="77777777">
        <w:trPr>
          <w:trHeight w:val="465"/>
        </w:trPr>
        <w:tc>
          <w:tcPr>
            <w:tcW w:w="1899" w:type="dxa"/>
            <w:shd w:val="clear" w:color="auto" w:fill="2F5496"/>
            <w:vAlign w:val="center"/>
          </w:tcPr>
          <w:p w14:paraId="149AB94E" w14:textId="77777777" w:rsidR="001966A9" w:rsidRDefault="00000000">
            <w:pPr>
              <w:jc w:val="center"/>
              <w:rPr>
                <w:b/>
                <w:color w:val="FFFFFF"/>
                <w:sz w:val="20"/>
                <w:szCs w:val="20"/>
              </w:rPr>
            </w:pPr>
            <w:r>
              <w:rPr>
                <w:b/>
                <w:color w:val="FFFFFF"/>
                <w:sz w:val="20"/>
                <w:szCs w:val="20"/>
              </w:rPr>
              <w:t>Tier Status</w:t>
            </w:r>
          </w:p>
          <w:p w14:paraId="0EC39B5D" w14:textId="77777777" w:rsidR="001966A9" w:rsidRDefault="001966A9">
            <w:pPr>
              <w:jc w:val="center"/>
              <w:rPr>
                <w:b/>
                <w:color w:val="FFFFFF"/>
                <w:sz w:val="20"/>
                <w:szCs w:val="20"/>
              </w:rPr>
            </w:pPr>
          </w:p>
        </w:tc>
        <w:tc>
          <w:tcPr>
            <w:tcW w:w="2727" w:type="dxa"/>
            <w:shd w:val="clear" w:color="auto" w:fill="2F5496"/>
            <w:tcMar>
              <w:top w:w="28" w:type="dxa"/>
              <w:left w:w="28" w:type="dxa"/>
              <w:bottom w:w="28" w:type="dxa"/>
              <w:right w:w="28" w:type="dxa"/>
            </w:tcMar>
            <w:vAlign w:val="center"/>
          </w:tcPr>
          <w:p w14:paraId="012BF0D7" w14:textId="77777777" w:rsidR="001966A9" w:rsidRDefault="00000000">
            <w:pPr>
              <w:jc w:val="center"/>
              <w:rPr>
                <w:b/>
                <w:color w:val="FFFFFF"/>
                <w:sz w:val="20"/>
                <w:szCs w:val="20"/>
              </w:rPr>
            </w:pPr>
            <w:r>
              <w:rPr>
                <w:b/>
                <w:color w:val="FFFFFF"/>
                <w:sz w:val="20"/>
                <w:szCs w:val="20"/>
              </w:rPr>
              <w:t xml:space="preserve">Likely Renewal Outcome </w:t>
            </w:r>
            <w:r>
              <w:rPr>
                <w:color w:val="FFFFFF"/>
                <w:sz w:val="20"/>
                <w:szCs w:val="20"/>
                <w:vertAlign w:val="superscript"/>
              </w:rPr>
              <w:footnoteReference w:id="2"/>
            </w:r>
          </w:p>
        </w:tc>
        <w:tc>
          <w:tcPr>
            <w:tcW w:w="5323" w:type="dxa"/>
            <w:shd w:val="clear" w:color="auto" w:fill="auto"/>
            <w:tcMar>
              <w:top w:w="28" w:type="dxa"/>
              <w:left w:w="28" w:type="dxa"/>
              <w:bottom w:w="28" w:type="dxa"/>
              <w:right w:w="28" w:type="dxa"/>
            </w:tcMar>
          </w:tcPr>
          <w:p w14:paraId="0DC32879" w14:textId="77777777" w:rsidR="001966A9" w:rsidRDefault="00000000">
            <w:pPr>
              <w:jc w:val="center"/>
              <w:rPr>
                <w:color w:val="000000"/>
                <w:sz w:val="20"/>
                <w:szCs w:val="20"/>
              </w:rPr>
            </w:pPr>
            <w:r>
              <w:rPr>
                <w:color w:val="000000"/>
                <w:sz w:val="20"/>
                <w:szCs w:val="20"/>
              </w:rPr>
              <w:t>Description</w:t>
            </w:r>
          </w:p>
        </w:tc>
      </w:tr>
      <w:tr w:rsidR="001966A9" w14:paraId="0EF1D290" w14:textId="77777777">
        <w:trPr>
          <w:trHeight w:val="296"/>
        </w:trPr>
        <w:tc>
          <w:tcPr>
            <w:tcW w:w="1899" w:type="dxa"/>
            <w:shd w:val="clear" w:color="auto" w:fill="00B0F0"/>
          </w:tcPr>
          <w:p w14:paraId="43DC668F" w14:textId="77777777" w:rsidR="001966A9" w:rsidRDefault="00000000">
            <w:pPr>
              <w:jc w:val="center"/>
              <w:rPr>
                <w:b/>
                <w:color w:val="FFFFFF"/>
                <w:sz w:val="20"/>
                <w:szCs w:val="20"/>
              </w:rPr>
            </w:pPr>
            <w:r>
              <w:rPr>
                <w:b/>
                <w:color w:val="FFFFFF"/>
                <w:sz w:val="20"/>
                <w:szCs w:val="20"/>
              </w:rPr>
              <w:t>Tier 1</w:t>
            </w:r>
          </w:p>
          <w:p w14:paraId="79574C88" w14:textId="77777777" w:rsidR="001966A9" w:rsidRDefault="001966A9">
            <w:pPr>
              <w:jc w:val="center"/>
              <w:rPr>
                <w:b/>
                <w:color w:val="FFFFFF"/>
                <w:sz w:val="20"/>
                <w:szCs w:val="20"/>
              </w:rPr>
            </w:pPr>
          </w:p>
        </w:tc>
        <w:tc>
          <w:tcPr>
            <w:tcW w:w="2727" w:type="dxa"/>
            <w:shd w:val="clear" w:color="auto" w:fill="00B0F0"/>
            <w:tcMar>
              <w:top w:w="28" w:type="dxa"/>
              <w:left w:w="28" w:type="dxa"/>
              <w:bottom w:w="28" w:type="dxa"/>
              <w:right w:w="28" w:type="dxa"/>
            </w:tcMar>
            <w:vAlign w:val="center"/>
          </w:tcPr>
          <w:p w14:paraId="251FF7FE" w14:textId="77777777" w:rsidR="001966A9" w:rsidRDefault="00000000">
            <w:pPr>
              <w:jc w:val="center"/>
              <w:rPr>
                <w:b/>
                <w:color w:val="FFFFFF"/>
                <w:sz w:val="20"/>
                <w:szCs w:val="20"/>
              </w:rPr>
            </w:pPr>
            <w:r>
              <w:rPr>
                <w:b/>
                <w:color w:val="FFFFFF"/>
                <w:sz w:val="20"/>
                <w:szCs w:val="20"/>
              </w:rPr>
              <w:t xml:space="preserve">On Track for Expedited Renewal </w:t>
            </w:r>
          </w:p>
        </w:tc>
        <w:tc>
          <w:tcPr>
            <w:tcW w:w="5323" w:type="dxa"/>
            <w:shd w:val="clear" w:color="auto" w:fill="auto"/>
            <w:tcMar>
              <w:top w:w="28" w:type="dxa"/>
              <w:left w:w="28" w:type="dxa"/>
              <w:bottom w:w="28" w:type="dxa"/>
              <w:right w:w="28" w:type="dxa"/>
            </w:tcMar>
          </w:tcPr>
          <w:p w14:paraId="5679850B" w14:textId="77777777" w:rsidR="001966A9" w:rsidRDefault="00000000">
            <w:pPr>
              <w:rPr>
                <w:color w:val="000000"/>
                <w:sz w:val="20"/>
                <w:szCs w:val="20"/>
              </w:rPr>
            </w:pPr>
            <w:r>
              <w:rPr>
                <w:color w:val="000000"/>
                <w:sz w:val="20"/>
                <w:szCs w:val="20"/>
              </w:rPr>
              <w:t xml:space="preserve">The school earns </w:t>
            </w:r>
            <w:r>
              <w:rPr>
                <w:b/>
                <w:color w:val="000000"/>
                <w:sz w:val="20"/>
                <w:szCs w:val="20"/>
              </w:rPr>
              <w:t xml:space="preserve">Meets </w:t>
            </w:r>
            <w:r>
              <w:rPr>
                <w:color w:val="000000"/>
                <w:sz w:val="20"/>
                <w:szCs w:val="20"/>
              </w:rPr>
              <w:t>or</w:t>
            </w:r>
            <w:r>
              <w:rPr>
                <w:b/>
                <w:color w:val="000000"/>
                <w:sz w:val="20"/>
                <w:szCs w:val="20"/>
              </w:rPr>
              <w:t xml:space="preserve"> Exceeds </w:t>
            </w:r>
            <w:r>
              <w:rPr>
                <w:color w:val="000000"/>
                <w:sz w:val="20"/>
                <w:szCs w:val="20"/>
              </w:rPr>
              <w:t>for all performance indicators in all frameworks.</w:t>
            </w:r>
          </w:p>
        </w:tc>
      </w:tr>
      <w:tr w:rsidR="001966A9" w14:paraId="28151991" w14:textId="77777777">
        <w:trPr>
          <w:trHeight w:val="296"/>
        </w:trPr>
        <w:tc>
          <w:tcPr>
            <w:tcW w:w="1899" w:type="dxa"/>
            <w:shd w:val="clear" w:color="auto" w:fill="00B050"/>
          </w:tcPr>
          <w:p w14:paraId="6E279070" w14:textId="77777777" w:rsidR="001966A9" w:rsidRDefault="001966A9">
            <w:pPr>
              <w:jc w:val="center"/>
              <w:rPr>
                <w:b/>
                <w:color w:val="FFFFFF"/>
                <w:sz w:val="20"/>
                <w:szCs w:val="20"/>
              </w:rPr>
            </w:pPr>
          </w:p>
          <w:p w14:paraId="7EDD0661" w14:textId="77777777" w:rsidR="001966A9" w:rsidRDefault="00000000">
            <w:pPr>
              <w:jc w:val="center"/>
              <w:rPr>
                <w:b/>
                <w:color w:val="FFFFFF"/>
                <w:sz w:val="20"/>
                <w:szCs w:val="20"/>
              </w:rPr>
            </w:pPr>
            <w:r>
              <w:rPr>
                <w:b/>
                <w:color w:val="FFFFFF"/>
                <w:sz w:val="20"/>
                <w:szCs w:val="20"/>
              </w:rPr>
              <w:t>Tier 2</w:t>
            </w:r>
          </w:p>
          <w:p w14:paraId="004AB473" w14:textId="77777777" w:rsidR="001966A9" w:rsidRDefault="001966A9">
            <w:pPr>
              <w:jc w:val="center"/>
              <w:rPr>
                <w:b/>
                <w:color w:val="FFFFFF"/>
                <w:sz w:val="20"/>
                <w:szCs w:val="20"/>
              </w:rPr>
            </w:pPr>
          </w:p>
          <w:p w14:paraId="4CF940F8" w14:textId="77777777" w:rsidR="001966A9" w:rsidRDefault="001966A9">
            <w:pPr>
              <w:rPr>
                <w:b/>
                <w:color w:val="FFFFFF"/>
                <w:sz w:val="20"/>
                <w:szCs w:val="20"/>
              </w:rPr>
            </w:pPr>
          </w:p>
        </w:tc>
        <w:tc>
          <w:tcPr>
            <w:tcW w:w="2727" w:type="dxa"/>
            <w:shd w:val="clear" w:color="auto" w:fill="00B050"/>
            <w:tcMar>
              <w:top w:w="28" w:type="dxa"/>
              <w:left w:w="28" w:type="dxa"/>
              <w:bottom w:w="28" w:type="dxa"/>
              <w:right w:w="28" w:type="dxa"/>
            </w:tcMar>
            <w:vAlign w:val="center"/>
          </w:tcPr>
          <w:p w14:paraId="113E55D8" w14:textId="77777777" w:rsidR="001966A9" w:rsidRDefault="00000000">
            <w:pPr>
              <w:jc w:val="center"/>
              <w:rPr>
                <w:b/>
                <w:sz w:val="20"/>
                <w:szCs w:val="20"/>
              </w:rPr>
            </w:pPr>
            <w:r>
              <w:rPr>
                <w:b/>
                <w:color w:val="FFFFFF"/>
                <w:sz w:val="20"/>
                <w:szCs w:val="20"/>
              </w:rPr>
              <w:t>On Track for Renewal</w:t>
            </w:r>
          </w:p>
        </w:tc>
        <w:tc>
          <w:tcPr>
            <w:tcW w:w="5323" w:type="dxa"/>
            <w:shd w:val="clear" w:color="auto" w:fill="auto"/>
            <w:tcMar>
              <w:top w:w="28" w:type="dxa"/>
              <w:left w:w="28" w:type="dxa"/>
              <w:bottom w:w="28" w:type="dxa"/>
              <w:right w:w="28" w:type="dxa"/>
            </w:tcMar>
          </w:tcPr>
          <w:p w14:paraId="1F7008FA" w14:textId="77777777" w:rsidR="001966A9" w:rsidRDefault="00000000">
            <w:pPr>
              <w:rPr>
                <w:sz w:val="20"/>
                <w:szCs w:val="20"/>
              </w:rPr>
            </w:pPr>
            <w:r>
              <w:rPr>
                <w:color w:val="000000"/>
                <w:sz w:val="20"/>
                <w:szCs w:val="20"/>
              </w:rPr>
              <w:t xml:space="preserve">The school earns a </w:t>
            </w:r>
            <w:r>
              <w:rPr>
                <w:b/>
                <w:color w:val="000000"/>
                <w:sz w:val="20"/>
                <w:szCs w:val="20"/>
              </w:rPr>
              <w:t xml:space="preserve">Meets or Exceeds </w:t>
            </w:r>
            <w:r>
              <w:rPr>
                <w:color w:val="000000"/>
                <w:sz w:val="20"/>
                <w:szCs w:val="20"/>
              </w:rPr>
              <w:t xml:space="preserve">in all performance indicators in the Academic Framework and earns </w:t>
            </w:r>
            <w:r>
              <w:rPr>
                <w:b/>
                <w:color w:val="000000"/>
                <w:sz w:val="20"/>
                <w:szCs w:val="20"/>
              </w:rPr>
              <w:t xml:space="preserve">Working to Meet </w:t>
            </w:r>
            <w:r>
              <w:rPr>
                <w:color w:val="000000"/>
                <w:sz w:val="20"/>
                <w:szCs w:val="20"/>
              </w:rPr>
              <w:t xml:space="preserve">or </w:t>
            </w:r>
            <w:r>
              <w:rPr>
                <w:b/>
                <w:color w:val="000000"/>
                <w:sz w:val="20"/>
                <w:szCs w:val="20"/>
              </w:rPr>
              <w:t>Meets</w:t>
            </w:r>
            <w:r>
              <w:rPr>
                <w:color w:val="000000"/>
                <w:sz w:val="20"/>
                <w:szCs w:val="20"/>
              </w:rPr>
              <w:t xml:space="preserve"> for all performance indicators in the Financial and Operational Frameworks</w:t>
            </w:r>
            <w:r>
              <w:rPr>
                <w:sz w:val="20"/>
                <w:szCs w:val="20"/>
              </w:rPr>
              <w:t>.</w:t>
            </w:r>
            <w:r>
              <w:rPr>
                <w:sz w:val="20"/>
                <w:szCs w:val="20"/>
                <w:highlight w:val="yellow"/>
              </w:rPr>
              <w:t xml:space="preserve"> </w:t>
            </w:r>
          </w:p>
        </w:tc>
      </w:tr>
      <w:tr w:rsidR="001966A9" w14:paraId="691860A6" w14:textId="77777777">
        <w:trPr>
          <w:trHeight w:val="296"/>
        </w:trPr>
        <w:tc>
          <w:tcPr>
            <w:tcW w:w="1899" w:type="dxa"/>
            <w:shd w:val="clear" w:color="auto" w:fill="FFFF00"/>
          </w:tcPr>
          <w:p w14:paraId="4C8292BC" w14:textId="77777777" w:rsidR="001966A9" w:rsidRDefault="001966A9">
            <w:pPr>
              <w:jc w:val="center"/>
              <w:rPr>
                <w:b/>
                <w:sz w:val="20"/>
                <w:szCs w:val="20"/>
              </w:rPr>
            </w:pPr>
          </w:p>
          <w:p w14:paraId="484425F1" w14:textId="77777777" w:rsidR="001966A9" w:rsidRDefault="00000000">
            <w:pPr>
              <w:jc w:val="center"/>
              <w:rPr>
                <w:b/>
                <w:sz w:val="20"/>
                <w:szCs w:val="20"/>
              </w:rPr>
            </w:pPr>
            <w:r>
              <w:rPr>
                <w:b/>
                <w:sz w:val="20"/>
                <w:szCs w:val="20"/>
              </w:rPr>
              <w:t>Tier 3</w:t>
            </w:r>
          </w:p>
        </w:tc>
        <w:tc>
          <w:tcPr>
            <w:tcW w:w="2727" w:type="dxa"/>
            <w:shd w:val="clear" w:color="auto" w:fill="FFFF00"/>
            <w:tcMar>
              <w:top w:w="28" w:type="dxa"/>
              <w:left w:w="28" w:type="dxa"/>
              <w:bottom w:w="28" w:type="dxa"/>
              <w:right w:w="28" w:type="dxa"/>
            </w:tcMar>
            <w:vAlign w:val="center"/>
          </w:tcPr>
          <w:p w14:paraId="79705AC0" w14:textId="77777777" w:rsidR="001966A9" w:rsidRDefault="00000000">
            <w:pPr>
              <w:jc w:val="center"/>
              <w:rPr>
                <w:b/>
                <w:sz w:val="20"/>
                <w:szCs w:val="20"/>
              </w:rPr>
            </w:pPr>
            <w:r>
              <w:rPr>
                <w:b/>
                <w:sz w:val="20"/>
                <w:szCs w:val="20"/>
              </w:rPr>
              <w:t>On Track for Renewal with Conditions or Possible</w:t>
            </w:r>
          </w:p>
          <w:p w14:paraId="66566D89" w14:textId="77777777" w:rsidR="001966A9" w:rsidRDefault="00000000">
            <w:pPr>
              <w:jc w:val="center"/>
              <w:rPr>
                <w:b/>
                <w:sz w:val="20"/>
                <w:szCs w:val="20"/>
              </w:rPr>
            </w:pPr>
            <w:r>
              <w:rPr>
                <w:b/>
                <w:sz w:val="20"/>
                <w:szCs w:val="20"/>
              </w:rPr>
              <w:t>Non-Renewal</w:t>
            </w:r>
          </w:p>
        </w:tc>
        <w:tc>
          <w:tcPr>
            <w:tcW w:w="5323" w:type="dxa"/>
            <w:shd w:val="clear" w:color="auto" w:fill="auto"/>
            <w:tcMar>
              <w:top w:w="28" w:type="dxa"/>
              <w:left w:w="28" w:type="dxa"/>
              <w:bottom w:w="28" w:type="dxa"/>
              <w:right w:w="28" w:type="dxa"/>
            </w:tcMar>
          </w:tcPr>
          <w:p w14:paraId="1CB50F4B" w14:textId="77777777" w:rsidR="001966A9" w:rsidRDefault="00000000">
            <w:pPr>
              <w:rPr>
                <w:sz w:val="20"/>
                <w:szCs w:val="20"/>
              </w:rPr>
            </w:pPr>
            <w:r>
              <w:rPr>
                <w:color w:val="000000"/>
                <w:sz w:val="20"/>
                <w:szCs w:val="20"/>
              </w:rPr>
              <w:t xml:space="preserve">The school earns </w:t>
            </w:r>
            <w:r>
              <w:rPr>
                <w:b/>
                <w:color w:val="000000"/>
                <w:sz w:val="20"/>
                <w:szCs w:val="20"/>
              </w:rPr>
              <w:t xml:space="preserve">Working to Meet </w:t>
            </w:r>
            <w:r>
              <w:rPr>
                <w:color w:val="000000"/>
                <w:sz w:val="20"/>
                <w:szCs w:val="20"/>
              </w:rPr>
              <w:t xml:space="preserve">in </w:t>
            </w:r>
            <w:r>
              <w:rPr>
                <w:sz w:val="20"/>
                <w:szCs w:val="20"/>
              </w:rPr>
              <w:t>one</w:t>
            </w:r>
            <w:r>
              <w:rPr>
                <w:color w:val="000000"/>
                <w:sz w:val="20"/>
                <w:szCs w:val="20"/>
              </w:rPr>
              <w:t xml:space="preserve"> or more performance indicators of the Academic Framework but does not meet the criteria for</w:t>
            </w:r>
            <w:r>
              <w:rPr>
                <w:b/>
                <w:color w:val="000000"/>
                <w:sz w:val="20"/>
                <w:szCs w:val="20"/>
              </w:rPr>
              <w:t xml:space="preserve"> Does Not Meet Performance Expectations.</w:t>
            </w:r>
            <w:r>
              <w:rPr>
                <w:color w:val="000000"/>
                <w:sz w:val="20"/>
                <w:szCs w:val="20"/>
              </w:rPr>
              <w:t xml:space="preserve"> </w:t>
            </w:r>
          </w:p>
        </w:tc>
      </w:tr>
      <w:tr w:rsidR="001966A9" w14:paraId="45F5C610" w14:textId="77777777">
        <w:trPr>
          <w:trHeight w:val="296"/>
        </w:trPr>
        <w:tc>
          <w:tcPr>
            <w:tcW w:w="1899" w:type="dxa"/>
            <w:shd w:val="clear" w:color="auto" w:fill="FF0000"/>
          </w:tcPr>
          <w:p w14:paraId="6740A72E" w14:textId="77777777" w:rsidR="001966A9" w:rsidRDefault="001966A9">
            <w:pPr>
              <w:jc w:val="center"/>
              <w:rPr>
                <w:b/>
                <w:color w:val="FFFFFF"/>
                <w:sz w:val="20"/>
                <w:szCs w:val="20"/>
              </w:rPr>
            </w:pPr>
          </w:p>
          <w:p w14:paraId="365A789D" w14:textId="77777777" w:rsidR="001966A9" w:rsidRDefault="001966A9">
            <w:pPr>
              <w:jc w:val="center"/>
              <w:rPr>
                <w:b/>
                <w:color w:val="FFFFFF"/>
                <w:sz w:val="20"/>
                <w:szCs w:val="20"/>
              </w:rPr>
            </w:pPr>
          </w:p>
          <w:p w14:paraId="47D1DDE6" w14:textId="77777777" w:rsidR="001966A9" w:rsidRDefault="00000000">
            <w:pPr>
              <w:jc w:val="center"/>
              <w:rPr>
                <w:b/>
                <w:color w:val="FFFFFF"/>
                <w:sz w:val="20"/>
                <w:szCs w:val="20"/>
              </w:rPr>
            </w:pPr>
            <w:r>
              <w:rPr>
                <w:b/>
                <w:color w:val="FFFFFF"/>
                <w:sz w:val="20"/>
                <w:szCs w:val="20"/>
              </w:rPr>
              <w:t>Tier 4</w:t>
            </w:r>
          </w:p>
        </w:tc>
        <w:tc>
          <w:tcPr>
            <w:tcW w:w="2727" w:type="dxa"/>
            <w:shd w:val="clear" w:color="auto" w:fill="FF0000"/>
            <w:tcMar>
              <w:top w:w="28" w:type="dxa"/>
              <w:left w:w="28" w:type="dxa"/>
              <w:bottom w:w="28" w:type="dxa"/>
              <w:right w:w="28" w:type="dxa"/>
            </w:tcMar>
            <w:vAlign w:val="center"/>
          </w:tcPr>
          <w:p w14:paraId="593AA99A" w14:textId="77777777" w:rsidR="001966A9" w:rsidRDefault="00000000">
            <w:pPr>
              <w:jc w:val="center"/>
              <w:rPr>
                <w:b/>
                <w:sz w:val="20"/>
                <w:szCs w:val="20"/>
              </w:rPr>
            </w:pPr>
            <w:r>
              <w:rPr>
                <w:b/>
                <w:color w:val="FFFFFF"/>
                <w:sz w:val="20"/>
                <w:szCs w:val="20"/>
              </w:rPr>
              <w:t xml:space="preserve">Not on Track for Renewal </w:t>
            </w:r>
          </w:p>
        </w:tc>
        <w:tc>
          <w:tcPr>
            <w:tcW w:w="5323" w:type="dxa"/>
            <w:shd w:val="clear" w:color="auto" w:fill="auto"/>
            <w:tcMar>
              <w:top w:w="28" w:type="dxa"/>
              <w:left w:w="28" w:type="dxa"/>
              <w:bottom w:w="28" w:type="dxa"/>
              <w:right w:w="28" w:type="dxa"/>
            </w:tcMar>
            <w:vAlign w:val="center"/>
          </w:tcPr>
          <w:p w14:paraId="3A896C1C" w14:textId="77777777" w:rsidR="001966A9" w:rsidRDefault="00000000">
            <w:pPr>
              <w:keepNext/>
              <w:keepLines/>
              <w:widowControl w:val="0"/>
              <w:rPr>
                <w:sz w:val="20"/>
                <w:szCs w:val="20"/>
              </w:rPr>
            </w:pPr>
            <w:r>
              <w:rPr>
                <w:sz w:val="20"/>
                <w:szCs w:val="20"/>
              </w:rPr>
              <w:t xml:space="preserve">Earns a Does Not Meet in 1.A or 1.B. or in three (3) or more performance indicators of the Academic Framework. </w:t>
            </w:r>
          </w:p>
          <w:p w14:paraId="45054EFB" w14:textId="77777777" w:rsidR="001966A9" w:rsidRDefault="00000000">
            <w:pPr>
              <w:keepNext/>
              <w:keepLines/>
              <w:widowControl w:val="0"/>
              <w:jc w:val="center"/>
              <w:rPr>
                <w:b/>
                <w:color w:val="000000"/>
                <w:sz w:val="20"/>
                <w:szCs w:val="20"/>
              </w:rPr>
            </w:pPr>
            <w:r>
              <w:rPr>
                <w:b/>
                <w:color w:val="000000"/>
                <w:sz w:val="20"/>
                <w:szCs w:val="20"/>
              </w:rPr>
              <w:t>OR</w:t>
            </w:r>
          </w:p>
          <w:p w14:paraId="77B3C0BB" w14:textId="77777777" w:rsidR="001966A9" w:rsidRDefault="00000000">
            <w:pPr>
              <w:rPr>
                <w:sz w:val="20"/>
                <w:szCs w:val="20"/>
              </w:rPr>
            </w:pPr>
            <w:r>
              <w:rPr>
                <w:color w:val="000000"/>
                <w:sz w:val="20"/>
                <w:szCs w:val="20"/>
              </w:rPr>
              <w:t xml:space="preserve">The school earns (8) eight or more </w:t>
            </w:r>
            <w:r>
              <w:rPr>
                <w:b/>
                <w:color w:val="000000"/>
                <w:sz w:val="20"/>
                <w:szCs w:val="20"/>
              </w:rPr>
              <w:t>Does Not Meet</w:t>
            </w:r>
            <w:r>
              <w:rPr>
                <w:color w:val="000000"/>
                <w:sz w:val="20"/>
                <w:szCs w:val="20"/>
              </w:rPr>
              <w:t xml:space="preserve"> ratings across the Academic, Organizational, and Financial Frameworks.</w:t>
            </w:r>
          </w:p>
        </w:tc>
      </w:tr>
      <w:tr w:rsidR="001966A9" w14:paraId="3E8AFAC6" w14:textId="77777777">
        <w:trPr>
          <w:trHeight w:val="296"/>
        </w:trPr>
        <w:tc>
          <w:tcPr>
            <w:tcW w:w="1899" w:type="dxa"/>
            <w:shd w:val="clear" w:color="auto" w:fill="D9D9D9"/>
          </w:tcPr>
          <w:p w14:paraId="00BC1EAC" w14:textId="77777777" w:rsidR="001966A9" w:rsidRDefault="001966A9">
            <w:pPr>
              <w:jc w:val="center"/>
              <w:rPr>
                <w:b/>
                <w:sz w:val="20"/>
                <w:szCs w:val="20"/>
              </w:rPr>
            </w:pPr>
          </w:p>
        </w:tc>
        <w:tc>
          <w:tcPr>
            <w:tcW w:w="2727" w:type="dxa"/>
            <w:shd w:val="clear" w:color="auto" w:fill="D9D9D9"/>
            <w:tcMar>
              <w:top w:w="28" w:type="dxa"/>
              <w:left w:w="28" w:type="dxa"/>
              <w:bottom w:w="28" w:type="dxa"/>
              <w:right w:w="28" w:type="dxa"/>
            </w:tcMar>
            <w:vAlign w:val="center"/>
          </w:tcPr>
          <w:p w14:paraId="4BF14B34" w14:textId="77777777" w:rsidR="001966A9" w:rsidRDefault="00000000">
            <w:pPr>
              <w:jc w:val="center"/>
              <w:rPr>
                <w:b/>
                <w:sz w:val="20"/>
                <w:szCs w:val="20"/>
              </w:rPr>
            </w:pPr>
            <w:r>
              <w:rPr>
                <w:b/>
                <w:sz w:val="20"/>
                <w:szCs w:val="20"/>
              </w:rPr>
              <w:t>Not Applicable</w:t>
            </w:r>
          </w:p>
        </w:tc>
        <w:tc>
          <w:tcPr>
            <w:tcW w:w="5323" w:type="dxa"/>
            <w:shd w:val="clear" w:color="auto" w:fill="auto"/>
            <w:tcMar>
              <w:top w:w="28" w:type="dxa"/>
              <w:left w:w="28" w:type="dxa"/>
              <w:bottom w:w="28" w:type="dxa"/>
              <w:right w:w="28" w:type="dxa"/>
            </w:tcMar>
            <w:vAlign w:val="center"/>
          </w:tcPr>
          <w:p w14:paraId="02DEF5DE" w14:textId="77777777" w:rsidR="001966A9" w:rsidRDefault="00000000">
            <w:pPr>
              <w:rPr>
                <w:sz w:val="20"/>
                <w:szCs w:val="20"/>
              </w:rPr>
            </w:pPr>
            <w:r>
              <w:rPr>
                <w:sz w:val="20"/>
                <w:szCs w:val="20"/>
              </w:rPr>
              <w:t>The school is in its first year of operation. Data will be displayed for each applicable measure for informational purposes only.</w:t>
            </w:r>
          </w:p>
        </w:tc>
      </w:tr>
    </w:tbl>
    <w:p w14:paraId="74C34F73" w14:textId="77777777" w:rsidR="001966A9" w:rsidRDefault="00000000">
      <w:pPr>
        <w:jc w:val="center"/>
      </w:pPr>
      <w:r>
        <w:br w:type="page"/>
      </w:r>
      <w:r>
        <w:rPr>
          <w:b/>
          <w:sz w:val="28"/>
          <w:szCs w:val="28"/>
        </w:rPr>
        <w:lastRenderedPageBreak/>
        <w:t>Individual Performance Indicator Ratings</w:t>
      </w:r>
    </w:p>
    <w:p w14:paraId="03CBF79A" w14:textId="77777777" w:rsidR="001966A9" w:rsidRDefault="001966A9">
      <w:pPr>
        <w:jc w:val="center"/>
      </w:pPr>
    </w:p>
    <w:p w14:paraId="42E67622" w14:textId="77777777" w:rsidR="001966A9" w:rsidRDefault="00000000">
      <w:r>
        <w:t>Each Performance Indicator will receive one of the following ratings based on the criteria established. Failure of the school to provide data will result in a "Does Not Meet" Performance Expectations.</w:t>
      </w:r>
    </w:p>
    <w:tbl>
      <w:tblPr>
        <w:tblStyle w:val="afff1"/>
        <w:tblW w:w="9306"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6"/>
        <w:gridCol w:w="5580"/>
      </w:tblGrid>
      <w:tr w:rsidR="001966A9" w14:paraId="2CB2C675" w14:textId="77777777">
        <w:trPr>
          <w:trHeight w:val="90"/>
          <w:tblHeader/>
        </w:trPr>
        <w:tc>
          <w:tcPr>
            <w:tcW w:w="3726" w:type="dxa"/>
            <w:shd w:val="clear" w:color="auto" w:fill="0B5394"/>
            <w:tcMar>
              <w:top w:w="99" w:type="dxa"/>
              <w:left w:w="99" w:type="dxa"/>
              <w:bottom w:w="99" w:type="dxa"/>
              <w:right w:w="99" w:type="dxa"/>
            </w:tcMar>
            <w:vAlign w:val="center"/>
          </w:tcPr>
          <w:p w14:paraId="1E4ED01E" w14:textId="77777777" w:rsidR="001966A9" w:rsidRDefault="00000000">
            <w:pPr>
              <w:jc w:val="center"/>
              <w:rPr>
                <w:b/>
                <w:color w:val="FFFFFF"/>
                <w:sz w:val="26"/>
                <w:szCs w:val="26"/>
              </w:rPr>
            </w:pPr>
            <w:r>
              <w:rPr>
                <w:b/>
                <w:color w:val="FFFFFF"/>
                <w:sz w:val="26"/>
                <w:szCs w:val="26"/>
              </w:rPr>
              <w:t>Performance Indicator Rating</w:t>
            </w:r>
          </w:p>
        </w:tc>
        <w:tc>
          <w:tcPr>
            <w:tcW w:w="5580" w:type="dxa"/>
            <w:shd w:val="clear" w:color="auto" w:fill="0B5394"/>
            <w:tcMar>
              <w:top w:w="99" w:type="dxa"/>
              <w:left w:w="99" w:type="dxa"/>
              <w:bottom w:w="99" w:type="dxa"/>
              <w:right w:w="99" w:type="dxa"/>
            </w:tcMar>
            <w:vAlign w:val="center"/>
          </w:tcPr>
          <w:p w14:paraId="5092D99A" w14:textId="77777777" w:rsidR="001966A9" w:rsidRDefault="00000000">
            <w:pPr>
              <w:jc w:val="center"/>
              <w:rPr>
                <w:b/>
                <w:color w:val="FFFFFF"/>
                <w:sz w:val="26"/>
                <w:szCs w:val="26"/>
              </w:rPr>
            </w:pPr>
            <w:r>
              <w:rPr>
                <w:b/>
                <w:color w:val="FFFFFF"/>
                <w:sz w:val="26"/>
                <w:szCs w:val="26"/>
              </w:rPr>
              <w:t>Definition</w:t>
            </w:r>
          </w:p>
        </w:tc>
      </w:tr>
      <w:tr w:rsidR="001966A9" w14:paraId="771E6B75" w14:textId="77777777">
        <w:trPr>
          <w:trHeight w:val="315"/>
        </w:trPr>
        <w:tc>
          <w:tcPr>
            <w:tcW w:w="3726" w:type="dxa"/>
            <w:shd w:val="clear" w:color="auto" w:fill="00B0F0"/>
            <w:tcMar>
              <w:top w:w="28" w:type="dxa"/>
              <w:left w:w="28" w:type="dxa"/>
              <w:bottom w:w="28" w:type="dxa"/>
              <w:right w:w="28" w:type="dxa"/>
            </w:tcMar>
            <w:vAlign w:val="center"/>
          </w:tcPr>
          <w:p w14:paraId="6174445A" w14:textId="77777777" w:rsidR="001966A9" w:rsidRDefault="00000000">
            <w:pPr>
              <w:jc w:val="center"/>
              <w:rPr>
                <w:b/>
                <w:color w:val="FFFFFF"/>
              </w:rPr>
            </w:pPr>
            <w:r>
              <w:rPr>
                <w:b/>
                <w:color w:val="FFFFFF"/>
              </w:rPr>
              <w:t>Exceeds Performance Expectations</w:t>
            </w:r>
            <w:r>
              <w:rPr>
                <w:b/>
              </w:rPr>
              <w:t xml:space="preserve"> </w:t>
            </w:r>
            <w:r>
              <w:rPr>
                <w:b/>
                <w:color w:val="FFFFFF"/>
              </w:rPr>
              <w:t>*Academic Framework Only*</w:t>
            </w:r>
          </w:p>
        </w:tc>
        <w:tc>
          <w:tcPr>
            <w:tcW w:w="5580" w:type="dxa"/>
            <w:shd w:val="clear" w:color="auto" w:fill="auto"/>
            <w:tcMar>
              <w:top w:w="28" w:type="dxa"/>
              <w:left w:w="28" w:type="dxa"/>
              <w:bottom w:w="28" w:type="dxa"/>
              <w:right w:w="28" w:type="dxa"/>
            </w:tcMar>
          </w:tcPr>
          <w:p w14:paraId="446F2655" w14:textId="77777777" w:rsidR="001966A9" w:rsidRDefault="00000000">
            <w:pPr>
              <w:rPr>
                <w:color w:val="000000"/>
              </w:rPr>
            </w:pPr>
            <w:r>
              <w:t>The school’s outcomes are exemplary in this academic performance indicator.</w:t>
            </w:r>
          </w:p>
        </w:tc>
      </w:tr>
      <w:tr w:rsidR="001966A9" w14:paraId="34F12572" w14:textId="77777777">
        <w:trPr>
          <w:trHeight w:val="315"/>
        </w:trPr>
        <w:tc>
          <w:tcPr>
            <w:tcW w:w="3726" w:type="dxa"/>
            <w:shd w:val="clear" w:color="auto" w:fill="00B050"/>
            <w:tcMar>
              <w:top w:w="28" w:type="dxa"/>
              <w:left w:w="28" w:type="dxa"/>
              <w:bottom w:w="28" w:type="dxa"/>
              <w:right w:w="28" w:type="dxa"/>
            </w:tcMar>
            <w:vAlign w:val="center"/>
          </w:tcPr>
          <w:p w14:paraId="650D6CE0" w14:textId="77777777" w:rsidR="001966A9" w:rsidRDefault="00000000">
            <w:pPr>
              <w:jc w:val="center"/>
              <w:rPr>
                <w:b/>
              </w:rPr>
            </w:pPr>
            <w:r>
              <w:rPr>
                <w:b/>
                <w:color w:val="FFFFFF"/>
              </w:rPr>
              <w:t>Meets Performance Expectations</w:t>
            </w:r>
          </w:p>
        </w:tc>
        <w:tc>
          <w:tcPr>
            <w:tcW w:w="5580" w:type="dxa"/>
            <w:shd w:val="clear" w:color="auto" w:fill="auto"/>
            <w:tcMar>
              <w:top w:w="28" w:type="dxa"/>
              <w:left w:w="28" w:type="dxa"/>
              <w:bottom w:w="28" w:type="dxa"/>
              <w:right w:w="28" w:type="dxa"/>
            </w:tcMar>
          </w:tcPr>
          <w:p w14:paraId="4F16B380" w14:textId="77777777" w:rsidR="001966A9" w:rsidRDefault="00000000">
            <w:r>
              <w:t>The school’s outcomes meet expectations in this performance indicator.</w:t>
            </w:r>
          </w:p>
        </w:tc>
      </w:tr>
      <w:tr w:rsidR="001966A9" w14:paraId="3883EC1E" w14:textId="77777777">
        <w:trPr>
          <w:trHeight w:val="315"/>
        </w:trPr>
        <w:tc>
          <w:tcPr>
            <w:tcW w:w="3726" w:type="dxa"/>
            <w:shd w:val="clear" w:color="auto" w:fill="FFFF00"/>
            <w:tcMar>
              <w:top w:w="28" w:type="dxa"/>
              <w:left w:w="28" w:type="dxa"/>
              <w:bottom w:w="28" w:type="dxa"/>
              <w:right w:w="28" w:type="dxa"/>
            </w:tcMar>
            <w:vAlign w:val="center"/>
          </w:tcPr>
          <w:p w14:paraId="22364821" w14:textId="77777777" w:rsidR="001966A9" w:rsidRDefault="00000000">
            <w:pPr>
              <w:jc w:val="center"/>
              <w:rPr>
                <w:b/>
              </w:rPr>
            </w:pPr>
            <w:r>
              <w:rPr>
                <w:b/>
              </w:rPr>
              <w:t>Working to Meet Performance Expectations</w:t>
            </w:r>
          </w:p>
        </w:tc>
        <w:tc>
          <w:tcPr>
            <w:tcW w:w="5580" w:type="dxa"/>
            <w:shd w:val="clear" w:color="auto" w:fill="auto"/>
            <w:tcMar>
              <w:top w:w="28" w:type="dxa"/>
              <w:left w:w="28" w:type="dxa"/>
              <w:bottom w:w="28" w:type="dxa"/>
              <w:right w:w="28" w:type="dxa"/>
            </w:tcMar>
          </w:tcPr>
          <w:p w14:paraId="1779D8EE" w14:textId="77777777" w:rsidR="001966A9" w:rsidRDefault="00000000">
            <w:r>
              <w:t>The school is showing inconsistencies in the performance indicator that may warrant oversight to ensure outcomes are met.</w:t>
            </w:r>
          </w:p>
        </w:tc>
      </w:tr>
      <w:tr w:rsidR="001966A9" w14:paraId="54F0A54E" w14:textId="77777777">
        <w:trPr>
          <w:trHeight w:val="315"/>
        </w:trPr>
        <w:tc>
          <w:tcPr>
            <w:tcW w:w="3726" w:type="dxa"/>
            <w:shd w:val="clear" w:color="auto" w:fill="FF0000"/>
            <w:tcMar>
              <w:top w:w="28" w:type="dxa"/>
              <w:left w:w="28" w:type="dxa"/>
              <w:bottom w:w="28" w:type="dxa"/>
              <w:right w:w="28" w:type="dxa"/>
            </w:tcMar>
            <w:vAlign w:val="center"/>
          </w:tcPr>
          <w:p w14:paraId="38060394" w14:textId="77777777" w:rsidR="001966A9" w:rsidRDefault="00000000">
            <w:pPr>
              <w:jc w:val="center"/>
              <w:rPr>
                <w:b/>
              </w:rPr>
            </w:pPr>
            <w:r>
              <w:rPr>
                <w:b/>
                <w:color w:val="FFFFFF"/>
              </w:rPr>
              <w:t>Does Not Meet Performance Expectations</w:t>
            </w:r>
          </w:p>
        </w:tc>
        <w:tc>
          <w:tcPr>
            <w:tcW w:w="5580" w:type="dxa"/>
            <w:shd w:val="clear" w:color="auto" w:fill="auto"/>
            <w:tcMar>
              <w:top w:w="28" w:type="dxa"/>
              <w:left w:w="28" w:type="dxa"/>
              <w:bottom w:w="28" w:type="dxa"/>
              <w:right w:w="28" w:type="dxa"/>
            </w:tcMar>
          </w:tcPr>
          <w:p w14:paraId="59C425F2" w14:textId="77777777" w:rsidR="001966A9" w:rsidRDefault="00000000">
            <w:r>
              <w:t>The school is not meeting the expectations in the performance indicator, which warrants oversite ensure outcomes are met.</w:t>
            </w:r>
          </w:p>
        </w:tc>
      </w:tr>
      <w:tr w:rsidR="001966A9" w14:paraId="5DE5BB55" w14:textId="77777777">
        <w:trPr>
          <w:trHeight w:val="315"/>
        </w:trPr>
        <w:tc>
          <w:tcPr>
            <w:tcW w:w="3726" w:type="dxa"/>
            <w:shd w:val="clear" w:color="auto" w:fill="D9D9D9"/>
            <w:tcMar>
              <w:top w:w="28" w:type="dxa"/>
              <w:left w:w="28" w:type="dxa"/>
              <w:bottom w:w="28" w:type="dxa"/>
              <w:right w:w="28" w:type="dxa"/>
            </w:tcMar>
            <w:vAlign w:val="center"/>
          </w:tcPr>
          <w:p w14:paraId="2F028CDC" w14:textId="77777777" w:rsidR="001966A9" w:rsidRDefault="00000000">
            <w:pPr>
              <w:jc w:val="center"/>
              <w:rPr>
                <w:b/>
              </w:rPr>
            </w:pPr>
            <w:r>
              <w:rPr>
                <w:b/>
              </w:rPr>
              <w:t>Not Applicable</w:t>
            </w:r>
          </w:p>
        </w:tc>
        <w:tc>
          <w:tcPr>
            <w:tcW w:w="5580" w:type="dxa"/>
            <w:shd w:val="clear" w:color="auto" w:fill="auto"/>
            <w:tcMar>
              <w:top w:w="28" w:type="dxa"/>
              <w:left w:w="28" w:type="dxa"/>
              <w:bottom w:w="28" w:type="dxa"/>
              <w:right w:w="28" w:type="dxa"/>
            </w:tcMar>
          </w:tcPr>
          <w:p w14:paraId="0FE2A080" w14:textId="77777777" w:rsidR="001966A9" w:rsidRDefault="00000000">
            <w:r>
              <w:rPr>
                <w:b/>
              </w:rPr>
              <w:t>Academic and Organizational Frameworks</w:t>
            </w:r>
            <w:r>
              <w:t xml:space="preserve">: The school is in its first year and lacks sufficient data to be rated. </w:t>
            </w:r>
          </w:p>
          <w:p w14:paraId="04341A68" w14:textId="77777777" w:rsidR="001966A9" w:rsidRDefault="00000000">
            <w:r>
              <w:rPr>
                <w:b/>
              </w:rPr>
              <w:t>Financial Framework</w:t>
            </w:r>
            <w:r>
              <w:t>: The school is in its first two years of operation and lacks sufficient data; financials will be reviewed, however, and feedback provided.</w:t>
            </w:r>
          </w:p>
        </w:tc>
      </w:tr>
    </w:tbl>
    <w:p w14:paraId="51508485" w14:textId="77777777" w:rsidR="001966A9" w:rsidRDefault="001966A9"/>
    <w:p w14:paraId="18A7C418" w14:textId="5CCF9767" w:rsidR="001966A9" w:rsidRDefault="00000000">
      <w:r>
        <w:rPr>
          <w:color w:val="000000"/>
          <w:sz w:val="20"/>
          <w:szCs w:val="20"/>
        </w:rPr>
        <w:t xml:space="preserve">The Performance Framework is scored according to business rules approved by the PEC and posted on the PEC </w:t>
      </w:r>
      <w:hyperlink r:id="rId11">
        <w:r>
          <w:rPr>
            <w:color w:val="1155CC"/>
            <w:sz w:val="20"/>
            <w:szCs w:val="20"/>
            <w:u w:val="single"/>
          </w:rPr>
          <w:t>Performance Framework</w:t>
        </w:r>
      </w:hyperlink>
      <w:r>
        <w:rPr>
          <w:sz w:val="20"/>
          <w:szCs w:val="20"/>
        </w:rPr>
        <w:t xml:space="preserve"> web page. </w:t>
      </w:r>
    </w:p>
    <w:p w14:paraId="63CFF419" w14:textId="77777777" w:rsidR="0046046C" w:rsidRDefault="0046046C"/>
    <w:p w14:paraId="02004B19" w14:textId="77777777" w:rsidR="0046046C" w:rsidRDefault="0046046C"/>
    <w:p w14:paraId="2139BA43" w14:textId="77777777" w:rsidR="0046046C" w:rsidRDefault="0046046C"/>
    <w:p w14:paraId="4F0D607B" w14:textId="77777777" w:rsidR="0046046C" w:rsidRPr="0046046C" w:rsidRDefault="0046046C"/>
    <w:p w14:paraId="771A94F2" w14:textId="77777777" w:rsidR="001966A9" w:rsidRDefault="00000000">
      <w:pPr>
        <w:pStyle w:val="Heading1"/>
      </w:pPr>
      <w:bookmarkStart w:id="7" w:name="_Toc168642315"/>
      <w:r>
        <w:t>Part I: Academic Framework</w:t>
      </w:r>
      <w:bookmarkEnd w:id="7"/>
    </w:p>
    <w:p w14:paraId="51D10C03" w14:textId="77777777" w:rsidR="001966A9" w:rsidRDefault="00000000">
      <w:r>
        <w:t xml:space="preserve">The PEC and CSD provide a fair and equitable academic oversight process for the public charter schools within PEC's portfolio. Therefore, this Academic Framework embeds choice for each school in determining the assessments used. Each school will negotiate with the PEC to include mission-specific measures and optional assessments. Results for each performance indicator will be determined annually and included in an overall performance rating. </w:t>
      </w:r>
    </w:p>
    <w:p w14:paraId="5937A6A4" w14:textId="77777777" w:rsidR="0046046C" w:rsidRDefault="0046046C">
      <w:r>
        <w:br w:type="page"/>
      </w:r>
    </w:p>
    <w:tbl>
      <w:tblPr>
        <w:tblStyle w:val="afff2"/>
        <w:tblW w:w="9300"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3435"/>
        <w:gridCol w:w="5025"/>
      </w:tblGrid>
      <w:tr w:rsidR="001966A9" w14:paraId="44F810A8" w14:textId="77777777">
        <w:trPr>
          <w:trHeight w:val="315"/>
        </w:trPr>
        <w:tc>
          <w:tcPr>
            <w:tcW w:w="840" w:type="dxa"/>
            <w:shd w:val="clear" w:color="auto" w:fill="D9D9D9"/>
            <w:tcMar>
              <w:top w:w="28" w:type="dxa"/>
              <w:left w:w="28" w:type="dxa"/>
              <w:bottom w:w="28" w:type="dxa"/>
              <w:right w:w="28" w:type="dxa"/>
            </w:tcMar>
            <w:vAlign w:val="center"/>
          </w:tcPr>
          <w:p w14:paraId="5BC6B1EB" w14:textId="3BD443BE" w:rsidR="001966A9" w:rsidRDefault="00000000">
            <w:pPr>
              <w:jc w:val="center"/>
              <w:rPr>
                <w:b/>
              </w:rPr>
            </w:pPr>
            <w:r>
              <w:rPr>
                <w:b/>
              </w:rPr>
              <w:lastRenderedPageBreak/>
              <w:t>Option</w:t>
            </w:r>
            <w:r>
              <w:rPr>
                <w:b/>
                <w:vertAlign w:val="superscript"/>
              </w:rPr>
              <w:footnoteReference w:id="3"/>
            </w:r>
          </w:p>
        </w:tc>
        <w:tc>
          <w:tcPr>
            <w:tcW w:w="3435" w:type="dxa"/>
            <w:shd w:val="clear" w:color="auto" w:fill="D9D9D9"/>
            <w:vAlign w:val="center"/>
          </w:tcPr>
          <w:p w14:paraId="70A4749C" w14:textId="77777777" w:rsidR="001966A9" w:rsidRDefault="00000000">
            <w:pPr>
              <w:jc w:val="center"/>
              <w:rPr>
                <w:b/>
              </w:rPr>
            </w:pPr>
            <w:r>
              <w:rPr>
                <w:b/>
              </w:rPr>
              <w:t>Performance Measure</w:t>
            </w:r>
          </w:p>
        </w:tc>
        <w:tc>
          <w:tcPr>
            <w:tcW w:w="5025" w:type="dxa"/>
            <w:shd w:val="clear" w:color="auto" w:fill="D9D9D9"/>
            <w:vAlign w:val="center"/>
          </w:tcPr>
          <w:p w14:paraId="701A889E" w14:textId="77777777" w:rsidR="001966A9" w:rsidRDefault="00000000">
            <w:pPr>
              <w:jc w:val="center"/>
              <w:rPr>
                <w:b/>
              </w:rPr>
            </w:pPr>
            <w:r>
              <w:rPr>
                <w:b/>
              </w:rPr>
              <w:t>Performance Criteria</w:t>
            </w:r>
          </w:p>
        </w:tc>
      </w:tr>
      <w:tr w:rsidR="001966A9" w14:paraId="5651C7E0" w14:textId="77777777">
        <w:trPr>
          <w:trHeight w:val="315"/>
        </w:trPr>
        <w:tc>
          <w:tcPr>
            <w:tcW w:w="9300" w:type="dxa"/>
            <w:gridSpan w:val="3"/>
            <w:shd w:val="clear" w:color="auto" w:fill="F2F2F2"/>
            <w:tcMar>
              <w:top w:w="28" w:type="dxa"/>
              <w:left w:w="28" w:type="dxa"/>
              <w:bottom w:w="28" w:type="dxa"/>
              <w:right w:w="28" w:type="dxa"/>
            </w:tcMar>
            <w:vAlign w:val="center"/>
          </w:tcPr>
          <w:p w14:paraId="7BA3CF39" w14:textId="77777777" w:rsidR="001966A9" w:rsidRDefault="00000000">
            <w:r>
              <w:rPr>
                <w:b/>
              </w:rPr>
              <w:t xml:space="preserve">1.A. State Accountability System: </w:t>
            </w:r>
            <w:r>
              <w:t>The school ensures students meet or exceed the expectations established by PED for all New Mexican students, including sufficient academic achievement and academic growth.</w:t>
            </w:r>
            <w:r>
              <w:rPr>
                <w:vertAlign w:val="superscript"/>
              </w:rPr>
              <w:footnoteReference w:id="4"/>
            </w:r>
          </w:p>
        </w:tc>
      </w:tr>
      <w:tr w:rsidR="001966A9" w14:paraId="7030CF7E" w14:textId="77777777">
        <w:trPr>
          <w:trHeight w:val="315"/>
        </w:trPr>
        <w:tc>
          <w:tcPr>
            <w:tcW w:w="840" w:type="dxa"/>
            <w:shd w:val="clear" w:color="auto" w:fill="auto"/>
            <w:tcMar>
              <w:top w:w="28" w:type="dxa"/>
              <w:left w:w="28" w:type="dxa"/>
              <w:bottom w:w="28" w:type="dxa"/>
              <w:right w:w="28" w:type="dxa"/>
            </w:tcMar>
            <w:vAlign w:val="center"/>
          </w:tcPr>
          <w:p w14:paraId="1A6DB41E" w14:textId="77777777" w:rsidR="001966A9" w:rsidRDefault="00000000">
            <w:r>
              <w:t>1.A.1.</w:t>
            </w:r>
          </w:p>
        </w:tc>
        <w:tc>
          <w:tcPr>
            <w:tcW w:w="3435" w:type="dxa"/>
          </w:tcPr>
          <w:p w14:paraId="7DA3B145" w14:textId="77777777" w:rsidR="001966A9" w:rsidRDefault="00000000">
            <w:r>
              <w:t>The school’s overall performance on the state accountability system as compared to all other public schools.</w:t>
            </w:r>
          </w:p>
        </w:tc>
        <w:tc>
          <w:tcPr>
            <w:tcW w:w="5025" w:type="dxa"/>
          </w:tcPr>
          <w:p w14:paraId="0BD4A41F" w14:textId="77777777" w:rsidR="001966A9" w:rsidRDefault="00000000">
            <w:pPr>
              <w:spacing w:after="60"/>
            </w:pPr>
            <w:r>
              <w:rPr>
                <w:b/>
                <w:color w:val="007FAC"/>
              </w:rPr>
              <w:t>Exceeds</w:t>
            </w:r>
            <w:r>
              <w:t>: 76</w:t>
            </w:r>
            <w:r>
              <w:rPr>
                <w:vertAlign w:val="superscript"/>
              </w:rPr>
              <w:t>th</w:t>
            </w:r>
            <w:r>
              <w:t xml:space="preserve"> to 99</w:t>
            </w:r>
            <w:r>
              <w:rPr>
                <w:vertAlign w:val="superscript"/>
              </w:rPr>
              <w:t>th</w:t>
            </w:r>
            <w:r>
              <w:t xml:space="preserve"> percentile</w:t>
            </w:r>
          </w:p>
          <w:p w14:paraId="77A8FD12" w14:textId="77777777" w:rsidR="001966A9" w:rsidRDefault="00000000">
            <w:pPr>
              <w:spacing w:after="60"/>
            </w:pPr>
            <w:r>
              <w:rPr>
                <w:b/>
                <w:color w:val="007033"/>
              </w:rPr>
              <w:t>Meets</w:t>
            </w:r>
            <w:r>
              <w:t>: 51</w:t>
            </w:r>
            <w:r>
              <w:rPr>
                <w:vertAlign w:val="superscript"/>
              </w:rPr>
              <w:t>st</w:t>
            </w:r>
            <w:r>
              <w:t xml:space="preserve"> to 75</w:t>
            </w:r>
            <w:r>
              <w:rPr>
                <w:vertAlign w:val="superscript"/>
              </w:rPr>
              <w:t>th</w:t>
            </w:r>
            <w:r>
              <w:t xml:space="preserve"> percentile</w:t>
            </w:r>
          </w:p>
          <w:p w14:paraId="29018424" w14:textId="77777777" w:rsidR="001966A9" w:rsidRDefault="00000000">
            <w:pPr>
              <w:spacing w:after="60"/>
            </w:pPr>
            <w:r>
              <w:rPr>
                <w:b/>
                <w:color w:val="FFC000"/>
              </w:rPr>
              <w:t>Working to Meet</w:t>
            </w:r>
            <w:r>
              <w:t>: 26</w:t>
            </w:r>
            <w:r>
              <w:rPr>
                <w:vertAlign w:val="superscript"/>
              </w:rPr>
              <w:t>th</w:t>
            </w:r>
            <w:r>
              <w:t xml:space="preserve"> to 50</w:t>
            </w:r>
            <w:r>
              <w:rPr>
                <w:vertAlign w:val="superscript"/>
              </w:rPr>
              <w:t>th</w:t>
            </w:r>
            <w:r>
              <w:t xml:space="preserve"> percentile </w:t>
            </w:r>
          </w:p>
          <w:p w14:paraId="3A37226F" w14:textId="77777777" w:rsidR="001966A9" w:rsidRDefault="00000000">
            <w:r>
              <w:rPr>
                <w:b/>
                <w:color w:val="CC0000"/>
              </w:rPr>
              <w:t>Does Not Meet</w:t>
            </w:r>
            <w:r>
              <w:t>: 25</w:t>
            </w:r>
            <w:r>
              <w:rPr>
                <w:vertAlign w:val="superscript"/>
              </w:rPr>
              <w:t>th</w:t>
            </w:r>
            <w:r>
              <w:t xml:space="preserve"> percentile or below (intervention category)</w:t>
            </w:r>
          </w:p>
        </w:tc>
      </w:tr>
      <w:tr w:rsidR="001966A9" w14:paraId="473D6FFC" w14:textId="77777777">
        <w:trPr>
          <w:trHeight w:val="315"/>
        </w:trPr>
        <w:tc>
          <w:tcPr>
            <w:tcW w:w="840" w:type="dxa"/>
            <w:shd w:val="clear" w:color="auto" w:fill="auto"/>
            <w:tcMar>
              <w:top w:w="28" w:type="dxa"/>
              <w:left w:w="28" w:type="dxa"/>
              <w:bottom w:w="28" w:type="dxa"/>
              <w:right w:w="28" w:type="dxa"/>
            </w:tcMar>
            <w:vAlign w:val="center"/>
          </w:tcPr>
          <w:p w14:paraId="1B950671" w14:textId="77777777" w:rsidR="001966A9" w:rsidRDefault="00000000">
            <w:r>
              <w:t>1.A.2.</w:t>
            </w:r>
          </w:p>
        </w:tc>
        <w:tc>
          <w:tcPr>
            <w:tcW w:w="3435" w:type="dxa"/>
          </w:tcPr>
          <w:p w14:paraId="3F24E5A8" w14:textId="77777777" w:rsidR="001966A9" w:rsidRDefault="00000000">
            <w:r>
              <w:t>The school’s overall performance on the state accountability system,</w:t>
            </w:r>
          </w:p>
          <w:p w14:paraId="058B3840" w14:textId="77777777" w:rsidR="001966A9" w:rsidRDefault="00000000">
            <w:pPr>
              <w:jc w:val="center"/>
              <w:rPr>
                <w:b/>
              </w:rPr>
            </w:pPr>
            <w:r>
              <w:rPr>
                <w:b/>
              </w:rPr>
              <w:t>AND</w:t>
            </w:r>
          </w:p>
          <w:p w14:paraId="48F99709" w14:textId="77777777" w:rsidR="001966A9" w:rsidRDefault="00000000">
            <w:r>
              <w:t>Supplemental proficiency and growth data</w:t>
            </w:r>
            <w:r>
              <w:rPr>
                <w:vertAlign w:val="superscript"/>
              </w:rPr>
              <w:footnoteReference w:id="5"/>
            </w:r>
            <w:r>
              <w:t xml:space="preserve"> using </w:t>
            </w:r>
            <w:hyperlink r:id="rId12">
              <w:r>
                <w:rPr>
                  <w:color w:val="1155CC"/>
                  <w:u w:val="single"/>
                </w:rPr>
                <w:t>PED-approved</w:t>
              </w:r>
            </w:hyperlink>
            <w:r>
              <w:t xml:space="preserve"> nationally and/or state-normed assessments or, under special circumstances, with PEC-approved rationale, nationally and/or state-normed assessments with explicit growth targets and business rules for calculating the growth target as agreed to in the school’s charter contract.</w:t>
            </w:r>
          </w:p>
        </w:tc>
        <w:tc>
          <w:tcPr>
            <w:tcW w:w="5025" w:type="dxa"/>
          </w:tcPr>
          <w:p w14:paraId="2A241F6B" w14:textId="77777777" w:rsidR="001966A9" w:rsidRDefault="00000000">
            <w:r>
              <w:rPr>
                <w:b/>
                <w:color w:val="007FAC"/>
              </w:rPr>
              <w:t>Exceeds</w:t>
            </w:r>
            <w:r>
              <w:t>: 76</w:t>
            </w:r>
            <w:r>
              <w:rPr>
                <w:vertAlign w:val="superscript"/>
              </w:rPr>
              <w:t>th</w:t>
            </w:r>
            <w:r>
              <w:t xml:space="preserve"> to 99</w:t>
            </w:r>
            <w:r>
              <w:rPr>
                <w:vertAlign w:val="superscript"/>
              </w:rPr>
              <w:t>th</w:t>
            </w:r>
            <w:r>
              <w:t xml:space="preserve"> percentile on the state accountability system</w:t>
            </w:r>
          </w:p>
          <w:p w14:paraId="46D61BF8" w14:textId="77777777" w:rsidR="001966A9" w:rsidRDefault="00000000">
            <w:pPr>
              <w:jc w:val="center"/>
              <w:rPr>
                <w:b/>
              </w:rPr>
            </w:pPr>
            <w:r>
              <w:rPr>
                <w:b/>
              </w:rPr>
              <w:t>OR</w:t>
            </w:r>
          </w:p>
          <w:p w14:paraId="1EFBD99B" w14:textId="77777777" w:rsidR="001966A9" w:rsidRDefault="00000000">
            <w:r>
              <w:t>51</w:t>
            </w:r>
            <w:r>
              <w:rPr>
                <w:vertAlign w:val="superscript"/>
              </w:rPr>
              <w:t>st</w:t>
            </w:r>
            <w:r>
              <w:t xml:space="preserve"> to 75</w:t>
            </w:r>
            <w:r>
              <w:rPr>
                <w:vertAlign w:val="superscript"/>
              </w:rPr>
              <w:t>th</w:t>
            </w:r>
            <w:r>
              <w:t xml:space="preserve"> percentile on the state accountability system </w:t>
            </w:r>
            <w:r>
              <w:rPr>
                <w:b/>
              </w:rPr>
              <w:t>AND</w:t>
            </w:r>
            <w:r>
              <w:t>, based on the school's assessment and growth measure</w:t>
            </w:r>
            <w:r>
              <w:rPr>
                <w:vertAlign w:val="superscript"/>
              </w:rPr>
              <w:footnoteReference w:id="6"/>
            </w:r>
            <w:r>
              <w:t xml:space="preserve">, at least 80% of students meet one or more of the following </w:t>
            </w:r>
            <w:r>
              <w:rPr>
                <w:b/>
              </w:rPr>
              <w:t>proficiency or growth criteria</w:t>
            </w:r>
            <w:r>
              <w:rPr>
                <w:b/>
                <w:vertAlign w:val="superscript"/>
              </w:rPr>
              <w:footnoteReference w:id="7"/>
            </w:r>
            <w:r>
              <w:t xml:space="preserve"> in both reading and math:</w:t>
            </w:r>
          </w:p>
          <w:p w14:paraId="3ED7C0FD" w14:textId="77777777" w:rsidR="001966A9" w:rsidRDefault="00000000">
            <w:pPr>
              <w:numPr>
                <w:ilvl w:val="0"/>
                <w:numId w:val="2"/>
              </w:numPr>
              <w:pBdr>
                <w:top w:val="nil"/>
                <w:left w:val="nil"/>
                <w:bottom w:val="nil"/>
                <w:right w:val="nil"/>
                <w:between w:val="nil"/>
              </w:pBdr>
              <w:spacing w:line="259" w:lineRule="auto"/>
            </w:pPr>
            <w:r>
              <w:rPr>
                <w:color w:val="000000"/>
              </w:rPr>
              <w:t>At or above grade level (or grade level equivalent)</w:t>
            </w:r>
          </w:p>
          <w:p w14:paraId="76136DCB" w14:textId="77777777" w:rsidR="001966A9" w:rsidRDefault="00000000">
            <w:pPr>
              <w:numPr>
                <w:ilvl w:val="0"/>
                <w:numId w:val="2"/>
              </w:numPr>
              <w:pBdr>
                <w:top w:val="nil"/>
                <w:left w:val="nil"/>
                <w:bottom w:val="nil"/>
                <w:right w:val="nil"/>
                <w:between w:val="nil"/>
              </w:pBdr>
              <w:spacing w:line="259" w:lineRule="auto"/>
            </w:pPr>
            <w:r>
              <w:rPr>
                <w:color w:val="000000"/>
              </w:rPr>
              <w:t>Meet their growth target</w:t>
            </w:r>
          </w:p>
          <w:p w14:paraId="6267F450" w14:textId="77777777" w:rsidR="001966A9" w:rsidRDefault="00000000">
            <w:pPr>
              <w:numPr>
                <w:ilvl w:val="0"/>
                <w:numId w:val="2"/>
              </w:numPr>
              <w:pBdr>
                <w:top w:val="nil"/>
                <w:left w:val="nil"/>
                <w:bottom w:val="nil"/>
                <w:right w:val="nil"/>
                <w:between w:val="nil"/>
              </w:pBdr>
              <w:spacing w:line="259" w:lineRule="auto"/>
            </w:pPr>
            <w:r>
              <w:rPr>
                <w:color w:val="000000"/>
              </w:rPr>
              <w:t>Show the equivalent of one year’s worth of growth</w:t>
            </w:r>
          </w:p>
          <w:p w14:paraId="49148CBC" w14:textId="77777777" w:rsidR="001966A9" w:rsidRDefault="00000000">
            <w:pPr>
              <w:numPr>
                <w:ilvl w:val="0"/>
                <w:numId w:val="2"/>
              </w:numPr>
              <w:pBdr>
                <w:top w:val="nil"/>
                <w:left w:val="nil"/>
                <w:bottom w:val="nil"/>
                <w:right w:val="nil"/>
                <w:between w:val="nil"/>
              </w:pBdr>
              <w:spacing w:line="259" w:lineRule="auto"/>
            </w:pPr>
            <w:r>
              <w:rPr>
                <w:color w:val="000000"/>
              </w:rPr>
              <w:t>Other, as defined by the testing company</w:t>
            </w:r>
          </w:p>
          <w:p w14:paraId="3467E2D0" w14:textId="77777777" w:rsidR="001966A9" w:rsidRDefault="001966A9"/>
          <w:p w14:paraId="1075093A" w14:textId="77777777" w:rsidR="001966A9" w:rsidRDefault="00000000">
            <w:pPr>
              <w:spacing w:before="60"/>
            </w:pPr>
            <w:r>
              <w:rPr>
                <w:b/>
                <w:color w:val="007033"/>
              </w:rPr>
              <w:t>Meets</w:t>
            </w:r>
            <w:r>
              <w:t>: 51</w:t>
            </w:r>
            <w:r>
              <w:rPr>
                <w:vertAlign w:val="superscript"/>
              </w:rPr>
              <w:t>st</w:t>
            </w:r>
            <w:r>
              <w:t xml:space="preserve"> to 75</w:t>
            </w:r>
            <w:r>
              <w:rPr>
                <w:vertAlign w:val="superscript"/>
              </w:rPr>
              <w:t>th</w:t>
            </w:r>
            <w:r>
              <w:t xml:space="preserve"> percentile of all schools on the state accountability system</w:t>
            </w:r>
          </w:p>
          <w:p w14:paraId="74EFAA5E" w14:textId="77777777" w:rsidR="001966A9" w:rsidRDefault="00000000">
            <w:pPr>
              <w:jc w:val="center"/>
              <w:rPr>
                <w:b/>
              </w:rPr>
            </w:pPr>
            <w:r>
              <w:rPr>
                <w:b/>
              </w:rPr>
              <w:t>OR</w:t>
            </w:r>
          </w:p>
          <w:p w14:paraId="2967D01C" w14:textId="77777777" w:rsidR="001966A9" w:rsidRDefault="00000000">
            <w:r>
              <w:t>26</w:t>
            </w:r>
            <w:r>
              <w:rPr>
                <w:vertAlign w:val="superscript"/>
              </w:rPr>
              <w:t>th</w:t>
            </w:r>
            <w:r>
              <w:t xml:space="preserve"> to 50</w:t>
            </w:r>
            <w:r>
              <w:rPr>
                <w:vertAlign w:val="superscript"/>
              </w:rPr>
              <w:t>th</w:t>
            </w:r>
            <w:r>
              <w:t xml:space="preserve"> percentile on the state accountability system </w:t>
            </w:r>
            <w:r>
              <w:rPr>
                <w:b/>
              </w:rPr>
              <w:t>AND</w:t>
            </w:r>
            <w:r>
              <w:t>, based on the school's assessment and growth measure, at least 60% of students meet one or more of the proficiency or growth criteria.</w:t>
            </w:r>
          </w:p>
          <w:p w14:paraId="0EA794AC" w14:textId="77777777" w:rsidR="001966A9" w:rsidRDefault="00000000">
            <w:pPr>
              <w:spacing w:before="60"/>
              <w:rPr>
                <w:b/>
              </w:rPr>
            </w:pPr>
            <w:r>
              <w:rPr>
                <w:b/>
                <w:color w:val="FFC000"/>
              </w:rPr>
              <w:t>Working to Meet</w:t>
            </w:r>
            <w:r>
              <w:t>: 26</w:t>
            </w:r>
            <w:r>
              <w:rPr>
                <w:vertAlign w:val="superscript"/>
              </w:rPr>
              <w:t>th</w:t>
            </w:r>
            <w:r>
              <w:t xml:space="preserve"> to 50</w:t>
            </w:r>
            <w:r>
              <w:rPr>
                <w:vertAlign w:val="superscript"/>
              </w:rPr>
              <w:t>th</w:t>
            </w:r>
            <w:r>
              <w:t xml:space="preserve"> percentile of all schools</w:t>
            </w:r>
            <w:r>
              <w:rPr>
                <w:b/>
              </w:rPr>
              <w:t xml:space="preserve"> </w:t>
            </w:r>
          </w:p>
          <w:p w14:paraId="4DFF3D6F" w14:textId="77777777" w:rsidR="001966A9" w:rsidRDefault="00000000">
            <w:pPr>
              <w:spacing w:before="60"/>
              <w:jc w:val="center"/>
              <w:rPr>
                <w:b/>
              </w:rPr>
            </w:pPr>
            <w:r>
              <w:rPr>
                <w:b/>
              </w:rPr>
              <w:t>OR</w:t>
            </w:r>
          </w:p>
          <w:p w14:paraId="53E4B8F2" w14:textId="77777777" w:rsidR="001966A9" w:rsidRDefault="00000000">
            <w:pPr>
              <w:spacing w:before="60"/>
            </w:pPr>
            <w:r>
              <w:lastRenderedPageBreak/>
              <w:t>25</w:t>
            </w:r>
            <w:r>
              <w:rPr>
                <w:vertAlign w:val="superscript"/>
              </w:rPr>
              <w:t>th</w:t>
            </w:r>
            <w:r>
              <w:t xml:space="preserve"> percentile of all on the state accountability system </w:t>
            </w:r>
            <w:r>
              <w:rPr>
                <w:b/>
              </w:rPr>
              <w:t>AND</w:t>
            </w:r>
            <w:r>
              <w:t>, based on the school's assessment and growth measure, at least 50% of students meet one or more of the proficiency or growth criteria.</w:t>
            </w:r>
          </w:p>
          <w:p w14:paraId="0897EBCB" w14:textId="77777777" w:rsidR="001966A9" w:rsidRDefault="00000000">
            <w:pPr>
              <w:spacing w:before="60"/>
            </w:pPr>
            <w:r>
              <w:rPr>
                <w:b/>
                <w:color w:val="CC0000"/>
              </w:rPr>
              <w:t>Does Not Meet</w:t>
            </w:r>
            <w:r>
              <w:t>: Does not meet the criteria established for “Exceeds,” “Meets,” or "Working to Meet."</w:t>
            </w:r>
          </w:p>
        </w:tc>
      </w:tr>
      <w:tr w:rsidR="001966A9" w14:paraId="5215C7B0" w14:textId="77777777">
        <w:trPr>
          <w:trHeight w:val="315"/>
        </w:trPr>
        <w:tc>
          <w:tcPr>
            <w:tcW w:w="840" w:type="dxa"/>
            <w:shd w:val="clear" w:color="auto" w:fill="auto"/>
            <w:tcMar>
              <w:top w:w="28" w:type="dxa"/>
              <w:left w:w="28" w:type="dxa"/>
              <w:bottom w:w="28" w:type="dxa"/>
              <w:right w:w="28" w:type="dxa"/>
            </w:tcMar>
            <w:vAlign w:val="center"/>
          </w:tcPr>
          <w:p w14:paraId="1AFDFAF4" w14:textId="77777777" w:rsidR="001966A9" w:rsidRDefault="00000000">
            <w:r>
              <w:t>1.A.3.</w:t>
            </w:r>
          </w:p>
        </w:tc>
        <w:tc>
          <w:tcPr>
            <w:tcW w:w="3435" w:type="dxa"/>
          </w:tcPr>
          <w:p w14:paraId="1C912567" w14:textId="77777777" w:rsidR="001966A9" w:rsidRDefault="00000000">
            <w:r>
              <w:t xml:space="preserve">The school's overall performance on the state accountability system is replaced with a PEC-approved performance system using </w:t>
            </w:r>
            <w:hyperlink r:id="rId13">
              <w:r>
                <w:rPr>
                  <w:color w:val="1155CC"/>
                  <w:u w:val="single"/>
                </w:rPr>
                <w:t>PED-approved</w:t>
              </w:r>
            </w:hyperlink>
            <w:r>
              <w:t xml:space="preserve"> nationally normed assessments or, under special circumstances, with PEC-approved assessments that are nationally and/or state-normed with explicit growth targets and business rules for calculating the growth target as agreed to in the school’s charter contract.</w:t>
            </w:r>
          </w:p>
        </w:tc>
        <w:tc>
          <w:tcPr>
            <w:tcW w:w="5025" w:type="dxa"/>
          </w:tcPr>
          <w:p w14:paraId="0754B431" w14:textId="77777777" w:rsidR="001966A9" w:rsidRDefault="00000000">
            <w:r>
              <w:t>The school must negotiate a performance scale that is comparable to Option 1 and, based on 100 points, approved by PEC.</w:t>
            </w:r>
          </w:p>
          <w:p w14:paraId="5791721F" w14:textId="54D335DA" w:rsidR="001966A9" w:rsidRDefault="00000000">
            <w:pPr>
              <w:spacing w:before="60" w:after="60"/>
            </w:pPr>
            <w:r>
              <w:rPr>
                <w:b/>
                <w:color w:val="007FAC"/>
              </w:rPr>
              <w:t>Exceeds</w:t>
            </w:r>
            <w:r>
              <w:t>: ≥ 75% of possible points</w:t>
            </w:r>
          </w:p>
          <w:p w14:paraId="01D4038E" w14:textId="220D9795" w:rsidR="001966A9" w:rsidRDefault="00000000">
            <w:pPr>
              <w:spacing w:after="60"/>
            </w:pPr>
            <w:r>
              <w:rPr>
                <w:b/>
                <w:color w:val="007033"/>
              </w:rPr>
              <w:t>Meets</w:t>
            </w:r>
            <w:r>
              <w:t xml:space="preserve">: </w:t>
            </w:r>
            <w:r w:rsidR="00031C67">
              <w:t xml:space="preserve">≥ </w:t>
            </w:r>
            <w:r>
              <w:t xml:space="preserve">50% but </w:t>
            </w:r>
            <w:r w:rsidR="00031C67">
              <w:t>&lt;</w:t>
            </w:r>
            <w:r>
              <w:t xml:space="preserve"> 75% of possible points</w:t>
            </w:r>
          </w:p>
          <w:p w14:paraId="3D990E77" w14:textId="65CEFDBA" w:rsidR="001966A9" w:rsidRDefault="00000000">
            <w:pPr>
              <w:spacing w:after="60"/>
            </w:pPr>
            <w:r>
              <w:rPr>
                <w:b/>
                <w:color w:val="FFC000"/>
              </w:rPr>
              <w:t>Working to Meet</w:t>
            </w:r>
            <w:r>
              <w:t xml:space="preserve">: </w:t>
            </w:r>
            <w:r w:rsidR="00031C67">
              <w:t>≥</w:t>
            </w:r>
            <w:r>
              <w:t xml:space="preserve"> 25% but </w:t>
            </w:r>
            <w:r w:rsidR="00031C67">
              <w:t>&lt;</w:t>
            </w:r>
            <w:r>
              <w:t xml:space="preserve"> 50% of possible points</w:t>
            </w:r>
          </w:p>
          <w:p w14:paraId="33CCC7B2" w14:textId="77777777" w:rsidR="001966A9" w:rsidRDefault="00000000">
            <w:r>
              <w:rPr>
                <w:b/>
                <w:color w:val="CC0000"/>
              </w:rPr>
              <w:t>Does Not Meet</w:t>
            </w:r>
            <w:r>
              <w:t>: &lt; 25% of possible points</w:t>
            </w:r>
          </w:p>
        </w:tc>
      </w:tr>
      <w:tr w:rsidR="001966A9" w14:paraId="4AD9187B" w14:textId="77777777">
        <w:trPr>
          <w:trHeight w:val="315"/>
        </w:trPr>
        <w:tc>
          <w:tcPr>
            <w:tcW w:w="9300" w:type="dxa"/>
            <w:gridSpan w:val="3"/>
            <w:shd w:val="clear" w:color="auto" w:fill="F2F2F2"/>
            <w:tcMar>
              <w:top w:w="28" w:type="dxa"/>
              <w:left w:w="28" w:type="dxa"/>
              <w:bottom w:w="28" w:type="dxa"/>
              <w:right w:w="28" w:type="dxa"/>
            </w:tcMar>
            <w:vAlign w:val="center"/>
          </w:tcPr>
          <w:p w14:paraId="289A847B" w14:textId="77777777" w:rsidR="001966A9" w:rsidRDefault="00000000">
            <w:r>
              <w:rPr>
                <w:b/>
              </w:rPr>
              <w:t xml:space="preserve">1.B. Outcomes for Student Groups: </w:t>
            </w:r>
            <w:r>
              <w:t>The school ensures the following student groups demonstrate academic excellence through individual growth: male, female, low-income, English learners, students with disabilities, and race/ethnic groups: Native American, White, Black, Asian, and Hispanic.</w:t>
            </w:r>
            <w:r>
              <w:rPr>
                <w:vertAlign w:val="superscript"/>
              </w:rPr>
              <w:footnoteReference w:id="8"/>
            </w:r>
          </w:p>
        </w:tc>
      </w:tr>
      <w:tr w:rsidR="001966A9" w14:paraId="37ABD00B" w14:textId="77777777">
        <w:trPr>
          <w:trHeight w:val="330"/>
        </w:trPr>
        <w:tc>
          <w:tcPr>
            <w:tcW w:w="840" w:type="dxa"/>
            <w:shd w:val="clear" w:color="auto" w:fill="auto"/>
            <w:tcMar>
              <w:top w:w="28" w:type="dxa"/>
              <w:left w:w="28" w:type="dxa"/>
              <w:bottom w:w="28" w:type="dxa"/>
              <w:right w:w="28" w:type="dxa"/>
            </w:tcMar>
            <w:vAlign w:val="center"/>
          </w:tcPr>
          <w:p w14:paraId="058D1090" w14:textId="77777777" w:rsidR="001966A9" w:rsidRDefault="00000000">
            <w:r>
              <w:t>1.B.1.</w:t>
            </w:r>
          </w:p>
        </w:tc>
        <w:tc>
          <w:tcPr>
            <w:tcW w:w="3435" w:type="dxa"/>
          </w:tcPr>
          <w:p w14:paraId="0FC10AAE" w14:textId="77777777" w:rsidR="001966A9" w:rsidRDefault="00000000">
            <w:r>
              <w:t>The school's performance on the state accountability system for unmasked student groups using the state-generated rating, if applicable.</w:t>
            </w:r>
          </w:p>
        </w:tc>
        <w:tc>
          <w:tcPr>
            <w:tcW w:w="5025" w:type="dxa"/>
          </w:tcPr>
          <w:p w14:paraId="7BC368AF" w14:textId="77777777" w:rsidR="001966A9" w:rsidRDefault="00000000">
            <w:r>
              <w:rPr>
                <w:b/>
                <w:color w:val="007FAC"/>
              </w:rPr>
              <w:t>Exceeds</w:t>
            </w:r>
            <w:r>
              <w:t xml:space="preserve">: In reading and math, each student group </w:t>
            </w:r>
          </w:p>
          <w:p w14:paraId="1293F99D" w14:textId="77777777" w:rsidR="001966A9" w:rsidRDefault="00000000">
            <w:r>
              <w:t>has a median (Student Growth Percentile)</w:t>
            </w:r>
            <w:r>
              <w:rPr>
                <w:vertAlign w:val="superscript"/>
              </w:rPr>
              <w:footnoteReference w:id="9"/>
            </w:r>
            <w:r>
              <w:t xml:space="preserve"> SGP of at least 60</w:t>
            </w:r>
          </w:p>
          <w:p w14:paraId="51DBAF36" w14:textId="77777777" w:rsidR="001966A9" w:rsidRDefault="00000000">
            <w:pPr>
              <w:spacing w:before="60" w:after="60"/>
            </w:pPr>
            <w:r>
              <w:rPr>
                <w:b/>
                <w:color w:val="007033"/>
              </w:rPr>
              <w:t>Meets</w:t>
            </w:r>
            <w:r>
              <w:t xml:space="preserve">: In reading and math, each student group </w:t>
            </w:r>
          </w:p>
          <w:p w14:paraId="73DD86C7" w14:textId="77777777" w:rsidR="001966A9" w:rsidRDefault="00000000">
            <w:pPr>
              <w:spacing w:after="60"/>
            </w:pPr>
            <w:r>
              <w:t>has a median SGP of at least 45</w:t>
            </w:r>
          </w:p>
          <w:p w14:paraId="14886A2B" w14:textId="77777777" w:rsidR="001966A9" w:rsidRDefault="00000000">
            <w:pPr>
              <w:spacing w:before="60" w:after="60"/>
            </w:pPr>
            <w:r>
              <w:rPr>
                <w:b/>
                <w:color w:val="FFC000"/>
              </w:rPr>
              <w:t>Working to Meet</w:t>
            </w:r>
            <w:r>
              <w:t>: In reading and math, at least half of student groups have a median SGP of at least 35</w:t>
            </w:r>
          </w:p>
          <w:p w14:paraId="505DC06C" w14:textId="77777777" w:rsidR="001966A9" w:rsidRDefault="00000000">
            <w:pPr>
              <w:spacing w:before="60" w:after="60"/>
            </w:pPr>
            <w:r>
              <w:rPr>
                <w:b/>
                <w:color w:val="CC0000"/>
              </w:rPr>
              <w:t>Does Not Meet</w:t>
            </w:r>
            <w:r>
              <w:t>: In reading and math, over half of the student groups have a median SGP of below 35</w:t>
            </w:r>
          </w:p>
        </w:tc>
      </w:tr>
      <w:tr w:rsidR="001966A9" w14:paraId="6130317B" w14:textId="77777777">
        <w:trPr>
          <w:trHeight w:val="330"/>
        </w:trPr>
        <w:tc>
          <w:tcPr>
            <w:tcW w:w="840" w:type="dxa"/>
            <w:shd w:val="clear" w:color="auto" w:fill="auto"/>
            <w:tcMar>
              <w:top w:w="28" w:type="dxa"/>
              <w:left w:w="28" w:type="dxa"/>
              <w:bottom w:w="28" w:type="dxa"/>
              <w:right w:w="28" w:type="dxa"/>
            </w:tcMar>
            <w:vAlign w:val="center"/>
          </w:tcPr>
          <w:p w14:paraId="5559038C" w14:textId="77777777" w:rsidR="001966A9" w:rsidRDefault="00000000">
            <w:r>
              <w:t>1.B.2.</w:t>
            </w:r>
          </w:p>
        </w:tc>
        <w:tc>
          <w:tcPr>
            <w:tcW w:w="3435" w:type="dxa"/>
          </w:tcPr>
          <w:p w14:paraId="52E9EB9F" w14:textId="77777777" w:rsidR="001966A9" w:rsidRDefault="00000000">
            <w:r>
              <w:t xml:space="preserve">The school’s performance on the state accountability system by special student groups, </w:t>
            </w:r>
          </w:p>
          <w:p w14:paraId="730123D3" w14:textId="77777777" w:rsidR="001966A9" w:rsidRDefault="00000000">
            <w:pPr>
              <w:jc w:val="center"/>
              <w:rPr>
                <w:b/>
              </w:rPr>
            </w:pPr>
            <w:r>
              <w:rPr>
                <w:b/>
              </w:rPr>
              <w:t>AND</w:t>
            </w:r>
          </w:p>
          <w:p w14:paraId="0DC85988" w14:textId="77777777" w:rsidR="001966A9" w:rsidRDefault="00000000">
            <w:r>
              <w:t>Growth data</w:t>
            </w:r>
            <w:r>
              <w:rPr>
                <w:vertAlign w:val="superscript"/>
              </w:rPr>
              <w:footnoteReference w:id="10"/>
            </w:r>
            <w:r>
              <w:t xml:space="preserve"> using </w:t>
            </w:r>
            <w:hyperlink r:id="rId14">
              <w:r>
                <w:rPr>
                  <w:color w:val="1155CC"/>
                  <w:u w:val="single"/>
                </w:rPr>
                <w:t>PED-approved</w:t>
              </w:r>
            </w:hyperlink>
            <w:r>
              <w:t xml:space="preserve"> nationally normed assessments or, under special circumstances, with PEC-approved rationale, nationally and/or state-normed assessments with explicit growth targets and business rules for calculating the </w:t>
            </w:r>
            <w:r>
              <w:lastRenderedPageBreak/>
              <w:t>growth target as agreed to in the school’s charter contract.</w:t>
            </w:r>
            <w:r>
              <w:rPr>
                <w:vertAlign w:val="superscript"/>
              </w:rPr>
              <w:footnoteReference w:id="11"/>
            </w:r>
          </w:p>
        </w:tc>
        <w:tc>
          <w:tcPr>
            <w:tcW w:w="5025" w:type="dxa"/>
          </w:tcPr>
          <w:p w14:paraId="5A1F5DE4" w14:textId="77777777" w:rsidR="001966A9" w:rsidRDefault="00000000">
            <w:pPr>
              <w:spacing w:before="60" w:after="60"/>
            </w:pPr>
            <w:r>
              <w:rPr>
                <w:b/>
                <w:color w:val="007FAC"/>
              </w:rPr>
              <w:lastRenderedPageBreak/>
              <w:t>Exceeds</w:t>
            </w:r>
            <w:r>
              <w:t xml:space="preserve">: In reading and math, each student group </w:t>
            </w:r>
          </w:p>
          <w:p w14:paraId="0061E978" w14:textId="77777777" w:rsidR="001966A9" w:rsidRDefault="00000000">
            <w:pPr>
              <w:spacing w:before="60" w:after="60"/>
            </w:pPr>
            <w:r>
              <w:t xml:space="preserve">has a median SGP of at least 60 </w:t>
            </w:r>
            <w:r>
              <w:rPr>
                <w:b/>
              </w:rPr>
              <w:t>OR</w:t>
            </w:r>
            <w:r>
              <w:t xml:space="preserve"> at least 70% of students meet their growth target on the school-based accountability system</w:t>
            </w:r>
          </w:p>
          <w:p w14:paraId="47465AD0" w14:textId="77777777" w:rsidR="001966A9" w:rsidRDefault="00000000">
            <w:pPr>
              <w:spacing w:before="60"/>
            </w:pPr>
            <w:r>
              <w:rPr>
                <w:b/>
                <w:color w:val="007033"/>
              </w:rPr>
              <w:t>Meets</w:t>
            </w:r>
            <w:r>
              <w:t xml:space="preserve">: In reading and math, each student group </w:t>
            </w:r>
          </w:p>
          <w:p w14:paraId="7116BC92" w14:textId="77777777" w:rsidR="001966A9" w:rsidRDefault="00000000">
            <w:r>
              <w:t xml:space="preserve">has a median SGP of at least 45 </w:t>
            </w:r>
            <w:r>
              <w:rPr>
                <w:b/>
              </w:rPr>
              <w:t>OR</w:t>
            </w:r>
            <w:r>
              <w:t xml:space="preserve"> at least 60% of students meet their growth target, as per their assessment guidelines </w:t>
            </w:r>
          </w:p>
          <w:p w14:paraId="104D218E" w14:textId="77777777" w:rsidR="001966A9" w:rsidRDefault="00000000">
            <w:r>
              <w:rPr>
                <w:b/>
                <w:color w:val="FFC000"/>
              </w:rPr>
              <w:t>Working to Meet</w:t>
            </w:r>
            <w:r>
              <w:t>: Does not meet the criteria for Meets or Exceeds, but the school's performance is higher than identified in Does Not Meet</w:t>
            </w:r>
          </w:p>
          <w:p w14:paraId="7A0D0971" w14:textId="77777777" w:rsidR="001966A9" w:rsidRDefault="00000000">
            <w:r>
              <w:rPr>
                <w:b/>
                <w:color w:val="CC0000"/>
              </w:rPr>
              <w:lastRenderedPageBreak/>
              <w:t>Does Not Meet</w:t>
            </w:r>
            <w:r>
              <w:t xml:space="preserve">: In reading and math, over half of the student groups have a median SGP of below 35 </w:t>
            </w:r>
            <w:r>
              <w:rPr>
                <w:b/>
              </w:rPr>
              <w:t>OR</w:t>
            </w:r>
            <w:r>
              <w:t xml:space="preserve"> over half of the student groups have fewer than 30% of students meet their growth target, as per their assessment guidelines</w:t>
            </w:r>
          </w:p>
        </w:tc>
      </w:tr>
      <w:tr w:rsidR="001966A9" w14:paraId="59041461" w14:textId="77777777">
        <w:trPr>
          <w:trHeight w:val="330"/>
        </w:trPr>
        <w:tc>
          <w:tcPr>
            <w:tcW w:w="840" w:type="dxa"/>
            <w:shd w:val="clear" w:color="auto" w:fill="auto"/>
            <w:tcMar>
              <w:top w:w="28" w:type="dxa"/>
              <w:left w:w="28" w:type="dxa"/>
              <w:bottom w:w="28" w:type="dxa"/>
              <w:right w:w="28" w:type="dxa"/>
            </w:tcMar>
            <w:vAlign w:val="center"/>
          </w:tcPr>
          <w:p w14:paraId="10E71839" w14:textId="77777777" w:rsidR="001966A9" w:rsidRDefault="00000000">
            <w:r>
              <w:t>1.B.3.</w:t>
            </w:r>
          </w:p>
        </w:tc>
        <w:tc>
          <w:tcPr>
            <w:tcW w:w="3435" w:type="dxa"/>
          </w:tcPr>
          <w:p w14:paraId="0C9902B3" w14:textId="77777777" w:rsidR="001966A9" w:rsidRDefault="00000000">
            <w:r>
              <w:t xml:space="preserve">The school's performance on the state accountability system for student groups is replaced with a PEC-approved performance system using </w:t>
            </w:r>
            <w:hyperlink r:id="rId15">
              <w:r>
                <w:rPr>
                  <w:color w:val="1155CC"/>
                  <w:u w:val="single"/>
                </w:rPr>
                <w:t>PED-approved</w:t>
              </w:r>
            </w:hyperlink>
            <w:r>
              <w:t xml:space="preserve"> nationally normed assessments or, under special circumstances, with PEC-approved assessments that are nationally and/or state-normed assessments with explicit growth targets and business rules for calculating the growth target as agreed to in the school’s charter contract.</w:t>
            </w:r>
          </w:p>
        </w:tc>
        <w:tc>
          <w:tcPr>
            <w:tcW w:w="5025" w:type="dxa"/>
          </w:tcPr>
          <w:p w14:paraId="65094526" w14:textId="77777777" w:rsidR="001966A9" w:rsidRDefault="00000000">
            <w:p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color w:val="000000"/>
              </w:rPr>
              <w:t>The school must negotiate a performance scale that is comparable to Option 1 and, based on 100 points, approved by PEC.</w:t>
            </w:r>
          </w:p>
          <w:p w14:paraId="2FAE9E85" w14:textId="77777777" w:rsidR="001966A9" w:rsidRDefault="001966A9"/>
        </w:tc>
      </w:tr>
    </w:tbl>
    <w:tbl>
      <w:tblPr>
        <w:tblStyle w:val="afff3"/>
        <w:tblW w:w="9306"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6"/>
        <w:gridCol w:w="5040"/>
      </w:tblGrid>
      <w:tr w:rsidR="001966A9" w14:paraId="2C2EAE6C" w14:textId="77777777">
        <w:trPr>
          <w:trHeight w:val="330"/>
        </w:trPr>
        <w:tc>
          <w:tcPr>
            <w:tcW w:w="9306" w:type="dxa"/>
            <w:gridSpan w:val="2"/>
            <w:shd w:val="clear" w:color="auto" w:fill="F2F2F2"/>
            <w:tcMar>
              <w:top w:w="28" w:type="dxa"/>
              <w:left w:w="28" w:type="dxa"/>
              <w:bottom w:w="28" w:type="dxa"/>
              <w:right w:w="28" w:type="dxa"/>
            </w:tcMar>
            <w:vAlign w:val="center"/>
          </w:tcPr>
          <w:p w14:paraId="53BD9CA1" w14:textId="77777777" w:rsidR="001966A9" w:rsidRDefault="00000000">
            <w:r>
              <w:rPr>
                <w:b/>
              </w:rPr>
              <w:t xml:space="preserve">1.C. Participation Rate: </w:t>
            </w:r>
            <w:r>
              <w:t>The school assesses student progress and achievement annually.</w:t>
            </w:r>
          </w:p>
        </w:tc>
      </w:tr>
      <w:tr w:rsidR="001966A9" w14:paraId="27B4B211" w14:textId="77777777">
        <w:trPr>
          <w:trHeight w:val="1963"/>
        </w:trPr>
        <w:tc>
          <w:tcPr>
            <w:tcW w:w="4266" w:type="dxa"/>
            <w:shd w:val="clear" w:color="auto" w:fill="auto"/>
            <w:tcMar>
              <w:top w:w="28" w:type="dxa"/>
              <w:left w:w="28" w:type="dxa"/>
              <w:bottom w:w="28" w:type="dxa"/>
              <w:right w:w="28" w:type="dxa"/>
            </w:tcMar>
            <w:vAlign w:val="center"/>
          </w:tcPr>
          <w:p w14:paraId="15E62839" w14:textId="77777777" w:rsidR="001966A9" w:rsidRDefault="00000000">
            <w:r>
              <w:t>The school complies with state and contractual assessment requirements.</w:t>
            </w:r>
          </w:p>
        </w:tc>
        <w:tc>
          <w:tcPr>
            <w:tcW w:w="5040" w:type="dxa"/>
          </w:tcPr>
          <w:p w14:paraId="39A1D505" w14:textId="77777777" w:rsidR="001966A9" w:rsidRDefault="00000000">
            <w:r>
              <w:t>Participation in all state-wide assessments:</w:t>
            </w:r>
          </w:p>
          <w:p w14:paraId="1075F125" w14:textId="77777777" w:rsidR="001966A9" w:rsidRDefault="00000000">
            <w:pPr>
              <w:spacing w:before="60" w:after="60"/>
            </w:pPr>
            <w:r>
              <w:rPr>
                <w:b/>
                <w:color w:val="007FAC"/>
              </w:rPr>
              <w:t>Exceeds</w:t>
            </w:r>
            <w:r>
              <w:t xml:space="preserve">: ≥ 95% of all students </w:t>
            </w:r>
            <w:r>
              <w:rPr>
                <w:b/>
              </w:rPr>
              <w:t xml:space="preserve">AND </w:t>
            </w:r>
            <w:r>
              <w:t>of every student group</w:t>
            </w:r>
          </w:p>
          <w:p w14:paraId="17B0C121" w14:textId="77777777" w:rsidR="001966A9" w:rsidRDefault="00000000">
            <w:pPr>
              <w:spacing w:before="60" w:after="60"/>
            </w:pPr>
            <w:r>
              <w:rPr>
                <w:b/>
                <w:color w:val="007033"/>
              </w:rPr>
              <w:t>Meets</w:t>
            </w:r>
            <w:r>
              <w:t xml:space="preserve">: ≥ 95% of all students </w:t>
            </w:r>
          </w:p>
          <w:p w14:paraId="72EDDAAA" w14:textId="77777777" w:rsidR="001966A9" w:rsidRDefault="00000000">
            <w:pPr>
              <w:spacing w:after="60"/>
            </w:pPr>
            <w:r>
              <w:rPr>
                <w:b/>
                <w:color w:val="FFC000"/>
              </w:rPr>
              <w:t>Working to Meet</w:t>
            </w:r>
            <w:r>
              <w:t>: &lt; 95% but ≥ 85% of all students</w:t>
            </w:r>
          </w:p>
          <w:p w14:paraId="29EA9722" w14:textId="77777777" w:rsidR="001966A9" w:rsidRDefault="00000000">
            <w:r>
              <w:rPr>
                <w:b/>
                <w:color w:val="CC0000"/>
              </w:rPr>
              <w:t>Does Not Meet</w:t>
            </w:r>
            <w:r>
              <w:t>: &lt; 85% of all students</w:t>
            </w:r>
          </w:p>
        </w:tc>
      </w:tr>
      <w:tr w:rsidR="001966A9" w14:paraId="1E7D1C28" w14:textId="77777777">
        <w:trPr>
          <w:trHeight w:val="330"/>
        </w:trPr>
        <w:tc>
          <w:tcPr>
            <w:tcW w:w="4266" w:type="dxa"/>
            <w:shd w:val="clear" w:color="auto" w:fill="auto"/>
            <w:tcMar>
              <w:top w:w="28" w:type="dxa"/>
              <w:left w:w="28" w:type="dxa"/>
              <w:bottom w:w="28" w:type="dxa"/>
              <w:right w:w="28" w:type="dxa"/>
            </w:tcMar>
            <w:vAlign w:val="center"/>
          </w:tcPr>
          <w:p w14:paraId="5A20114A" w14:textId="77777777" w:rsidR="001966A9" w:rsidRDefault="00000000">
            <w:r>
              <w:rPr>
                <w:b/>
              </w:rPr>
              <w:t>Schools selecting option 1.A.3 and option 1.B.3</w:t>
            </w:r>
            <w:r>
              <w:t>:  The school may propose an alternative definition of students who take the test other than full academic year students.</w:t>
            </w:r>
          </w:p>
        </w:tc>
        <w:tc>
          <w:tcPr>
            <w:tcW w:w="5040" w:type="dxa"/>
          </w:tcPr>
          <w:p w14:paraId="1B4418EE" w14:textId="77777777" w:rsidR="001966A9" w:rsidRDefault="001966A9"/>
        </w:tc>
      </w:tr>
    </w:tbl>
    <w:p w14:paraId="6F03FC38" w14:textId="77777777" w:rsidR="0046046C" w:rsidRDefault="0046046C">
      <w:r>
        <w:br w:type="page"/>
      </w:r>
    </w:p>
    <w:tbl>
      <w:tblPr>
        <w:tblStyle w:val="afff3"/>
        <w:tblW w:w="9306"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6"/>
        <w:gridCol w:w="3420"/>
        <w:gridCol w:w="5040"/>
      </w:tblGrid>
      <w:tr w:rsidR="001966A9" w14:paraId="6E214B3C" w14:textId="77777777">
        <w:trPr>
          <w:trHeight w:val="330"/>
        </w:trPr>
        <w:tc>
          <w:tcPr>
            <w:tcW w:w="9306" w:type="dxa"/>
            <w:gridSpan w:val="3"/>
            <w:shd w:val="clear" w:color="auto" w:fill="F2F2F2"/>
            <w:tcMar>
              <w:top w:w="28" w:type="dxa"/>
              <w:left w:w="28" w:type="dxa"/>
              <w:bottom w:w="28" w:type="dxa"/>
              <w:right w:w="28" w:type="dxa"/>
            </w:tcMar>
            <w:vAlign w:val="center"/>
          </w:tcPr>
          <w:p w14:paraId="40ADFF20" w14:textId="0DCF9140" w:rsidR="001966A9" w:rsidRDefault="00000000">
            <w:r>
              <w:rPr>
                <w:b/>
              </w:rPr>
              <w:lastRenderedPageBreak/>
              <w:t xml:space="preserve">2.A. Mission Goals: </w:t>
            </w:r>
            <w:r>
              <w:t>The school's education program effectively supports mission implementation, student academic success, and overall student well-being that supports the community in which they serve.</w:t>
            </w:r>
            <w:r>
              <w:rPr>
                <w:vertAlign w:val="superscript"/>
              </w:rPr>
              <w:footnoteReference w:id="12"/>
            </w:r>
          </w:p>
        </w:tc>
      </w:tr>
      <w:tr w:rsidR="001966A9" w14:paraId="7D0C7730" w14:textId="77777777">
        <w:trPr>
          <w:trHeight w:val="330"/>
        </w:trPr>
        <w:tc>
          <w:tcPr>
            <w:tcW w:w="846" w:type="dxa"/>
            <w:shd w:val="clear" w:color="auto" w:fill="auto"/>
            <w:tcMar>
              <w:top w:w="28" w:type="dxa"/>
              <w:left w:w="28" w:type="dxa"/>
              <w:bottom w:w="28" w:type="dxa"/>
              <w:right w:w="28" w:type="dxa"/>
            </w:tcMar>
            <w:vAlign w:val="center"/>
          </w:tcPr>
          <w:p w14:paraId="0E502A1F" w14:textId="77777777" w:rsidR="001966A9" w:rsidRDefault="00000000">
            <w:r>
              <w:t>2.A.1.</w:t>
            </w:r>
          </w:p>
        </w:tc>
        <w:tc>
          <w:tcPr>
            <w:tcW w:w="3420" w:type="dxa"/>
          </w:tcPr>
          <w:p w14:paraId="346C9B57" w14:textId="77777777" w:rsidR="001966A9" w:rsidRDefault="00000000">
            <w:r>
              <w:t>Provide ONE Mission-Specific Goal that covers and assess all students at the school related to the School mission.</w:t>
            </w:r>
          </w:p>
          <w:p w14:paraId="4590154C" w14:textId="77777777" w:rsidR="001966A9" w:rsidRDefault="001966A9"/>
          <w:p w14:paraId="438DE365" w14:textId="77777777" w:rsidR="001966A9" w:rsidRDefault="00000000">
            <w:r>
              <w:t>Within the charter contract, briefly describe what the school is doing to meet its mission and how it will be measured</w:t>
            </w:r>
            <w:r>
              <w:rPr>
                <w:vertAlign w:val="superscript"/>
              </w:rPr>
              <w:footnoteReference w:id="13"/>
            </w:r>
            <w:r>
              <w:t xml:space="preserve"> to demonstrate that students are better off as a result.</w:t>
            </w:r>
          </w:p>
          <w:p w14:paraId="35596AEA" w14:textId="77777777" w:rsidR="001966A9" w:rsidRDefault="001966A9"/>
          <w:p w14:paraId="426768F3" w14:textId="77777777" w:rsidR="001966A9" w:rsidRDefault="00000000">
            <w:pPr>
              <w:spacing w:before="60"/>
            </w:pPr>
            <w:r>
              <w:rPr>
                <w:b/>
              </w:rPr>
              <w:t>Supporting Narrative</w:t>
            </w:r>
            <w:r>
              <w:t xml:space="preserve">: Using </w:t>
            </w:r>
            <w:hyperlink r:id="rId16">
              <w:r>
                <w:rPr>
                  <w:color w:val="0563C1"/>
                  <w:u w:val="single"/>
                </w:rPr>
                <w:t>Results-Based Accountability</w:t>
              </w:r>
            </w:hyperlink>
            <w:r>
              <w:t xml:space="preserve"> (RBA) as a model, reflect on the following questions: How much did the school do? How well did the school do it? Is anyone better off as a result? How do you know?</w:t>
            </w:r>
          </w:p>
          <w:p w14:paraId="1432193B" w14:textId="77777777" w:rsidR="001966A9" w:rsidRDefault="001966A9"/>
        </w:tc>
        <w:tc>
          <w:tcPr>
            <w:tcW w:w="5040" w:type="dxa"/>
            <w:vMerge w:val="restart"/>
          </w:tcPr>
          <w:p w14:paraId="60FEB5F0" w14:textId="77777777" w:rsidR="001966A9" w:rsidRDefault="00000000">
            <w:pPr>
              <w:spacing w:before="60"/>
            </w:pPr>
            <w:r>
              <w:rPr>
                <w:b/>
              </w:rPr>
              <w:t>Supporting Narrative</w:t>
            </w:r>
            <w:r>
              <w:t xml:space="preserve">: Using </w:t>
            </w:r>
            <w:hyperlink r:id="rId17">
              <w:r>
                <w:rPr>
                  <w:color w:val="0563C1"/>
                  <w:u w:val="single"/>
                </w:rPr>
                <w:t>Results-Based Accountability</w:t>
              </w:r>
            </w:hyperlink>
            <w:r>
              <w:t xml:space="preserve"> (RBA) as a model, reflect on the following questions: How much did the school do? How well did the school do it? Is anyone better off as a result? How do you know?</w:t>
            </w:r>
          </w:p>
          <w:p w14:paraId="2696994C" w14:textId="77777777" w:rsidR="001966A9" w:rsidRDefault="001966A9"/>
          <w:p w14:paraId="7A83BBAB" w14:textId="77777777" w:rsidR="001966A9" w:rsidRDefault="00000000">
            <w:pPr>
              <w:spacing w:before="60" w:after="60"/>
            </w:pPr>
            <w:r>
              <w:rPr>
                <w:b/>
                <w:color w:val="007FAC"/>
              </w:rPr>
              <w:t>Exceeds</w:t>
            </w:r>
            <w:r>
              <w:t>: exemplary performance as set forth in this Performance Framework</w:t>
            </w:r>
          </w:p>
          <w:p w14:paraId="2AC37EC4" w14:textId="77777777" w:rsidR="001966A9" w:rsidRDefault="00000000">
            <w:pPr>
              <w:spacing w:before="60" w:after="60"/>
            </w:pPr>
            <w:r>
              <w:rPr>
                <w:b/>
                <w:color w:val="007033"/>
              </w:rPr>
              <w:t>Meets</w:t>
            </w:r>
            <w:r>
              <w:t>: meets performance as set forth in this Performance Framework</w:t>
            </w:r>
          </w:p>
          <w:p w14:paraId="28E2F18F" w14:textId="77777777" w:rsidR="001966A9" w:rsidRDefault="00000000">
            <w:pPr>
              <w:spacing w:before="60" w:after="60"/>
            </w:pPr>
            <w:r>
              <w:rPr>
                <w:b/>
                <w:color w:val="FFC000"/>
              </w:rPr>
              <w:t>Working to Meet</w:t>
            </w:r>
            <w:r>
              <w:t>: earns working to meet performance as set forth in this Performance Framework</w:t>
            </w:r>
          </w:p>
          <w:p w14:paraId="2559B1F3" w14:textId="77777777" w:rsidR="001966A9" w:rsidRDefault="00000000">
            <w:pPr>
              <w:spacing w:before="60" w:after="60"/>
            </w:pPr>
            <w:r>
              <w:rPr>
                <w:b/>
                <w:color w:val="CC0000"/>
              </w:rPr>
              <w:t>Does Not Meet</w:t>
            </w:r>
            <w:r>
              <w:t xml:space="preserve">: does not meet performance as set forth in this Performance Framework </w:t>
            </w:r>
          </w:p>
        </w:tc>
      </w:tr>
      <w:tr w:rsidR="001966A9" w14:paraId="5356C484" w14:textId="77777777">
        <w:trPr>
          <w:trHeight w:val="330"/>
        </w:trPr>
        <w:tc>
          <w:tcPr>
            <w:tcW w:w="846" w:type="dxa"/>
            <w:shd w:val="clear" w:color="auto" w:fill="auto"/>
            <w:tcMar>
              <w:top w:w="28" w:type="dxa"/>
              <w:left w:w="28" w:type="dxa"/>
              <w:bottom w:w="28" w:type="dxa"/>
              <w:right w:w="28" w:type="dxa"/>
            </w:tcMar>
            <w:vAlign w:val="center"/>
          </w:tcPr>
          <w:p w14:paraId="62456A51" w14:textId="77777777" w:rsidR="001966A9" w:rsidRDefault="00000000">
            <w:r>
              <w:t>2.A.2.</w:t>
            </w:r>
          </w:p>
        </w:tc>
        <w:tc>
          <w:tcPr>
            <w:tcW w:w="3420" w:type="dxa"/>
          </w:tcPr>
          <w:p w14:paraId="1C0C8543" w14:textId="77777777" w:rsidR="001966A9" w:rsidRDefault="00000000">
            <w:r>
              <w:t>Schools may optionally add a second Mission-Specific Goal into their charter contract that follows the guidance under the same guidelines as for Option 2.A.1. The school will receive a rating for each goal.</w:t>
            </w:r>
          </w:p>
        </w:tc>
        <w:tc>
          <w:tcPr>
            <w:tcW w:w="5040" w:type="dxa"/>
            <w:vMerge/>
          </w:tcPr>
          <w:p w14:paraId="27611B08" w14:textId="77777777" w:rsidR="001966A9" w:rsidRDefault="001966A9">
            <w:pPr>
              <w:widowControl w:val="0"/>
              <w:pBdr>
                <w:top w:val="nil"/>
                <w:left w:val="nil"/>
                <w:bottom w:val="nil"/>
                <w:right w:val="nil"/>
                <w:between w:val="nil"/>
              </w:pBdr>
              <w:spacing w:line="276" w:lineRule="auto"/>
            </w:pPr>
          </w:p>
        </w:tc>
      </w:tr>
    </w:tbl>
    <w:p w14:paraId="3C1D3181" w14:textId="77777777" w:rsidR="0046046C" w:rsidRDefault="0046046C">
      <w:r>
        <w:br w:type="page"/>
      </w:r>
    </w:p>
    <w:tbl>
      <w:tblPr>
        <w:tblStyle w:val="afff3"/>
        <w:tblW w:w="9306"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6"/>
        <w:gridCol w:w="5040"/>
      </w:tblGrid>
      <w:tr w:rsidR="001966A9" w14:paraId="0A7FDEBD" w14:textId="77777777">
        <w:trPr>
          <w:trHeight w:val="330"/>
        </w:trPr>
        <w:tc>
          <w:tcPr>
            <w:tcW w:w="9306" w:type="dxa"/>
            <w:gridSpan w:val="2"/>
            <w:shd w:val="clear" w:color="auto" w:fill="F2F2F2"/>
            <w:tcMar>
              <w:top w:w="28" w:type="dxa"/>
              <w:left w:w="28" w:type="dxa"/>
              <w:bottom w:w="28" w:type="dxa"/>
              <w:right w:w="28" w:type="dxa"/>
            </w:tcMar>
            <w:vAlign w:val="center"/>
          </w:tcPr>
          <w:p w14:paraId="42BDE826" w14:textId="06EFE47D" w:rsidR="001966A9" w:rsidRDefault="00000000">
            <w:r>
              <w:rPr>
                <w:b/>
              </w:rPr>
              <w:lastRenderedPageBreak/>
              <w:t xml:space="preserve">2.B. Education Program Implementation: </w:t>
            </w:r>
            <w:r>
              <w:t>The school's education program fulfills a need in the community in which they serve, as documented in their charter contract and PEC-approved amendments.</w:t>
            </w:r>
          </w:p>
        </w:tc>
      </w:tr>
      <w:tr w:rsidR="001966A9" w14:paraId="26FFBA17" w14:textId="77777777">
        <w:trPr>
          <w:trHeight w:val="345"/>
        </w:trPr>
        <w:tc>
          <w:tcPr>
            <w:tcW w:w="4266" w:type="dxa"/>
            <w:shd w:val="clear" w:color="auto" w:fill="auto"/>
            <w:tcMar>
              <w:top w:w="28" w:type="dxa"/>
              <w:left w:w="28" w:type="dxa"/>
              <w:bottom w:w="28" w:type="dxa"/>
              <w:right w:w="28" w:type="dxa"/>
            </w:tcMar>
            <w:vAlign w:val="center"/>
          </w:tcPr>
          <w:p w14:paraId="66909F79" w14:textId="77777777" w:rsidR="001966A9" w:rsidRDefault="00000000">
            <w:r>
              <w:t>The school is implementing the program as outlined in its charter contract.</w:t>
            </w:r>
          </w:p>
        </w:tc>
        <w:tc>
          <w:tcPr>
            <w:tcW w:w="5040" w:type="dxa"/>
          </w:tcPr>
          <w:p w14:paraId="5542C23E" w14:textId="77777777" w:rsidR="001966A9" w:rsidRDefault="00000000">
            <w:pPr>
              <w:spacing w:before="60" w:after="60"/>
            </w:pPr>
            <w:r>
              <w:t>During the annual site visit conducted by CSD:</w:t>
            </w:r>
          </w:p>
          <w:p w14:paraId="7D22A3D4" w14:textId="77777777" w:rsidR="001966A9" w:rsidRDefault="00000000">
            <w:pPr>
              <w:spacing w:before="60" w:after="60"/>
            </w:pPr>
            <w:r>
              <w:rPr>
                <w:b/>
                <w:color w:val="007033"/>
              </w:rPr>
              <w:t>Meets</w:t>
            </w:r>
            <w:r>
              <w:t>: All elements of the education program as outlined in the charter contract are implemented when CSD does its annual site visit review.</w:t>
            </w:r>
          </w:p>
          <w:p w14:paraId="34F3FE04" w14:textId="77777777" w:rsidR="001966A9" w:rsidRDefault="00000000">
            <w:pPr>
              <w:spacing w:after="60"/>
            </w:pPr>
            <w:r>
              <w:rPr>
                <w:b/>
                <w:color w:val="FFC000"/>
              </w:rPr>
              <w:t>Working to Meet</w:t>
            </w:r>
            <w:r>
              <w:t>: Due to lack of observable evidence, CSD is unable to confirm that all elements of the education program as outlined in the charter contract are implemented at its annual site visit review, but the school is able to submit evidence within 90 days of the review to confirm implementation.</w:t>
            </w:r>
          </w:p>
          <w:p w14:paraId="0F64BEFD" w14:textId="77777777" w:rsidR="001966A9" w:rsidRDefault="00000000">
            <w:r>
              <w:rPr>
                <w:b/>
                <w:color w:val="CC0000"/>
              </w:rPr>
              <w:t>Does Not Meet</w:t>
            </w:r>
            <w:r>
              <w:t>: One or more elements of the school’s education program as outlined in the charter contract are not implemented when CSD does its annual site visit review nor submitted within 90 days of the review.</w:t>
            </w:r>
          </w:p>
        </w:tc>
      </w:tr>
      <w:tr w:rsidR="001966A9" w14:paraId="0B60417B" w14:textId="77777777">
        <w:trPr>
          <w:trHeight w:val="345"/>
        </w:trPr>
        <w:tc>
          <w:tcPr>
            <w:tcW w:w="9306" w:type="dxa"/>
            <w:gridSpan w:val="2"/>
            <w:shd w:val="clear" w:color="auto" w:fill="F2F2F2"/>
            <w:tcMar>
              <w:top w:w="28" w:type="dxa"/>
              <w:left w:w="28" w:type="dxa"/>
              <w:bottom w:w="28" w:type="dxa"/>
              <w:right w:w="28" w:type="dxa"/>
            </w:tcMar>
            <w:vAlign w:val="center"/>
          </w:tcPr>
          <w:p w14:paraId="3B92D774" w14:textId="77777777" w:rsidR="001966A9" w:rsidRDefault="00000000">
            <w:r>
              <w:rPr>
                <w:b/>
              </w:rPr>
              <w:t xml:space="preserve">2.C. Conducive Learning Culture: </w:t>
            </w:r>
            <w:r>
              <w:t>The school’s culture meets the needs of the community in which it is located and equitably encourages all students to thrive in their learning environment.</w:t>
            </w:r>
          </w:p>
        </w:tc>
      </w:tr>
      <w:tr w:rsidR="001966A9" w14:paraId="0D9BE812" w14:textId="77777777">
        <w:trPr>
          <w:trHeight w:val="345"/>
        </w:trPr>
        <w:tc>
          <w:tcPr>
            <w:tcW w:w="4266" w:type="dxa"/>
            <w:shd w:val="clear" w:color="auto" w:fill="auto"/>
            <w:tcMar>
              <w:top w:w="28" w:type="dxa"/>
              <w:left w:w="28" w:type="dxa"/>
              <w:bottom w:w="28" w:type="dxa"/>
              <w:right w:w="28" w:type="dxa"/>
            </w:tcMar>
            <w:vAlign w:val="center"/>
          </w:tcPr>
          <w:p w14:paraId="06BCB1FA" w14:textId="77777777" w:rsidR="001966A9" w:rsidRDefault="00000000">
            <w:r>
              <w:t>Eligible student re-enrollment (recurrent enrollment) in the school from the 40</w:t>
            </w:r>
            <w:r>
              <w:rPr>
                <w:vertAlign w:val="superscript"/>
              </w:rPr>
              <w:t>th</w:t>
            </w:r>
            <w:r>
              <w:t xml:space="preserve"> day count of the previous school year to the 40</w:t>
            </w:r>
            <w:r>
              <w:rPr>
                <w:vertAlign w:val="superscript"/>
              </w:rPr>
              <w:t>th</w:t>
            </w:r>
            <w:r>
              <w:t xml:space="preserve"> day count of the current school year.</w:t>
            </w:r>
          </w:p>
        </w:tc>
        <w:tc>
          <w:tcPr>
            <w:tcW w:w="5040" w:type="dxa"/>
          </w:tcPr>
          <w:p w14:paraId="10047055" w14:textId="77777777" w:rsidR="001966A9" w:rsidRDefault="00000000">
            <w:r>
              <w:t>Percentage of eligible students who re-enroll:</w:t>
            </w:r>
          </w:p>
          <w:p w14:paraId="15561C50" w14:textId="77777777" w:rsidR="001966A9" w:rsidRDefault="00000000">
            <w:pPr>
              <w:spacing w:before="60" w:after="60"/>
            </w:pPr>
            <w:r>
              <w:rPr>
                <w:b/>
                <w:color w:val="007FAC"/>
              </w:rPr>
              <w:t>Exceeds</w:t>
            </w:r>
            <w:r>
              <w:t>: ≥ 90%</w:t>
            </w:r>
          </w:p>
          <w:p w14:paraId="2388DBB7" w14:textId="77777777" w:rsidR="001966A9" w:rsidRDefault="00000000">
            <w:pPr>
              <w:spacing w:before="60" w:after="60"/>
            </w:pPr>
            <w:r>
              <w:rPr>
                <w:b/>
                <w:color w:val="007033"/>
              </w:rPr>
              <w:t>Meets</w:t>
            </w:r>
            <w:r>
              <w:t>: &lt; 90% but ≥ 80%</w:t>
            </w:r>
          </w:p>
          <w:p w14:paraId="5461CD3A" w14:textId="77777777" w:rsidR="001966A9" w:rsidRDefault="00000000">
            <w:pPr>
              <w:spacing w:after="60"/>
            </w:pPr>
            <w:r>
              <w:rPr>
                <w:b/>
                <w:color w:val="FFC000"/>
              </w:rPr>
              <w:t>Working to Meet</w:t>
            </w:r>
            <w:r>
              <w:t>: &lt; 80% but ≥ 70%</w:t>
            </w:r>
          </w:p>
          <w:p w14:paraId="470B0A6E" w14:textId="77777777" w:rsidR="001966A9" w:rsidRDefault="00000000">
            <w:r>
              <w:rPr>
                <w:b/>
                <w:color w:val="CC0000"/>
              </w:rPr>
              <w:t>Does Not Meet</w:t>
            </w:r>
            <w:r>
              <w:t>: &lt; 70%</w:t>
            </w:r>
          </w:p>
        </w:tc>
      </w:tr>
      <w:tr w:rsidR="001966A9" w14:paraId="192E7007" w14:textId="77777777">
        <w:trPr>
          <w:trHeight w:val="345"/>
        </w:trPr>
        <w:tc>
          <w:tcPr>
            <w:tcW w:w="4266" w:type="dxa"/>
            <w:shd w:val="clear" w:color="auto" w:fill="auto"/>
            <w:tcMar>
              <w:top w:w="28" w:type="dxa"/>
              <w:left w:w="28" w:type="dxa"/>
              <w:bottom w:w="28" w:type="dxa"/>
              <w:right w:w="28" w:type="dxa"/>
            </w:tcMar>
            <w:vAlign w:val="center"/>
          </w:tcPr>
          <w:p w14:paraId="3122A04E" w14:textId="170EBF24" w:rsidR="001966A9" w:rsidRDefault="00000000">
            <w:r>
              <w:rPr>
                <w:b/>
              </w:rPr>
              <w:t>Schools selecting option 1.A.3 and option 1.B.3:</w:t>
            </w:r>
            <w:r>
              <w:t xml:space="preserve">  The quarterly/trimester/semester average re-enrollment rate for eligible students within the school year.</w:t>
            </w:r>
          </w:p>
        </w:tc>
        <w:tc>
          <w:tcPr>
            <w:tcW w:w="5040" w:type="dxa"/>
          </w:tcPr>
          <w:p w14:paraId="186C98CB" w14:textId="77777777" w:rsidR="001966A9" w:rsidRDefault="001966A9"/>
        </w:tc>
      </w:tr>
    </w:tbl>
    <w:p w14:paraId="258C6C93" w14:textId="77777777" w:rsidR="001966A9" w:rsidRDefault="001966A9"/>
    <w:p w14:paraId="172E0771" w14:textId="77777777" w:rsidR="001966A9" w:rsidRDefault="00000000">
      <w:r>
        <w:br w:type="page"/>
      </w:r>
    </w:p>
    <w:p w14:paraId="5BE02AD4" w14:textId="77777777" w:rsidR="001966A9" w:rsidRDefault="00000000">
      <w:pPr>
        <w:pStyle w:val="Heading1"/>
      </w:pPr>
      <w:bookmarkStart w:id="8" w:name="_Toc168642316"/>
      <w:r>
        <w:lastRenderedPageBreak/>
        <w:t>Part II: Organizational Framework</w:t>
      </w:r>
      <w:bookmarkEnd w:id="8"/>
    </w:p>
    <w:p w14:paraId="41D7EA5F" w14:textId="77777777" w:rsidR="001966A9" w:rsidRDefault="00000000">
      <w:r>
        <w:t>The PEC and CSD are dedicated to providing a fair and equitable organizational oversight process for the state charter schools within PEC's portfolio. Therefore, this details the organizational requirements of state charter schools. Results for each performance indicator will be determined annually and included in an overall performance rating. The Organizational Framework has three categories and six performance indicators designed to encourage transparent, compliant public schools.</w:t>
      </w:r>
    </w:p>
    <w:p w14:paraId="134712CF" w14:textId="77777777" w:rsidR="001966A9" w:rsidRDefault="001966A9"/>
    <w:tbl>
      <w:tblPr>
        <w:tblStyle w:val="afff4"/>
        <w:tblW w:w="9306"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6"/>
        <w:gridCol w:w="2520"/>
        <w:gridCol w:w="5040"/>
      </w:tblGrid>
      <w:tr w:rsidR="001966A9" w14:paraId="35ED24DF" w14:textId="77777777">
        <w:trPr>
          <w:trHeight w:val="315"/>
        </w:trPr>
        <w:tc>
          <w:tcPr>
            <w:tcW w:w="1746" w:type="dxa"/>
            <w:shd w:val="clear" w:color="auto" w:fill="D9D9D9"/>
            <w:tcMar>
              <w:top w:w="28" w:type="dxa"/>
              <w:left w:w="28" w:type="dxa"/>
              <w:bottom w:w="28" w:type="dxa"/>
              <w:right w:w="28" w:type="dxa"/>
            </w:tcMar>
            <w:vAlign w:val="center"/>
          </w:tcPr>
          <w:p w14:paraId="28A94FF0" w14:textId="77777777" w:rsidR="001966A9" w:rsidRDefault="00000000">
            <w:pPr>
              <w:jc w:val="center"/>
              <w:rPr>
                <w:b/>
              </w:rPr>
            </w:pPr>
            <w:r>
              <w:rPr>
                <w:b/>
              </w:rPr>
              <w:t>Performance Indicator</w:t>
            </w:r>
          </w:p>
        </w:tc>
        <w:tc>
          <w:tcPr>
            <w:tcW w:w="2520" w:type="dxa"/>
            <w:shd w:val="clear" w:color="auto" w:fill="D9D9D9"/>
            <w:vAlign w:val="center"/>
          </w:tcPr>
          <w:p w14:paraId="026C81A2" w14:textId="77777777" w:rsidR="001966A9" w:rsidRDefault="00000000">
            <w:pPr>
              <w:jc w:val="center"/>
              <w:rPr>
                <w:b/>
              </w:rPr>
            </w:pPr>
            <w:r>
              <w:rPr>
                <w:b/>
              </w:rPr>
              <w:t>Performance Measure</w:t>
            </w:r>
          </w:p>
        </w:tc>
        <w:tc>
          <w:tcPr>
            <w:tcW w:w="5040" w:type="dxa"/>
            <w:shd w:val="clear" w:color="auto" w:fill="D9D9D9"/>
            <w:vAlign w:val="center"/>
          </w:tcPr>
          <w:p w14:paraId="17B5D65B" w14:textId="77777777" w:rsidR="001966A9" w:rsidRDefault="00000000">
            <w:pPr>
              <w:jc w:val="center"/>
              <w:rPr>
                <w:b/>
              </w:rPr>
            </w:pPr>
            <w:r>
              <w:rPr>
                <w:b/>
              </w:rPr>
              <w:t>Performance Criteria</w:t>
            </w:r>
          </w:p>
        </w:tc>
      </w:tr>
      <w:tr w:rsidR="001966A9" w14:paraId="1FC275E7" w14:textId="77777777">
        <w:trPr>
          <w:trHeight w:val="315"/>
        </w:trPr>
        <w:tc>
          <w:tcPr>
            <w:tcW w:w="9306" w:type="dxa"/>
            <w:gridSpan w:val="3"/>
            <w:shd w:val="clear" w:color="auto" w:fill="F2F2F2"/>
            <w:tcMar>
              <w:top w:w="28" w:type="dxa"/>
              <w:left w:w="28" w:type="dxa"/>
              <w:bottom w:w="28" w:type="dxa"/>
              <w:right w:w="28" w:type="dxa"/>
            </w:tcMar>
            <w:vAlign w:val="center"/>
          </w:tcPr>
          <w:p w14:paraId="65AC5840" w14:textId="77777777" w:rsidR="001966A9" w:rsidRDefault="00000000">
            <w:r>
              <w:t>3.A. Governing Body Membership, Training, and Responsibilities: The governing board effectively oversees the school's management to ensure that the school is financially responsible, compliant with applicable laws, and fulfilling its mission and the academic success of students.</w:t>
            </w:r>
          </w:p>
        </w:tc>
      </w:tr>
      <w:tr w:rsidR="001966A9" w14:paraId="2DE74C99" w14:textId="77777777">
        <w:trPr>
          <w:trHeight w:val="315"/>
        </w:trPr>
        <w:tc>
          <w:tcPr>
            <w:tcW w:w="1746" w:type="dxa"/>
            <w:shd w:val="clear" w:color="auto" w:fill="auto"/>
            <w:tcMar>
              <w:top w:w="28" w:type="dxa"/>
              <w:left w:w="28" w:type="dxa"/>
              <w:bottom w:w="28" w:type="dxa"/>
              <w:right w:w="28" w:type="dxa"/>
            </w:tcMar>
            <w:vAlign w:val="center"/>
          </w:tcPr>
          <w:p w14:paraId="0231F2EB" w14:textId="77777777" w:rsidR="001966A9" w:rsidRDefault="00000000">
            <w:r>
              <w:t>3.A.1. Membership</w:t>
            </w:r>
          </w:p>
        </w:tc>
        <w:tc>
          <w:tcPr>
            <w:tcW w:w="2520" w:type="dxa"/>
          </w:tcPr>
          <w:p w14:paraId="5140C63C" w14:textId="77777777" w:rsidR="001966A9" w:rsidRDefault="00000000">
            <w:r>
              <w:t>The number of governing council members stays within the range designated in the school's bylaws.</w:t>
            </w:r>
          </w:p>
        </w:tc>
        <w:tc>
          <w:tcPr>
            <w:tcW w:w="5040" w:type="dxa"/>
          </w:tcPr>
          <w:p w14:paraId="3D01D3BA" w14:textId="77777777" w:rsidR="001966A9" w:rsidRDefault="00000000">
            <w:pPr>
              <w:spacing w:after="60"/>
            </w:pPr>
            <w:r>
              <w:rPr>
                <w:b/>
                <w:color w:val="007033"/>
              </w:rPr>
              <w:t>Meets</w:t>
            </w:r>
            <w:r>
              <w:t>:  The number of governing council members stays within the range designated in bylaws during the school year, or if it drops below, all vacancies are filled within 45 days (or 75, with an extension provided by the CSD)</w:t>
            </w:r>
          </w:p>
          <w:p w14:paraId="0A244E94" w14:textId="77777777" w:rsidR="001966A9" w:rsidRDefault="00000000">
            <w:r>
              <w:rPr>
                <w:b/>
                <w:color w:val="CC0000"/>
              </w:rPr>
              <w:t>Does Not Meet</w:t>
            </w:r>
            <w:r>
              <w:t>: The number of governing council members during the school year is below the number designated in bylaws for more than 45 days (or 75 with extension)</w:t>
            </w:r>
          </w:p>
        </w:tc>
      </w:tr>
      <w:tr w:rsidR="001966A9" w14:paraId="2599B953" w14:textId="77777777">
        <w:trPr>
          <w:trHeight w:val="315"/>
        </w:trPr>
        <w:tc>
          <w:tcPr>
            <w:tcW w:w="1746" w:type="dxa"/>
            <w:shd w:val="clear" w:color="auto" w:fill="auto"/>
            <w:tcMar>
              <w:top w:w="28" w:type="dxa"/>
              <w:left w:w="28" w:type="dxa"/>
              <w:bottom w:w="28" w:type="dxa"/>
              <w:right w:w="28" w:type="dxa"/>
            </w:tcMar>
            <w:vAlign w:val="center"/>
          </w:tcPr>
          <w:p w14:paraId="1D725257" w14:textId="77777777" w:rsidR="001966A9" w:rsidRDefault="00000000">
            <w:r>
              <w:t>3.A.2. Training</w:t>
            </w:r>
          </w:p>
        </w:tc>
        <w:tc>
          <w:tcPr>
            <w:tcW w:w="2520" w:type="dxa"/>
          </w:tcPr>
          <w:p w14:paraId="45CD9564" w14:textId="77777777" w:rsidR="001966A9" w:rsidRDefault="00000000">
            <w:r>
              <w:t xml:space="preserve">All members of the governing body, and new members who have served for at least six months, have completed all training hours required law by the end of the fiscal year. </w:t>
            </w:r>
          </w:p>
        </w:tc>
        <w:tc>
          <w:tcPr>
            <w:tcW w:w="5040" w:type="dxa"/>
          </w:tcPr>
          <w:p w14:paraId="7AE90999" w14:textId="77777777" w:rsidR="001966A9" w:rsidRDefault="00000000">
            <w:pPr>
              <w:spacing w:after="60"/>
            </w:pPr>
            <w:r>
              <w:rPr>
                <w:b/>
                <w:color w:val="007033"/>
              </w:rPr>
              <w:t>Meets</w:t>
            </w:r>
            <w:r>
              <w:t>: All members of the governing body and new members who have served for at least six months on the school’s board have completed all training hours required by law by the end of the fiscal year.</w:t>
            </w:r>
          </w:p>
          <w:p w14:paraId="59221E7A" w14:textId="77777777" w:rsidR="001966A9" w:rsidRDefault="00000000">
            <w:pPr>
              <w:spacing w:after="60"/>
            </w:pPr>
            <w:r>
              <w:rPr>
                <w:b/>
                <w:color w:val="FFC000"/>
              </w:rPr>
              <w:t>Working to Meet</w:t>
            </w:r>
            <w:r>
              <w:t>: At least 80% of required total training hours combined for the governing body, and new members who have served for at least six (6) months have completed as required by law by the end of the fiscal year.</w:t>
            </w:r>
          </w:p>
          <w:p w14:paraId="0CF81DBE" w14:textId="77777777" w:rsidR="001966A9" w:rsidRDefault="00000000">
            <w:pPr>
              <w:spacing w:before="60"/>
            </w:pPr>
            <w:r>
              <w:rPr>
                <w:b/>
                <w:color w:val="CC0000"/>
              </w:rPr>
              <w:t>Does Not Meet</w:t>
            </w:r>
            <w:r>
              <w:t>: The school did not meet the criteria for Working to Meet.</w:t>
            </w:r>
          </w:p>
        </w:tc>
      </w:tr>
      <w:tr w:rsidR="001966A9" w14:paraId="0BF009B4" w14:textId="77777777">
        <w:trPr>
          <w:trHeight w:val="315"/>
        </w:trPr>
        <w:tc>
          <w:tcPr>
            <w:tcW w:w="1746" w:type="dxa"/>
            <w:shd w:val="clear" w:color="auto" w:fill="auto"/>
            <w:tcMar>
              <w:top w:w="28" w:type="dxa"/>
              <w:left w:w="28" w:type="dxa"/>
              <w:bottom w:w="28" w:type="dxa"/>
              <w:right w:w="28" w:type="dxa"/>
            </w:tcMar>
            <w:vAlign w:val="center"/>
          </w:tcPr>
          <w:p w14:paraId="15675A94" w14:textId="77777777" w:rsidR="001966A9" w:rsidRDefault="00000000">
            <w:r>
              <w:t>3.A.3. Meeting Transparency and Documentation</w:t>
            </w:r>
          </w:p>
        </w:tc>
        <w:tc>
          <w:tcPr>
            <w:tcW w:w="2520" w:type="dxa"/>
          </w:tcPr>
          <w:p w14:paraId="390AA6CC" w14:textId="77777777" w:rsidR="001966A9" w:rsidRDefault="00000000">
            <w:r>
              <w:t>The school is in compliance with publicly posting meetings, minutes, and calendar of meetings.</w:t>
            </w:r>
          </w:p>
        </w:tc>
        <w:tc>
          <w:tcPr>
            <w:tcW w:w="5040" w:type="dxa"/>
          </w:tcPr>
          <w:p w14:paraId="68ADC170" w14:textId="77777777" w:rsidR="001966A9" w:rsidRDefault="00000000">
            <w:pPr>
              <w:spacing w:after="60"/>
            </w:pPr>
            <w:r>
              <w:rPr>
                <w:b/>
                <w:color w:val="007033"/>
              </w:rPr>
              <w:t>Meets</w:t>
            </w:r>
            <w:r>
              <w:t>: The school provides an accurate board calendar. For EVERY meeting in which a quorum of the governing body is present, the school (1) publicly posts a notification with the agenda at least 72 hours prior to the meeting and (2) publicly post on their website a board-approved copy of the minutes within ten (10) days after approval, which must occur at their next regularly scheduled board meeting.</w:t>
            </w:r>
          </w:p>
          <w:p w14:paraId="6CE2E404" w14:textId="77777777" w:rsidR="001966A9" w:rsidRDefault="00000000">
            <w:pPr>
              <w:spacing w:after="60"/>
            </w:pPr>
            <w:r>
              <w:rPr>
                <w:b/>
                <w:color w:val="FFC000"/>
              </w:rPr>
              <w:t>Working to Meet</w:t>
            </w:r>
            <w:r>
              <w:t xml:space="preserve">: The school provides an accurate board calendar. For at least 75% of the board meetings in which a quorum of the governing body is present, the school (1) publicly posts a notification with the agenda at least 72 hours prior to the meeting and (2) publicly post on their website a board-approved copy of the </w:t>
            </w:r>
            <w:r>
              <w:lastRenderedPageBreak/>
              <w:t>minutes within ten (10) days after approval, which must occur at their next regularly scheduled board meeting.</w:t>
            </w:r>
          </w:p>
          <w:p w14:paraId="575250BB" w14:textId="77777777" w:rsidR="001966A9" w:rsidRDefault="00000000">
            <w:pPr>
              <w:tabs>
                <w:tab w:val="center" w:pos="2412"/>
              </w:tabs>
              <w:rPr>
                <w:b/>
                <w:highlight w:val="cyan"/>
              </w:rPr>
            </w:pPr>
            <w:r>
              <w:rPr>
                <w:b/>
                <w:color w:val="CC0000"/>
              </w:rPr>
              <w:t>Does Not Meet</w:t>
            </w:r>
            <w:r>
              <w:t>: The school fails to provide an accurate board calendar. For more than 25% of the meetings in which a quorum of the governing body is present, the school did not (1) publicly post notification with agenda at least 72 hours prior to the meeting or (2) publicly post a board-approved copy of the minutes within ten (10) days after the approval.</w:t>
            </w:r>
          </w:p>
        </w:tc>
      </w:tr>
      <w:tr w:rsidR="001966A9" w14:paraId="27221B82" w14:textId="77777777">
        <w:trPr>
          <w:trHeight w:val="315"/>
        </w:trPr>
        <w:tc>
          <w:tcPr>
            <w:tcW w:w="9306" w:type="dxa"/>
            <w:gridSpan w:val="3"/>
            <w:shd w:val="clear" w:color="auto" w:fill="F2F2F2"/>
            <w:tcMar>
              <w:top w:w="28" w:type="dxa"/>
              <w:left w:w="28" w:type="dxa"/>
              <w:bottom w:w="28" w:type="dxa"/>
              <w:right w:w="28" w:type="dxa"/>
            </w:tcMar>
            <w:vAlign w:val="center"/>
          </w:tcPr>
          <w:p w14:paraId="12B0E3DC" w14:textId="77777777" w:rsidR="001966A9" w:rsidRDefault="00000000">
            <w:pPr>
              <w:spacing w:after="60"/>
              <w:rPr>
                <w:b/>
              </w:rPr>
            </w:pPr>
            <w:r>
              <w:rPr>
                <w:b/>
              </w:rPr>
              <w:t xml:space="preserve">3.B. Equitable Enrollment Process: </w:t>
            </w:r>
            <w:r>
              <w:t>The school ensures that all families have the opportunity to learn about, apply to, and enroll in the school.</w:t>
            </w:r>
          </w:p>
        </w:tc>
      </w:tr>
      <w:tr w:rsidR="001966A9" w14:paraId="6BCCAA0A" w14:textId="77777777">
        <w:trPr>
          <w:trHeight w:val="315"/>
        </w:trPr>
        <w:tc>
          <w:tcPr>
            <w:tcW w:w="1746" w:type="dxa"/>
            <w:shd w:val="clear" w:color="auto" w:fill="auto"/>
            <w:tcMar>
              <w:top w:w="28" w:type="dxa"/>
              <w:left w:w="28" w:type="dxa"/>
              <w:bottom w:w="28" w:type="dxa"/>
              <w:right w:w="28" w:type="dxa"/>
            </w:tcMar>
            <w:vAlign w:val="center"/>
          </w:tcPr>
          <w:p w14:paraId="6286009F" w14:textId="77777777" w:rsidR="001966A9" w:rsidRDefault="00000000">
            <w:r>
              <w:t>Non-discriminatory Enrollment Process</w:t>
            </w:r>
          </w:p>
        </w:tc>
        <w:tc>
          <w:tcPr>
            <w:tcW w:w="2520" w:type="dxa"/>
          </w:tcPr>
          <w:p w14:paraId="49D2CF05" w14:textId="77777777" w:rsidR="001966A9" w:rsidRDefault="00000000">
            <w:r>
              <w:t>The school has an Enrollment Policy consistent with Lottery Guidance and with two distinct sections: Lottery Form/Lottery Process and Enrollment/Registration</w:t>
            </w:r>
          </w:p>
        </w:tc>
        <w:tc>
          <w:tcPr>
            <w:tcW w:w="5040" w:type="dxa"/>
          </w:tcPr>
          <w:p w14:paraId="375CC4F0" w14:textId="77777777" w:rsidR="001966A9" w:rsidRDefault="00000000">
            <w:pPr>
              <w:spacing w:after="60"/>
            </w:pPr>
            <w:r>
              <w:rPr>
                <w:b/>
                <w:color w:val="007033"/>
              </w:rPr>
              <w:t>Meets</w:t>
            </w:r>
            <w:r>
              <w:t>: The school’s Enrollment Policy is consistent with the Lottery Guidance criteria on the CSD website or lottery/enrollment laws and rules, if promulgated.</w:t>
            </w:r>
          </w:p>
          <w:p w14:paraId="7CFC0805" w14:textId="77777777" w:rsidR="001966A9" w:rsidRDefault="00000000">
            <w:pPr>
              <w:rPr>
                <w:b/>
                <w:highlight w:val="cyan"/>
              </w:rPr>
            </w:pPr>
            <w:r>
              <w:rPr>
                <w:b/>
                <w:color w:val="CC0000"/>
              </w:rPr>
              <w:t>Does Not Meet</w:t>
            </w:r>
            <w:r>
              <w:t>: The school does not have an Enrollment Policy, or the Policy does not meet all of the Lottery Guidance criteria or lottery/enrollment laws and rules, if promulgated.</w:t>
            </w:r>
          </w:p>
        </w:tc>
      </w:tr>
      <w:tr w:rsidR="001966A9" w14:paraId="27BE14AA" w14:textId="77777777">
        <w:trPr>
          <w:trHeight w:val="315"/>
        </w:trPr>
        <w:tc>
          <w:tcPr>
            <w:tcW w:w="9306" w:type="dxa"/>
            <w:gridSpan w:val="3"/>
            <w:shd w:val="clear" w:color="auto" w:fill="F2F2F2"/>
            <w:tcMar>
              <w:top w:w="28" w:type="dxa"/>
              <w:left w:w="28" w:type="dxa"/>
              <w:bottom w:w="28" w:type="dxa"/>
              <w:right w:w="28" w:type="dxa"/>
            </w:tcMar>
            <w:vAlign w:val="center"/>
          </w:tcPr>
          <w:p w14:paraId="25A43626" w14:textId="77777777" w:rsidR="001966A9" w:rsidRDefault="00000000">
            <w:pPr>
              <w:spacing w:after="60"/>
              <w:rPr>
                <w:b/>
                <w:highlight w:val="green"/>
              </w:rPr>
            </w:pPr>
            <w:r>
              <w:rPr>
                <w:b/>
              </w:rPr>
              <w:t xml:space="preserve">3.C. Compliance with Legal Requirements: </w:t>
            </w:r>
            <w:r>
              <w:t>The school creates a safe environment and is in compliance with the charter contract, federal and state statutes and rules, and PED guidelines unless waivers preserving charter autonomy are in place.</w:t>
            </w:r>
          </w:p>
        </w:tc>
      </w:tr>
      <w:tr w:rsidR="001966A9" w14:paraId="71BE6078" w14:textId="77777777">
        <w:trPr>
          <w:trHeight w:val="315"/>
        </w:trPr>
        <w:tc>
          <w:tcPr>
            <w:tcW w:w="1746" w:type="dxa"/>
            <w:shd w:val="clear" w:color="auto" w:fill="auto"/>
            <w:tcMar>
              <w:top w:w="28" w:type="dxa"/>
              <w:left w:w="28" w:type="dxa"/>
              <w:bottom w:w="28" w:type="dxa"/>
              <w:right w:w="28" w:type="dxa"/>
            </w:tcMar>
            <w:vAlign w:val="center"/>
          </w:tcPr>
          <w:p w14:paraId="422B94D3" w14:textId="77777777" w:rsidR="001966A9" w:rsidRDefault="00000000">
            <w:r>
              <w:t>Annual Compliance Requirements</w:t>
            </w:r>
          </w:p>
        </w:tc>
        <w:tc>
          <w:tcPr>
            <w:tcW w:w="2520" w:type="dxa"/>
          </w:tcPr>
          <w:p w14:paraId="1CF93F0B" w14:textId="77777777" w:rsidR="001966A9" w:rsidRDefault="00000000">
            <w:r>
              <w:t>List of Annual Compliance Requirements, as approved annually no later than July 1 by PEC, and distributed by CSD to schools by that time.</w:t>
            </w:r>
          </w:p>
          <w:p w14:paraId="20F43B0D" w14:textId="77777777" w:rsidR="001966A9" w:rsidRDefault="001966A9">
            <w:pPr>
              <w:jc w:val="center"/>
            </w:pPr>
          </w:p>
        </w:tc>
        <w:tc>
          <w:tcPr>
            <w:tcW w:w="5040" w:type="dxa"/>
          </w:tcPr>
          <w:p w14:paraId="548A2216" w14:textId="77777777" w:rsidR="001966A9" w:rsidRDefault="00000000">
            <w:pPr>
              <w:tabs>
                <w:tab w:val="center" w:pos="2412"/>
              </w:tabs>
              <w:spacing w:after="60"/>
            </w:pPr>
            <w:r>
              <w:rPr>
                <w:b/>
                <w:color w:val="007033"/>
              </w:rPr>
              <w:t>Meets</w:t>
            </w:r>
            <w:r>
              <w:t>: In compliance with all requirements, is timely with submissions and does not have to resubmit due to errors.</w:t>
            </w:r>
          </w:p>
          <w:p w14:paraId="524A80F4" w14:textId="77777777" w:rsidR="001966A9" w:rsidRDefault="00000000">
            <w:pPr>
              <w:spacing w:after="60"/>
            </w:pPr>
            <w:r>
              <w:rPr>
                <w:b/>
                <w:color w:val="FFC000"/>
              </w:rPr>
              <w:t>Working to Meet</w:t>
            </w:r>
            <w:r>
              <w:t>: In compliance with all requirements but may be late with submissions and may have to resubmit due to errors in the initial submission.</w:t>
            </w:r>
          </w:p>
          <w:p w14:paraId="0F41FE1D" w14:textId="77777777" w:rsidR="001966A9" w:rsidRDefault="00000000">
            <w:pPr>
              <w:spacing w:after="60"/>
            </w:pPr>
            <w:r>
              <w:rPr>
                <w:b/>
                <w:color w:val="CC0000"/>
              </w:rPr>
              <w:t>Does Not Meet</w:t>
            </w:r>
            <w:r>
              <w:t>: Out of compliance with one or more requirement or one or more compliance requirement is not submitted.</w:t>
            </w:r>
          </w:p>
        </w:tc>
      </w:tr>
    </w:tbl>
    <w:p w14:paraId="2F87D5CE" w14:textId="77777777" w:rsidR="001966A9" w:rsidRDefault="001966A9"/>
    <w:p w14:paraId="0921FD35" w14:textId="77777777" w:rsidR="001966A9" w:rsidRDefault="00000000">
      <w:pPr>
        <w:rPr>
          <w:b/>
          <w:sz w:val="28"/>
          <w:szCs w:val="28"/>
        </w:rPr>
      </w:pPr>
      <w:r>
        <w:br w:type="page"/>
      </w:r>
    </w:p>
    <w:p w14:paraId="77FB84A9" w14:textId="77777777" w:rsidR="001966A9" w:rsidRDefault="00000000">
      <w:pPr>
        <w:pStyle w:val="Heading1"/>
      </w:pPr>
      <w:bookmarkStart w:id="9" w:name="_Toc168642317"/>
      <w:r>
        <w:lastRenderedPageBreak/>
        <w:t>Part III: Financial Framework</w:t>
      </w:r>
      <w:bookmarkEnd w:id="9"/>
    </w:p>
    <w:p w14:paraId="071D4042" w14:textId="77777777" w:rsidR="001966A9" w:rsidRDefault="00000000">
      <w:r>
        <w:t>The PEC and CSD are dedicated to protecting school autonomy while holding public charter schools within PEC’s portfolio to high standards. The Financial Framework has four performance indicators. Results for each performance indicator will be determined annually and included in an overall performance rating.</w:t>
      </w:r>
    </w:p>
    <w:tbl>
      <w:tblPr>
        <w:tblStyle w:val="afff5"/>
        <w:tblW w:w="9216"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6"/>
        <w:gridCol w:w="4230"/>
      </w:tblGrid>
      <w:tr w:rsidR="001966A9" w14:paraId="33D9DF9C" w14:textId="77777777">
        <w:trPr>
          <w:trHeight w:val="315"/>
        </w:trPr>
        <w:tc>
          <w:tcPr>
            <w:tcW w:w="4986" w:type="dxa"/>
            <w:shd w:val="clear" w:color="auto" w:fill="D9D9D9"/>
            <w:vAlign w:val="center"/>
          </w:tcPr>
          <w:p w14:paraId="0836D702" w14:textId="77777777" w:rsidR="001966A9" w:rsidRDefault="00000000">
            <w:pPr>
              <w:jc w:val="center"/>
              <w:rPr>
                <w:b/>
              </w:rPr>
            </w:pPr>
            <w:r>
              <w:rPr>
                <w:b/>
              </w:rPr>
              <w:t>Performance Measure</w:t>
            </w:r>
          </w:p>
        </w:tc>
        <w:tc>
          <w:tcPr>
            <w:tcW w:w="4230" w:type="dxa"/>
            <w:shd w:val="clear" w:color="auto" w:fill="D9D9D9"/>
            <w:vAlign w:val="center"/>
          </w:tcPr>
          <w:p w14:paraId="3AE30F97" w14:textId="77777777" w:rsidR="001966A9" w:rsidRDefault="00000000">
            <w:pPr>
              <w:jc w:val="center"/>
              <w:rPr>
                <w:b/>
              </w:rPr>
            </w:pPr>
            <w:r>
              <w:rPr>
                <w:b/>
              </w:rPr>
              <w:t>Performance Criteria</w:t>
            </w:r>
          </w:p>
        </w:tc>
      </w:tr>
      <w:tr w:rsidR="001966A9" w14:paraId="4684D430" w14:textId="77777777">
        <w:trPr>
          <w:trHeight w:val="315"/>
        </w:trPr>
        <w:tc>
          <w:tcPr>
            <w:tcW w:w="9216" w:type="dxa"/>
            <w:gridSpan w:val="2"/>
            <w:shd w:val="clear" w:color="auto" w:fill="F2F2F2"/>
            <w:vAlign w:val="center"/>
          </w:tcPr>
          <w:p w14:paraId="48642FA6" w14:textId="77777777" w:rsidR="001966A9" w:rsidRDefault="00000000">
            <w:pPr>
              <w:spacing w:after="60"/>
              <w:rPr>
                <w:b/>
                <w:highlight w:val="cyan"/>
              </w:rPr>
            </w:pPr>
            <w:r>
              <w:rPr>
                <w:b/>
              </w:rPr>
              <w:t xml:space="preserve">4.A. Days of Cash on Hand: </w:t>
            </w:r>
            <w:r>
              <w:t>The school demonstrates its financial health by having sufficient cash to ensure operations can withstand an immediate need.</w:t>
            </w:r>
          </w:p>
        </w:tc>
      </w:tr>
      <w:tr w:rsidR="001966A9" w14:paraId="3AA2BF53" w14:textId="77777777">
        <w:trPr>
          <w:trHeight w:val="315"/>
        </w:trPr>
        <w:tc>
          <w:tcPr>
            <w:tcW w:w="4986" w:type="dxa"/>
          </w:tcPr>
          <w:p w14:paraId="70CD09F4" w14:textId="77777777" w:rsidR="001966A9" w:rsidRDefault="00000000">
            <w:r>
              <w:t>The school has the cash available to pay bills that meet or exceed the expectations established by PEC.</w:t>
            </w:r>
          </w:p>
        </w:tc>
        <w:tc>
          <w:tcPr>
            <w:tcW w:w="4230" w:type="dxa"/>
          </w:tcPr>
          <w:p w14:paraId="0503D1A7" w14:textId="77777777" w:rsidR="001966A9" w:rsidRDefault="00000000">
            <w:pPr>
              <w:tabs>
                <w:tab w:val="center" w:pos="2412"/>
              </w:tabs>
              <w:spacing w:after="60"/>
            </w:pPr>
            <w:r>
              <w:t>The school’s unrestricted days cash ratio is:</w:t>
            </w:r>
          </w:p>
          <w:p w14:paraId="7E8E9874" w14:textId="77777777" w:rsidR="001966A9" w:rsidRDefault="00000000">
            <w:pPr>
              <w:tabs>
                <w:tab w:val="center" w:pos="2412"/>
              </w:tabs>
              <w:spacing w:after="60"/>
            </w:pPr>
            <w:r>
              <w:rPr>
                <w:b/>
                <w:color w:val="007033"/>
              </w:rPr>
              <w:t>Meets</w:t>
            </w:r>
            <w:r>
              <w:t xml:space="preserve">: ≥ 60 days </w:t>
            </w:r>
            <w:r>
              <w:rPr>
                <w:b/>
              </w:rPr>
              <w:t>OR</w:t>
            </w:r>
            <w:r>
              <w:t xml:space="preserve"> &gt; 30 days with a positive increase in the most recent fiscal year</w:t>
            </w:r>
          </w:p>
          <w:p w14:paraId="3F7BA176" w14:textId="77777777" w:rsidR="001966A9" w:rsidRDefault="00000000">
            <w:pPr>
              <w:spacing w:after="60"/>
            </w:pPr>
            <w:r>
              <w:rPr>
                <w:b/>
                <w:color w:val="FFC000"/>
              </w:rPr>
              <w:t>Working to Meet</w:t>
            </w:r>
            <w:r>
              <w:t>: &gt; 30 days but does not meet the criteria for “Meets”</w:t>
            </w:r>
          </w:p>
          <w:p w14:paraId="04EE0782" w14:textId="77777777" w:rsidR="001966A9" w:rsidRDefault="00000000">
            <w:r>
              <w:rPr>
                <w:b/>
                <w:color w:val="CC0000"/>
              </w:rPr>
              <w:t>Does Not Meet</w:t>
            </w:r>
            <w:r>
              <w:t>: ≤ 30 days</w:t>
            </w:r>
          </w:p>
        </w:tc>
      </w:tr>
      <w:tr w:rsidR="001966A9" w14:paraId="629F4500" w14:textId="77777777">
        <w:trPr>
          <w:trHeight w:val="315"/>
        </w:trPr>
        <w:tc>
          <w:tcPr>
            <w:tcW w:w="9216" w:type="dxa"/>
            <w:gridSpan w:val="2"/>
            <w:shd w:val="clear" w:color="auto" w:fill="F2F2F2"/>
          </w:tcPr>
          <w:p w14:paraId="1092965E" w14:textId="77777777" w:rsidR="001966A9" w:rsidRDefault="00000000">
            <w:pPr>
              <w:tabs>
                <w:tab w:val="center" w:pos="2412"/>
              </w:tabs>
              <w:spacing w:after="60"/>
              <w:rPr>
                <w:b/>
                <w:color w:val="007033"/>
              </w:rPr>
            </w:pPr>
            <w:r>
              <w:rPr>
                <w:b/>
              </w:rPr>
              <w:t xml:space="preserve">4.B. Annual Financial Audit: </w:t>
            </w:r>
            <w:r>
              <w:t>The school follows the Generally Accepted Accounting Principles (GAAP), financial management, and internal controls.</w:t>
            </w:r>
          </w:p>
        </w:tc>
      </w:tr>
      <w:tr w:rsidR="001966A9" w14:paraId="0C2F9E68" w14:textId="77777777">
        <w:trPr>
          <w:trHeight w:val="315"/>
        </w:trPr>
        <w:tc>
          <w:tcPr>
            <w:tcW w:w="4986" w:type="dxa"/>
          </w:tcPr>
          <w:p w14:paraId="1326FB54" w14:textId="77777777" w:rsidR="001966A9" w:rsidRDefault="00000000">
            <w:r>
              <w:t>The results of the financial audit demonstrate that the school meets basic expectations of financial oversight.</w:t>
            </w:r>
          </w:p>
        </w:tc>
        <w:tc>
          <w:tcPr>
            <w:tcW w:w="4230" w:type="dxa"/>
          </w:tcPr>
          <w:p w14:paraId="59846F53" w14:textId="77777777" w:rsidR="001966A9" w:rsidRDefault="00000000">
            <w:pPr>
              <w:tabs>
                <w:tab w:val="center" w:pos="2412"/>
              </w:tabs>
              <w:spacing w:after="60"/>
            </w:pPr>
            <w:r>
              <w:rPr>
                <w:b/>
                <w:color w:val="007033"/>
              </w:rPr>
              <w:t>Meets</w:t>
            </w:r>
            <w:r>
              <w:t>: The school’s received audit has an unqualified opinion, is devoid of significant deficiency and material weakness findings, and does not include a going concern disclosure.</w:t>
            </w:r>
          </w:p>
          <w:p w14:paraId="48AFAAA1" w14:textId="77777777" w:rsidR="001966A9" w:rsidRDefault="00000000">
            <w:pPr>
              <w:spacing w:after="60"/>
            </w:pPr>
            <w:r>
              <w:rPr>
                <w:b/>
                <w:color w:val="FFC000"/>
              </w:rPr>
              <w:t>Working to Meet</w:t>
            </w:r>
            <w:r>
              <w:t>: The school does not meet the criteria for “Meets” but demonstrates improvement from the previous year’s audit.</w:t>
            </w:r>
          </w:p>
          <w:p w14:paraId="1631B669" w14:textId="77777777" w:rsidR="001966A9" w:rsidRDefault="00000000">
            <w:pPr>
              <w:tabs>
                <w:tab w:val="center" w:pos="2412"/>
              </w:tabs>
              <w:spacing w:after="60"/>
              <w:rPr>
                <w:b/>
                <w:color w:val="007033"/>
              </w:rPr>
            </w:pPr>
            <w:r>
              <w:rPr>
                <w:b/>
                <w:color w:val="CC0000"/>
              </w:rPr>
              <w:t>Does Not Meet</w:t>
            </w:r>
            <w:r>
              <w:t>: The school’s received audit has a qualified opinion, includes a significant deficiency or material weakness finding, has a going concern disclosure, or the school does not submit a financial audit.</w:t>
            </w:r>
          </w:p>
        </w:tc>
      </w:tr>
      <w:tr w:rsidR="001966A9" w14:paraId="44F6C939" w14:textId="77777777">
        <w:trPr>
          <w:trHeight w:val="315"/>
        </w:trPr>
        <w:tc>
          <w:tcPr>
            <w:tcW w:w="9216" w:type="dxa"/>
            <w:gridSpan w:val="2"/>
            <w:shd w:val="clear" w:color="auto" w:fill="F2F2F2"/>
          </w:tcPr>
          <w:p w14:paraId="19DCC178" w14:textId="77777777" w:rsidR="001966A9" w:rsidRDefault="00000000">
            <w:pPr>
              <w:tabs>
                <w:tab w:val="center" w:pos="2412"/>
              </w:tabs>
              <w:spacing w:after="60"/>
              <w:rPr>
                <w:b/>
                <w:color w:val="007033"/>
              </w:rPr>
            </w:pPr>
            <w:r>
              <w:rPr>
                <w:b/>
              </w:rPr>
              <w:t xml:space="preserve">4.C. Financial Reporting and Compliance: </w:t>
            </w:r>
            <w:r>
              <w:t>The school demonstrates its ability to oversee public funding designated for New Mexico's students.</w:t>
            </w:r>
          </w:p>
        </w:tc>
      </w:tr>
      <w:tr w:rsidR="001966A9" w14:paraId="628DE410" w14:textId="77777777">
        <w:trPr>
          <w:trHeight w:val="315"/>
        </w:trPr>
        <w:tc>
          <w:tcPr>
            <w:tcW w:w="4986" w:type="dxa"/>
          </w:tcPr>
          <w:p w14:paraId="4A926520" w14:textId="77777777" w:rsidR="001966A9" w:rsidRDefault="00000000">
            <w:r>
              <w:t>The school and its governing board effectively establish and approve the budget and meet all financial reporting and compliance requirements. (NMSA 22-8-6.1 and 10)</w:t>
            </w:r>
          </w:p>
          <w:p w14:paraId="6D3E5929" w14:textId="77777777" w:rsidR="001966A9" w:rsidRDefault="00000000">
            <w:pPr>
              <w:tabs>
                <w:tab w:val="left" w:pos="2177"/>
              </w:tabs>
            </w:pPr>
            <w:r>
              <w:tab/>
            </w:r>
          </w:p>
        </w:tc>
        <w:tc>
          <w:tcPr>
            <w:tcW w:w="4230" w:type="dxa"/>
          </w:tcPr>
          <w:p w14:paraId="0BEF6040" w14:textId="77777777" w:rsidR="001966A9" w:rsidRDefault="00000000">
            <w:pPr>
              <w:tabs>
                <w:tab w:val="center" w:pos="2412"/>
              </w:tabs>
              <w:spacing w:after="60"/>
            </w:pPr>
            <w:r>
              <w:rPr>
                <w:b/>
                <w:color w:val="007033"/>
              </w:rPr>
              <w:t>Meets</w:t>
            </w:r>
            <w:r>
              <w:t>: The school submits all budget request documents and budget approval documents to the PED according to PED's established deadlines; submits quarterly reports according to PEDs established deadlines without frequent, repeated errors; and publicly posts all required reports.</w:t>
            </w:r>
          </w:p>
          <w:p w14:paraId="794C2F85" w14:textId="77777777" w:rsidR="001966A9" w:rsidRDefault="00000000">
            <w:pPr>
              <w:spacing w:after="60"/>
            </w:pPr>
            <w:r>
              <w:rPr>
                <w:b/>
                <w:color w:val="FFC000"/>
              </w:rPr>
              <w:t>Working to Meet</w:t>
            </w:r>
            <w:r>
              <w:t xml:space="preserve">: Sometime during the fiscal year, the school was required to do monthly reporting; </w:t>
            </w:r>
            <w:r>
              <w:rPr>
                <w:b/>
              </w:rPr>
              <w:t>OR</w:t>
            </w:r>
            <w:r>
              <w:t xml:space="preserve"> the school does not meet the criteria for "Meets" but does not meet the criteria for "Does Not Meet."</w:t>
            </w:r>
          </w:p>
          <w:p w14:paraId="7AC7EAF6" w14:textId="77777777" w:rsidR="001966A9" w:rsidRDefault="00000000">
            <w:pPr>
              <w:tabs>
                <w:tab w:val="center" w:pos="2412"/>
              </w:tabs>
              <w:spacing w:after="60"/>
              <w:rPr>
                <w:b/>
                <w:color w:val="007033"/>
              </w:rPr>
            </w:pPr>
            <w:r>
              <w:rPr>
                <w:b/>
                <w:color w:val="CC0000"/>
              </w:rPr>
              <w:t>Does Not Meet</w:t>
            </w:r>
            <w:r>
              <w:t xml:space="preserve">: The school consistently fails to submit required budget documents or reports according to PED’s established </w:t>
            </w:r>
            <w:r>
              <w:lastRenderedPageBreak/>
              <w:t>deadlines; submits reports with frequent, repeated errors; or fails to publicly post required reports.</w:t>
            </w:r>
          </w:p>
        </w:tc>
      </w:tr>
      <w:tr w:rsidR="001966A9" w14:paraId="75B991D0" w14:textId="77777777">
        <w:trPr>
          <w:trHeight w:val="315"/>
        </w:trPr>
        <w:tc>
          <w:tcPr>
            <w:tcW w:w="9216" w:type="dxa"/>
            <w:gridSpan w:val="2"/>
            <w:shd w:val="clear" w:color="auto" w:fill="F2F2F2"/>
          </w:tcPr>
          <w:p w14:paraId="78732E06" w14:textId="77777777" w:rsidR="001966A9" w:rsidRDefault="00000000">
            <w:pPr>
              <w:tabs>
                <w:tab w:val="left" w:pos="2813"/>
              </w:tabs>
              <w:spacing w:after="60"/>
              <w:rPr>
                <w:b/>
                <w:color w:val="007033"/>
              </w:rPr>
            </w:pPr>
            <w:r>
              <w:rPr>
                <w:b/>
              </w:rPr>
              <w:t xml:space="preserve">4.D. Fiscal Oversight: </w:t>
            </w:r>
            <w:r>
              <w:t>The school and its governing board effectively provide fiscal oversight by establishing, approving, and monitoring annual budget execution and safeguarding the financial health and activities of the school.</w:t>
            </w:r>
          </w:p>
        </w:tc>
      </w:tr>
      <w:tr w:rsidR="001966A9" w14:paraId="6F02E41E" w14:textId="77777777">
        <w:trPr>
          <w:trHeight w:val="315"/>
        </w:trPr>
        <w:tc>
          <w:tcPr>
            <w:tcW w:w="4986" w:type="dxa"/>
          </w:tcPr>
          <w:p w14:paraId="6B1BDFA8" w14:textId="77777777" w:rsidR="001966A9" w:rsidRDefault="00000000">
            <w:r>
              <w:t>The school has employed financial expertise and/or contracts with a licensed business manager and licensed procurement officer.</w:t>
            </w:r>
          </w:p>
          <w:p w14:paraId="27601D0E" w14:textId="77777777" w:rsidR="001966A9" w:rsidRDefault="001966A9"/>
          <w:p w14:paraId="2D4760A7" w14:textId="77777777" w:rsidR="001966A9" w:rsidRDefault="00000000">
            <w:r>
              <w:t>The governing board:</w:t>
            </w:r>
          </w:p>
          <w:p w14:paraId="2653B3D9" w14:textId="77777777" w:rsidR="001966A9" w:rsidRDefault="00000000">
            <w:pPr>
              <w:numPr>
                <w:ilvl w:val="0"/>
                <w:numId w:val="3"/>
              </w:numPr>
              <w:pBdr>
                <w:top w:val="nil"/>
                <w:left w:val="nil"/>
                <w:bottom w:val="nil"/>
                <w:right w:val="nil"/>
                <w:between w:val="nil"/>
              </w:pBdr>
              <w:spacing w:line="259" w:lineRule="auto"/>
            </w:pPr>
            <w:r>
              <w:rPr>
                <w:color w:val="000000"/>
              </w:rPr>
              <w:t>has adopted and maintains financial-related policies.</w:t>
            </w:r>
          </w:p>
          <w:p w14:paraId="742742C0" w14:textId="77777777" w:rsidR="001966A9" w:rsidRDefault="00000000">
            <w:pPr>
              <w:numPr>
                <w:ilvl w:val="0"/>
                <w:numId w:val="3"/>
              </w:numPr>
              <w:pBdr>
                <w:top w:val="nil"/>
                <w:left w:val="nil"/>
                <w:bottom w:val="nil"/>
                <w:right w:val="nil"/>
                <w:between w:val="nil"/>
              </w:pBdr>
              <w:spacing w:line="259" w:lineRule="auto"/>
            </w:pPr>
            <w:r>
              <w:rPr>
                <w:color w:val="000000"/>
              </w:rPr>
              <w:t>reviews financial reports and statements, including a statement of net position, a budget to an actual statement of revenues, expenditures, and changes in fund balance, and a cash flow statement at all meetings.</w:t>
            </w:r>
          </w:p>
          <w:p w14:paraId="2138C56D" w14:textId="77777777" w:rsidR="001966A9" w:rsidRDefault="00000000">
            <w:pPr>
              <w:numPr>
                <w:ilvl w:val="0"/>
                <w:numId w:val="3"/>
              </w:numPr>
              <w:pBdr>
                <w:top w:val="nil"/>
                <w:left w:val="nil"/>
                <w:bottom w:val="nil"/>
                <w:right w:val="nil"/>
                <w:between w:val="nil"/>
              </w:pBdr>
              <w:spacing w:line="259" w:lineRule="auto"/>
            </w:pPr>
            <w:r>
              <w:rPr>
                <w:color w:val="000000"/>
              </w:rPr>
              <w:t>annually reviews the audited financial statements, related reports, and management letters and ensures all findings are addressed.</w:t>
            </w:r>
          </w:p>
          <w:p w14:paraId="19FA9BE0" w14:textId="77777777" w:rsidR="001966A9" w:rsidRDefault="00000000">
            <w:pPr>
              <w:numPr>
                <w:ilvl w:val="0"/>
                <w:numId w:val="3"/>
              </w:numPr>
              <w:pBdr>
                <w:top w:val="nil"/>
                <w:left w:val="nil"/>
                <w:bottom w:val="nil"/>
                <w:right w:val="nil"/>
                <w:between w:val="nil"/>
              </w:pBdr>
              <w:spacing w:line="259" w:lineRule="auto"/>
            </w:pPr>
            <w:r>
              <w:rPr>
                <w:color w:val="000000"/>
              </w:rPr>
              <w:t xml:space="preserve">has an audit committee that fulfills its requirements as described in statute. </w:t>
            </w:r>
          </w:p>
          <w:p w14:paraId="3E3A9979" w14:textId="77777777" w:rsidR="001966A9" w:rsidRDefault="00000000">
            <w:pPr>
              <w:numPr>
                <w:ilvl w:val="0"/>
                <w:numId w:val="3"/>
              </w:numPr>
              <w:pBdr>
                <w:top w:val="nil"/>
                <w:left w:val="nil"/>
                <w:bottom w:val="nil"/>
                <w:right w:val="nil"/>
                <w:between w:val="nil"/>
              </w:pBdr>
              <w:spacing w:line="259" w:lineRule="auto"/>
            </w:pPr>
            <w:r>
              <w:rPr>
                <w:color w:val="000000"/>
              </w:rPr>
              <w:t xml:space="preserve">has a finance committee fulfills its requirements as described in statute. </w:t>
            </w:r>
          </w:p>
          <w:p w14:paraId="691E7A2A" w14:textId="77777777" w:rsidR="001966A9" w:rsidRDefault="001966A9"/>
          <w:p w14:paraId="51419AD6" w14:textId="77777777" w:rsidR="001966A9" w:rsidRDefault="00000000">
            <w:r>
              <w:t>At least annually, the finance committee tests internal audit controls.</w:t>
            </w:r>
          </w:p>
        </w:tc>
        <w:tc>
          <w:tcPr>
            <w:tcW w:w="4230" w:type="dxa"/>
          </w:tcPr>
          <w:p w14:paraId="5CDDEE10" w14:textId="77777777" w:rsidR="001966A9" w:rsidRDefault="00000000">
            <w:pPr>
              <w:tabs>
                <w:tab w:val="center" w:pos="2412"/>
              </w:tabs>
              <w:spacing w:after="60"/>
            </w:pPr>
            <w:r>
              <w:rPr>
                <w:b/>
                <w:color w:val="007033"/>
              </w:rPr>
              <w:t>Meets</w:t>
            </w:r>
            <w:r>
              <w:t>: The school and board provide evidence of compliance with the requirements of all seven indicators during the fiscal year.</w:t>
            </w:r>
          </w:p>
          <w:p w14:paraId="4902D259" w14:textId="77777777" w:rsidR="001966A9" w:rsidRDefault="00000000">
            <w:pPr>
              <w:spacing w:after="60"/>
            </w:pPr>
            <w:r>
              <w:rPr>
                <w:b/>
                <w:color w:val="FFC000"/>
              </w:rPr>
              <w:t>Working to Meet</w:t>
            </w:r>
            <w:r>
              <w:t>: The school and board provide evidence of compliance with the requirements of at least five of the seven indicators during the fiscal year.</w:t>
            </w:r>
          </w:p>
          <w:p w14:paraId="0C4C87D0" w14:textId="77777777" w:rsidR="001966A9" w:rsidRDefault="00000000">
            <w:pPr>
              <w:tabs>
                <w:tab w:val="center" w:pos="2412"/>
              </w:tabs>
              <w:spacing w:after="60"/>
              <w:rPr>
                <w:b/>
                <w:color w:val="007033"/>
              </w:rPr>
            </w:pPr>
            <w:r>
              <w:rPr>
                <w:b/>
                <w:color w:val="CC0000"/>
              </w:rPr>
              <w:t>Does Not Meet</w:t>
            </w:r>
            <w:r>
              <w:t>: The school did not meet the criteria for Working to Meet.</w:t>
            </w:r>
          </w:p>
        </w:tc>
      </w:tr>
      <w:tr w:rsidR="001966A9" w14:paraId="6DA3036F" w14:textId="77777777">
        <w:trPr>
          <w:trHeight w:val="315"/>
        </w:trPr>
        <w:tc>
          <w:tcPr>
            <w:tcW w:w="9216" w:type="dxa"/>
            <w:gridSpan w:val="2"/>
            <w:shd w:val="clear" w:color="auto" w:fill="F2F2F2"/>
          </w:tcPr>
          <w:p w14:paraId="5CF63D85" w14:textId="77777777" w:rsidR="001966A9" w:rsidRDefault="00000000">
            <w:pPr>
              <w:tabs>
                <w:tab w:val="center" w:pos="2412"/>
              </w:tabs>
              <w:spacing w:after="60"/>
              <w:rPr>
                <w:b/>
                <w:color w:val="007033"/>
              </w:rPr>
            </w:pPr>
            <w:r>
              <w:rPr>
                <w:b/>
              </w:rPr>
              <w:t xml:space="preserve">4.E. Enrollment Variance: </w:t>
            </w:r>
            <w:r>
              <w:t>The school's budgeted enrollment is close to its actual enrollment, requiring no or slight budget revisions.</w:t>
            </w:r>
          </w:p>
        </w:tc>
      </w:tr>
      <w:tr w:rsidR="001966A9" w14:paraId="4B7DE994" w14:textId="77777777">
        <w:trPr>
          <w:trHeight w:val="315"/>
        </w:trPr>
        <w:tc>
          <w:tcPr>
            <w:tcW w:w="4986" w:type="dxa"/>
          </w:tcPr>
          <w:p w14:paraId="21C7BDA6" w14:textId="77777777" w:rsidR="001966A9" w:rsidRDefault="00000000">
            <w:r>
              <w:t>The school makes accurate enrollment assumptions, resulting in a budget that is sound.</w:t>
            </w:r>
          </w:p>
        </w:tc>
        <w:tc>
          <w:tcPr>
            <w:tcW w:w="4230" w:type="dxa"/>
          </w:tcPr>
          <w:p w14:paraId="06C35AC1" w14:textId="77777777" w:rsidR="001966A9" w:rsidRDefault="00000000">
            <w:pPr>
              <w:tabs>
                <w:tab w:val="center" w:pos="2412"/>
              </w:tabs>
              <w:spacing w:after="60"/>
            </w:pPr>
            <w:r>
              <w:t>Enrollment variance (actual enrollment/budgeted enrollment) is:</w:t>
            </w:r>
          </w:p>
          <w:p w14:paraId="0F7D629A" w14:textId="77777777" w:rsidR="001966A9" w:rsidRDefault="00000000">
            <w:pPr>
              <w:tabs>
                <w:tab w:val="center" w:pos="2412"/>
              </w:tabs>
              <w:spacing w:after="60"/>
            </w:pPr>
            <w:r>
              <w:rPr>
                <w:b/>
                <w:color w:val="007033"/>
              </w:rPr>
              <w:t>Meets</w:t>
            </w:r>
            <w:r>
              <w:t>: ≥ 95%</w:t>
            </w:r>
          </w:p>
          <w:p w14:paraId="583C622B" w14:textId="77777777" w:rsidR="001966A9" w:rsidRDefault="00000000">
            <w:pPr>
              <w:spacing w:after="60"/>
            </w:pPr>
            <w:r>
              <w:rPr>
                <w:b/>
                <w:color w:val="FFC000"/>
              </w:rPr>
              <w:t>Working to Meet</w:t>
            </w:r>
            <w:r>
              <w:t>: &lt; 95% but ≥ 85%</w:t>
            </w:r>
          </w:p>
          <w:p w14:paraId="1F8EFC9E" w14:textId="77777777" w:rsidR="001966A9" w:rsidRDefault="00000000">
            <w:pPr>
              <w:spacing w:before="60"/>
            </w:pPr>
            <w:r>
              <w:rPr>
                <w:b/>
                <w:color w:val="CC0000"/>
              </w:rPr>
              <w:t>Does Not Meet</w:t>
            </w:r>
            <w:r>
              <w:t>: &lt; 85%</w:t>
            </w:r>
          </w:p>
        </w:tc>
      </w:tr>
    </w:tbl>
    <w:p w14:paraId="3876A4BD" w14:textId="77777777" w:rsidR="001966A9" w:rsidRDefault="001966A9"/>
    <w:sectPr w:rsidR="001966A9">
      <w:headerReference w:type="even" r:id="rId18"/>
      <w:headerReference w:type="default" r:id="rId19"/>
      <w:footerReference w:type="even" r:id="rId20"/>
      <w:footerReference w:type="default" r:id="rId21"/>
      <w:headerReference w:type="first" r:id="rId22"/>
      <w:footerReference w:type="first" r:id="rId23"/>
      <w:pgSz w:w="12240" w:h="15840"/>
      <w:pgMar w:top="630" w:right="1440" w:bottom="10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C625C3" w14:textId="77777777" w:rsidR="00F056DF" w:rsidRDefault="00F056DF">
      <w:pPr>
        <w:spacing w:after="0" w:line="240" w:lineRule="auto"/>
      </w:pPr>
      <w:r>
        <w:separator/>
      </w:r>
    </w:p>
  </w:endnote>
  <w:endnote w:type="continuationSeparator" w:id="0">
    <w:p w14:paraId="7566F739" w14:textId="77777777" w:rsidR="00F056DF" w:rsidRDefault="00F0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F93F5E5-A881-46F4-9FEB-F97AC4AFA75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3DAE4B9-C613-4CC0-9F8C-BAB05C78588C}"/>
    <w:embedBold r:id="rId3" w:fontKey="{63B8B413-3993-4E5F-A644-F4F8A6501A7C}"/>
    <w:embedItalic r:id="rId4" w:fontKey="{22B179DE-6744-4C80-9E15-44D2D92CA9A2}"/>
  </w:font>
  <w:font w:name="Calibri Light">
    <w:panose1 w:val="020F0302020204030204"/>
    <w:charset w:val="00"/>
    <w:family w:val="swiss"/>
    <w:pitch w:val="variable"/>
    <w:sig w:usb0="E4002EFF" w:usb1="C200247B" w:usb2="00000009" w:usb3="00000000" w:csb0="000001FF" w:csb1="00000000"/>
    <w:embedRegular r:id="rId5" w:fontKey="{D6762EE1-5BB7-41EE-9D30-49DE2819419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BC83CF0D-4112-4593-935D-F3C5D44696A0}"/>
  </w:font>
  <w:font w:name="Georgia">
    <w:panose1 w:val="02040502050405020303"/>
    <w:charset w:val="00"/>
    <w:family w:val="roman"/>
    <w:pitch w:val="variable"/>
    <w:sig w:usb0="00000287" w:usb1="00000000" w:usb2="00000000" w:usb3="00000000" w:csb0="0000009F" w:csb1="00000000"/>
    <w:embedRegular r:id="rId7" w:fontKey="{4CA0F691-9292-4A06-BFF9-0F22C3D89DB9}"/>
    <w:embedItalic r:id="rId8" w:fontKey="{3EB7F31F-A74F-4685-8042-3052CE4022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13C0A" w14:textId="77777777" w:rsidR="001966A9" w:rsidRDefault="001966A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74BCD" w14:textId="50E8C699" w:rsidR="001966A9" w:rsidRDefault="00000000">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t xml:space="preserve">Performance Framework </w:t>
    </w:r>
    <w:r>
      <w:rPr>
        <w:sz w:val="20"/>
        <w:szCs w:val="20"/>
      </w:rPr>
      <w:t>(Approved 5.17.24</w:t>
    </w:r>
    <w:r w:rsidR="006F1C75">
      <w:rPr>
        <w:sz w:val="20"/>
        <w:szCs w:val="20"/>
      </w:rPr>
      <w:t>, Revised 8.15.24</w:t>
    </w:r>
    <w:r>
      <w:rPr>
        <w:sz w:val="20"/>
        <w:szCs w:val="20"/>
      </w:rPr>
      <w:t>)</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46046C">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46046C">
      <w:rPr>
        <w:noProof/>
        <w:color w:val="000000"/>
        <w:sz w:val="20"/>
        <w:szCs w:val="20"/>
      </w:rPr>
      <w:t>2</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8B010" w14:textId="77777777" w:rsidR="001966A9" w:rsidRDefault="001966A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929B25" w14:textId="77777777" w:rsidR="00F056DF" w:rsidRDefault="00F056DF">
      <w:pPr>
        <w:spacing w:after="0" w:line="240" w:lineRule="auto"/>
      </w:pPr>
      <w:r>
        <w:separator/>
      </w:r>
    </w:p>
  </w:footnote>
  <w:footnote w:type="continuationSeparator" w:id="0">
    <w:p w14:paraId="60771282" w14:textId="77777777" w:rsidR="00F056DF" w:rsidRDefault="00F056DF">
      <w:pPr>
        <w:spacing w:after="0" w:line="240" w:lineRule="auto"/>
      </w:pPr>
      <w:r>
        <w:continuationSeparator/>
      </w:r>
    </w:p>
  </w:footnote>
  <w:footnote w:id="1">
    <w:p w14:paraId="1DE6C6B5" w14:textId="77777777" w:rsidR="001966A9" w:rsidRDefault="00000000">
      <w:pPr>
        <w:pBdr>
          <w:top w:val="nil"/>
          <w:left w:val="nil"/>
          <w:bottom w:val="nil"/>
          <w:right w:val="nil"/>
          <w:between w:val="nil"/>
        </w:pBdr>
        <w:rPr>
          <w:sz w:val="20"/>
          <w:szCs w:val="20"/>
        </w:rPr>
      </w:pPr>
      <w:r>
        <w:rPr>
          <w:rStyle w:val="FootnoteReference"/>
        </w:rPr>
        <w:footnoteRef/>
      </w:r>
      <w:r>
        <w:rPr>
          <w:sz w:val="20"/>
          <w:szCs w:val="20"/>
        </w:rPr>
        <w:t xml:space="preserve">  </w:t>
      </w:r>
      <w:hyperlink r:id="rId1">
        <w:r>
          <w:rPr>
            <w:color w:val="1155CC"/>
            <w:sz w:val="20"/>
            <w:szCs w:val="20"/>
            <w:u w:val="single"/>
          </w:rPr>
          <w:t>https://clearimpact.com/results-based-accountability/</w:t>
        </w:r>
      </w:hyperlink>
    </w:p>
    <w:p w14:paraId="3961D40A" w14:textId="77777777" w:rsidR="001966A9" w:rsidRDefault="001966A9">
      <w:pPr>
        <w:pBdr>
          <w:top w:val="nil"/>
          <w:left w:val="nil"/>
          <w:bottom w:val="nil"/>
          <w:right w:val="nil"/>
          <w:between w:val="nil"/>
        </w:pBdr>
        <w:rPr>
          <w:sz w:val="20"/>
          <w:szCs w:val="20"/>
        </w:rPr>
      </w:pPr>
    </w:p>
  </w:footnote>
  <w:footnote w:id="2">
    <w:p w14:paraId="791045A4" w14:textId="77777777" w:rsidR="001966A9" w:rsidRDefault="00000000">
      <w:pPr>
        <w:pBdr>
          <w:top w:val="nil"/>
          <w:left w:val="nil"/>
          <w:bottom w:val="nil"/>
          <w:right w:val="nil"/>
          <w:between w:val="nil"/>
        </w:pBdr>
        <w:rPr>
          <w:sz w:val="18"/>
          <w:szCs w:val="18"/>
        </w:rPr>
      </w:pPr>
      <w:r>
        <w:rPr>
          <w:rStyle w:val="FootnoteReference"/>
        </w:rPr>
        <w:footnoteRef/>
      </w:r>
      <w:r>
        <w:rPr>
          <w:sz w:val="18"/>
          <w:szCs w:val="18"/>
        </w:rPr>
        <w:t xml:space="preserve"> </w:t>
      </w:r>
      <w:r>
        <w:rPr>
          <w:color w:val="000000"/>
          <w:sz w:val="18"/>
          <w:szCs w:val="18"/>
        </w:rPr>
        <w:t>While the Overall Evaluation provides a likely renewal outcome to provide transparency and clarity on the performance of a school, the designations are intended as an acknowledgment of positive performance or a warning and should trigger action on the part of the school to improve its performance. Actual non-renewal is a determination made by PEC only at the time of renewal based on a school’s record of performance across the entire contract term.</w:t>
      </w:r>
      <w:r>
        <w:rPr>
          <w:color w:val="000000"/>
          <w:sz w:val="18"/>
          <w:szCs w:val="18"/>
          <w:u w:val="single"/>
        </w:rPr>
        <w:t xml:space="preserve">  </w:t>
      </w:r>
    </w:p>
  </w:footnote>
  <w:footnote w:id="3">
    <w:p w14:paraId="004CA5C2" w14:textId="77777777" w:rsidR="001966A9"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One option will be chosen by each school for 1.A., 1.B., and 2.A. only. Options 1.A.1. and 1.B.1 are the default options; schools may negotiate options 1.A.2., 1.A.3. 1.B.2., and 1.B.3. during contract negotiations. The academic performance indicators negotiated as part of the charter contract and associated performance framework are intended to remain unchanged for the duration of the charter contract.</w:t>
      </w:r>
    </w:p>
  </w:footnote>
  <w:footnote w:id="4">
    <w:p w14:paraId="177FBCA6" w14:textId="79F683CA" w:rsidR="001966A9"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If the school selects Option 1.A.2. or 1.A.3. and fewer than 85% </w:t>
      </w:r>
      <w:r w:rsidR="00031C67">
        <w:rPr>
          <w:color w:val="000000"/>
          <w:sz w:val="20"/>
          <w:szCs w:val="20"/>
        </w:rPr>
        <w:t xml:space="preserve">(or, for Option 1.A.3., the percentage negotiated) </w:t>
      </w:r>
      <w:r>
        <w:rPr>
          <w:color w:val="000000"/>
          <w:sz w:val="20"/>
          <w:szCs w:val="20"/>
        </w:rPr>
        <w:t>of students identified to be tested are tested on school-specific assessments, the results are considered invalid, and the school defaults to Option 1.A.1. If testing data are not provided to CSD for review by the timeline established by CSD, the results are considered invalid, and the school defaults to Option 1.A.1. If the school wishes to change assessments or growth targets, it is considered a material change of the contract and requires PEC approval prior to the change through a contract amendment.</w:t>
      </w:r>
    </w:p>
  </w:footnote>
  <w:footnote w:id="5">
    <w:p w14:paraId="1A74F67D" w14:textId="77777777" w:rsidR="001966A9"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In using the alternative assessment measure, the same students tested under the state accountability system will be tested under the alternative assessment measure as well.  A school may negotiate with the PEC to test more students under the alternative assessment measure, but, in all cases, those students tested under the state accountability system will also be assessed under the alternative assessment measure.</w:t>
      </w:r>
    </w:p>
  </w:footnote>
  <w:footnote w:id="6">
    <w:p w14:paraId="1420D483" w14:textId="77777777" w:rsidR="001966A9"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As defined in the charter contract and meets the terms defined by the testing company.</w:t>
      </w:r>
    </w:p>
  </w:footnote>
  <w:footnote w:id="7">
    <w:p w14:paraId="4A856CFA" w14:textId="77777777" w:rsidR="001966A9"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These criteria also apply to the “Meets” and “Working to Meet” criteria for this option.</w:t>
      </w:r>
    </w:p>
  </w:footnote>
  <w:footnote w:id="8">
    <w:p w14:paraId="7BB2987A" w14:textId="77777777" w:rsidR="001966A9" w:rsidRDefault="00000000">
      <w:pPr>
        <w:spacing w:after="0" w:line="240" w:lineRule="auto"/>
        <w:rPr>
          <w:color w:val="000000"/>
        </w:rPr>
      </w:pPr>
      <w:r>
        <w:rPr>
          <w:rStyle w:val="FootnoteReference"/>
        </w:rPr>
        <w:footnoteRef/>
      </w:r>
      <w:r>
        <w:rPr>
          <w:color w:val="000000"/>
        </w:rPr>
        <w:t xml:space="preserve"> </w:t>
      </w:r>
      <w:r>
        <w:rPr>
          <w:color w:val="000000"/>
          <w:sz w:val="20"/>
          <w:szCs w:val="20"/>
        </w:rPr>
        <w:t xml:space="preserve">See Business </w:t>
      </w:r>
      <w:r>
        <w:rPr>
          <w:sz w:val="20"/>
          <w:szCs w:val="20"/>
        </w:rPr>
        <w:t>R</w:t>
      </w:r>
      <w:r>
        <w:rPr>
          <w:color w:val="000000"/>
          <w:sz w:val="20"/>
          <w:szCs w:val="20"/>
        </w:rPr>
        <w:t>ules for masked subgroups.</w:t>
      </w:r>
    </w:p>
  </w:footnote>
  <w:footnote w:id="9">
    <w:p w14:paraId="0D9074B0" w14:textId="77777777" w:rsidR="001966A9" w:rsidRDefault="00000000">
      <w:pPr>
        <w:spacing w:after="0" w:line="240" w:lineRule="auto"/>
        <w:rPr>
          <w:sz w:val="20"/>
          <w:szCs w:val="20"/>
        </w:rPr>
      </w:pPr>
      <w:r>
        <w:rPr>
          <w:rStyle w:val="FootnoteReference"/>
        </w:rPr>
        <w:footnoteRef/>
      </w:r>
      <w:r>
        <w:rPr>
          <w:sz w:val="20"/>
          <w:szCs w:val="20"/>
        </w:rPr>
        <w:t xml:space="preserve"> See Business Rule for rules related to scoring of this indicator.</w:t>
      </w:r>
    </w:p>
  </w:footnote>
  <w:footnote w:id="10">
    <w:p w14:paraId="79D93ADB" w14:textId="77777777" w:rsidR="001966A9"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 5 applies.</w:t>
      </w:r>
    </w:p>
  </w:footnote>
  <w:footnote w:id="11">
    <w:p w14:paraId="1DB3E93C" w14:textId="77777777" w:rsidR="001966A9"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i/>
          <w:color w:val="000000"/>
          <w:sz w:val="20"/>
          <w:szCs w:val="20"/>
          <w:u w:val="single"/>
        </w:rPr>
        <w:t>See</w:t>
      </w:r>
      <w:r>
        <w:rPr>
          <w:color w:val="000000"/>
          <w:sz w:val="20"/>
          <w:szCs w:val="20"/>
        </w:rPr>
        <w:t xml:space="preserve"> Business Rules for masked subgroups. </w:t>
      </w:r>
    </w:p>
  </w:footnote>
  <w:footnote w:id="12">
    <w:p w14:paraId="1A075813" w14:textId="77777777" w:rsidR="001966A9" w:rsidRDefault="00000000">
      <w:pPr>
        <w:spacing w:after="0" w:line="240" w:lineRule="auto"/>
        <w:rPr>
          <w:sz w:val="20"/>
          <w:szCs w:val="20"/>
        </w:rPr>
      </w:pPr>
      <w:r>
        <w:rPr>
          <w:rStyle w:val="FootnoteReference"/>
        </w:rPr>
        <w:footnoteRef/>
      </w:r>
      <w:r>
        <w:rPr>
          <w:sz w:val="20"/>
          <w:szCs w:val="20"/>
        </w:rPr>
        <w:t xml:space="preserve"> If fewer than 85% of students identified to be tested are tested on the mission-specific assessment, the results are considered invalid, and the school's mission goal will be considered "Does Not Meet." If the testing data is not provided to CSD for review by the timeline established by CSD, the results are considered invalid, and the school's mission goal will be considered "Does Not Meet." If the school changes assessments or the way in which the measure is calculated, it is considered a material change of the charter contract and requires prior PEC approval. </w:t>
      </w:r>
    </w:p>
  </w:footnote>
  <w:footnote w:id="13">
    <w:p w14:paraId="26CA8A00" w14:textId="77777777" w:rsidR="001966A9" w:rsidRDefault="00000000">
      <w:pPr>
        <w:spacing w:after="0" w:line="240" w:lineRule="auto"/>
        <w:rPr>
          <w:sz w:val="20"/>
          <w:szCs w:val="20"/>
        </w:rPr>
      </w:pPr>
      <w:r>
        <w:rPr>
          <w:rStyle w:val="FootnoteReference"/>
        </w:rPr>
        <w:footnoteRef/>
      </w:r>
      <w:r>
        <w:rPr>
          <w:sz w:val="20"/>
          <w:szCs w:val="20"/>
        </w:rPr>
        <w:t xml:space="preserve"> All students at the school should participate in the mission of the school, so the goal should cover and assess all students at the school.  The assessment can vary by grade and certain assessments can be more rigorous than others (i.e. if a school’s mission culminates in a senior-year capstone project, the senior year assessment can be the most rigorous, and the assessments of 9-11 grade students could be assessed showing that they are gaining the building blocks necessary to be successful in their senior year capstone project such as learning and practicing interview skills needed for the capstone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5E5F0" w14:textId="77777777" w:rsidR="001966A9" w:rsidRDefault="001966A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E421E" w14:textId="77777777" w:rsidR="001966A9" w:rsidRDefault="001966A9">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8A5E5" w14:textId="77777777" w:rsidR="001966A9" w:rsidRDefault="001966A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A2DF6"/>
    <w:multiLevelType w:val="multilevel"/>
    <w:tmpl w:val="CECCE2E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ECF281E"/>
    <w:multiLevelType w:val="multilevel"/>
    <w:tmpl w:val="8940F1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731E1930"/>
    <w:multiLevelType w:val="multilevel"/>
    <w:tmpl w:val="F132915C"/>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9CC63C5"/>
    <w:multiLevelType w:val="multilevel"/>
    <w:tmpl w:val="8C507E8C"/>
    <w:lvl w:ilvl="0">
      <w:start w:val="1"/>
      <w:numFmt w:val="bullet"/>
      <w:lvlText w:val="●"/>
      <w:lvlJc w:val="left"/>
      <w:pPr>
        <w:ind w:left="216"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CD4F77"/>
    <w:multiLevelType w:val="multilevel"/>
    <w:tmpl w:val="858E32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83558381">
    <w:abstractNumId w:val="0"/>
  </w:num>
  <w:num w:numId="2" w16cid:durableId="1624847437">
    <w:abstractNumId w:val="3"/>
  </w:num>
  <w:num w:numId="3" w16cid:durableId="1019090351">
    <w:abstractNumId w:val="4"/>
  </w:num>
  <w:num w:numId="4" w16cid:durableId="43218451">
    <w:abstractNumId w:val="2"/>
  </w:num>
  <w:num w:numId="5" w16cid:durableId="5535877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6A9"/>
    <w:rsid w:val="00031C67"/>
    <w:rsid w:val="00161E2C"/>
    <w:rsid w:val="00176493"/>
    <w:rsid w:val="001966A9"/>
    <w:rsid w:val="002623ED"/>
    <w:rsid w:val="00267CFA"/>
    <w:rsid w:val="0046046C"/>
    <w:rsid w:val="00520997"/>
    <w:rsid w:val="00542AD7"/>
    <w:rsid w:val="006579C5"/>
    <w:rsid w:val="006F1C75"/>
    <w:rsid w:val="008B2B8B"/>
    <w:rsid w:val="00935270"/>
    <w:rsid w:val="00A61AD3"/>
    <w:rsid w:val="00A9142B"/>
    <w:rsid w:val="00AB22DD"/>
    <w:rsid w:val="00D918E8"/>
    <w:rsid w:val="00F056DF"/>
    <w:rsid w:val="00F26B13"/>
    <w:rsid w:val="00F96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C18B3"/>
  <w15:docId w15:val="{1B0FDB57-AD5C-492C-901D-06005A85E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7513"/>
    <w:pPr>
      <w:keepNext/>
      <w:keepLines/>
      <w:spacing w:after="120"/>
      <w:jc w:val="center"/>
      <w:outlineLvl w:val="0"/>
    </w:pPr>
    <w:rPr>
      <w:rFonts w:eastAsiaTheme="majorEastAsia"/>
      <w:b/>
      <w:bCs/>
      <w:sz w:val="28"/>
      <w:szCs w:val="28"/>
    </w:rPr>
  </w:style>
  <w:style w:type="paragraph" w:styleId="Heading2">
    <w:name w:val="heading 2"/>
    <w:basedOn w:val="Normal"/>
    <w:next w:val="Normal"/>
    <w:link w:val="Heading2Char"/>
    <w:uiPriority w:val="9"/>
    <w:semiHidden/>
    <w:unhideWhenUsed/>
    <w:qFormat/>
    <w:rsid w:val="00281E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F5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809"/>
  </w:style>
  <w:style w:type="paragraph" w:styleId="Footer">
    <w:name w:val="footer"/>
    <w:basedOn w:val="Normal"/>
    <w:link w:val="FooterChar"/>
    <w:uiPriority w:val="99"/>
    <w:unhideWhenUsed/>
    <w:rsid w:val="00DF5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809"/>
  </w:style>
  <w:style w:type="character" w:styleId="FootnoteReference">
    <w:name w:val="footnote reference"/>
    <w:basedOn w:val="DefaultParagraphFont"/>
    <w:uiPriority w:val="99"/>
    <w:semiHidden/>
    <w:unhideWhenUsed/>
    <w:rsid w:val="00DF5809"/>
    <w:rPr>
      <w:vertAlign w:val="superscript"/>
    </w:rPr>
  </w:style>
  <w:style w:type="character" w:styleId="Hyperlink">
    <w:name w:val="Hyperlink"/>
    <w:basedOn w:val="DefaultParagraphFont"/>
    <w:uiPriority w:val="99"/>
    <w:unhideWhenUsed/>
    <w:rsid w:val="00DF5809"/>
    <w:rPr>
      <w:color w:val="0563C1" w:themeColor="hyperlink"/>
      <w:u w:val="single"/>
    </w:rPr>
  </w:style>
  <w:style w:type="character" w:styleId="UnresolvedMention">
    <w:name w:val="Unresolved Mention"/>
    <w:basedOn w:val="DefaultParagraphFont"/>
    <w:uiPriority w:val="99"/>
    <w:semiHidden/>
    <w:unhideWhenUsed/>
    <w:rsid w:val="00DF5809"/>
    <w:rPr>
      <w:color w:val="605E5C"/>
      <w:shd w:val="clear" w:color="auto" w:fill="E1DFDD"/>
    </w:rPr>
  </w:style>
  <w:style w:type="character" w:customStyle="1" w:styleId="Heading1Char">
    <w:name w:val="Heading 1 Char"/>
    <w:basedOn w:val="DefaultParagraphFont"/>
    <w:link w:val="Heading1"/>
    <w:uiPriority w:val="9"/>
    <w:rsid w:val="00F47513"/>
    <w:rPr>
      <w:rFonts w:ascii="Calibri" w:eastAsiaTheme="majorEastAsia" w:hAnsi="Calibri" w:cs="Calibri"/>
      <w:b/>
      <w:bCs/>
      <w:sz w:val="28"/>
      <w:szCs w:val="28"/>
    </w:rPr>
  </w:style>
  <w:style w:type="paragraph" w:styleId="TOCHeading">
    <w:name w:val="TOC Heading"/>
    <w:basedOn w:val="Heading1"/>
    <w:next w:val="Normal"/>
    <w:uiPriority w:val="39"/>
    <w:unhideWhenUsed/>
    <w:qFormat/>
    <w:rsid w:val="00A27943"/>
    <w:pPr>
      <w:spacing w:before="240" w:after="0"/>
      <w:jc w:val="left"/>
      <w:outlineLvl w:val="9"/>
    </w:pPr>
    <w:rPr>
      <w:rFonts w:asciiTheme="majorHAnsi"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F16914"/>
    <w:pPr>
      <w:tabs>
        <w:tab w:val="right" w:leader="dot" w:pos="9350"/>
      </w:tabs>
      <w:spacing w:after="100"/>
    </w:pPr>
  </w:style>
  <w:style w:type="paragraph" w:styleId="ListParagraph">
    <w:name w:val="List Paragraph"/>
    <w:basedOn w:val="Normal"/>
    <w:uiPriority w:val="34"/>
    <w:qFormat/>
    <w:rsid w:val="00664CAB"/>
    <w:pPr>
      <w:ind w:left="720"/>
      <w:contextualSpacing/>
    </w:pPr>
  </w:style>
  <w:style w:type="table" w:styleId="TableGrid">
    <w:name w:val="Table Grid"/>
    <w:basedOn w:val="TableNormal"/>
    <w:uiPriority w:val="39"/>
    <w:rsid w:val="00A15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B1F92"/>
    <w:pPr>
      <w:spacing w:after="0" w:line="240" w:lineRule="auto"/>
    </w:pPr>
    <w:rPr>
      <w:sz w:val="20"/>
      <w:szCs w:val="20"/>
    </w:rPr>
  </w:style>
  <w:style w:type="character" w:customStyle="1" w:styleId="FootnoteTextChar">
    <w:name w:val="Footnote Text Char"/>
    <w:basedOn w:val="DefaultParagraphFont"/>
    <w:link w:val="FootnoteText"/>
    <w:uiPriority w:val="99"/>
    <w:rsid w:val="006B1F92"/>
    <w:rPr>
      <w:sz w:val="20"/>
      <w:szCs w:val="20"/>
    </w:rPr>
  </w:style>
  <w:style w:type="paragraph" w:styleId="EndnoteText">
    <w:name w:val="endnote text"/>
    <w:basedOn w:val="Normal"/>
    <w:link w:val="EndnoteTextChar"/>
    <w:uiPriority w:val="99"/>
    <w:semiHidden/>
    <w:unhideWhenUsed/>
    <w:rsid w:val="00315C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5C97"/>
    <w:rPr>
      <w:sz w:val="20"/>
      <w:szCs w:val="20"/>
    </w:rPr>
  </w:style>
  <w:style w:type="character" w:styleId="EndnoteReference">
    <w:name w:val="endnote reference"/>
    <w:basedOn w:val="DefaultParagraphFont"/>
    <w:uiPriority w:val="99"/>
    <w:semiHidden/>
    <w:unhideWhenUsed/>
    <w:rsid w:val="00315C97"/>
    <w:rPr>
      <w:vertAlign w:val="superscript"/>
    </w:rPr>
  </w:style>
  <w:style w:type="character" w:styleId="FollowedHyperlink">
    <w:name w:val="FollowedHyperlink"/>
    <w:basedOn w:val="DefaultParagraphFont"/>
    <w:uiPriority w:val="99"/>
    <w:semiHidden/>
    <w:unhideWhenUsed/>
    <w:rsid w:val="00366E5B"/>
    <w:rPr>
      <w:color w:val="954F72" w:themeColor="followedHyperlink"/>
      <w:u w:val="single"/>
    </w:rPr>
  </w:style>
  <w:style w:type="paragraph" w:styleId="Revision">
    <w:name w:val="Revision"/>
    <w:hidden/>
    <w:uiPriority w:val="99"/>
    <w:semiHidden/>
    <w:rsid w:val="00465A4E"/>
    <w:pPr>
      <w:spacing w:after="0" w:line="240" w:lineRule="auto"/>
    </w:pPr>
  </w:style>
  <w:style w:type="character" w:styleId="CommentReference">
    <w:name w:val="annotation reference"/>
    <w:basedOn w:val="DefaultParagraphFont"/>
    <w:uiPriority w:val="99"/>
    <w:semiHidden/>
    <w:unhideWhenUsed/>
    <w:rsid w:val="006D5DCF"/>
    <w:rPr>
      <w:sz w:val="16"/>
      <w:szCs w:val="16"/>
    </w:rPr>
  </w:style>
  <w:style w:type="paragraph" w:styleId="CommentText">
    <w:name w:val="annotation text"/>
    <w:basedOn w:val="Normal"/>
    <w:link w:val="CommentTextChar"/>
    <w:uiPriority w:val="99"/>
    <w:unhideWhenUsed/>
    <w:rsid w:val="006D5DCF"/>
    <w:pPr>
      <w:spacing w:line="240" w:lineRule="auto"/>
    </w:pPr>
    <w:rPr>
      <w:sz w:val="20"/>
      <w:szCs w:val="20"/>
    </w:rPr>
  </w:style>
  <w:style w:type="character" w:customStyle="1" w:styleId="CommentTextChar">
    <w:name w:val="Comment Text Char"/>
    <w:basedOn w:val="DefaultParagraphFont"/>
    <w:link w:val="CommentText"/>
    <w:uiPriority w:val="99"/>
    <w:rsid w:val="006D5DCF"/>
    <w:rPr>
      <w:sz w:val="20"/>
      <w:szCs w:val="20"/>
    </w:rPr>
  </w:style>
  <w:style w:type="paragraph" w:styleId="CommentSubject">
    <w:name w:val="annotation subject"/>
    <w:basedOn w:val="CommentText"/>
    <w:next w:val="CommentText"/>
    <w:link w:val="CommentSubjectChar"/>
    <w:uiPriority w:val="99"/>
    <w:semiHidden/>
    <w:unhideWhenUsed/>
    <w:rsid w:val="006D5DCF"/>
    <w:rPr>
      <w:b/>
      <w:bCs/>
    </w:rPr>
  </w:style>
  <w:style w:type="character" w:customStyle="1" w:styleId="CommentSubjectChar">
    <w:name w:val="Comment Subject Char"/>
    <w:basedOn w:val="CommentTextChar"/>
    <w:link w:val="CommentSubject"/>
    <w:uiPriority w:val="99"/>
    <w:semiHidden/>
    <w:rsid w:val="006D5DCF"/>
    <w:rPr>
      <w:b/>
      <w:bCs/>
      <w:sz w:val="20"/>
      <w:szCs w:val="20"/>
    </w:rPr>
  </w:style>
  <w:style w:type="paragraph" w:styleId="NormalWeb">
    <w:name w:val="Normal (Web)"/>
    <w:basedOn w:val="Normal"/>
    <w:uiPriority w:val="99"/>
    <w:semiHidden/>
    <w:unhideWhenUsed/>
    <w:rsid w:val="00FF59EF"/>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660CEB"/>
    <w:pPr>
      <w:spacing w:after="100"/>
      <w:ind w:left="220"/>
    </w:pPr>
    <w:rPr>
      <w:rFonts w:eastAsiaTheme="minorEastAsia" w:cs="Times New Roman"/>
    </w:rPr>
  </w:style>
  <w:style w:type="paragraph" w:styleId="TOC3">
    <w:name w:val="toc 3"/>
    <w:basedOn w:val="Normal"/>
    <w:next w:val="Normal"/>
    <w:autoRedefine/>
    <w:uiPriority w:val="39"/>
    <w:unhideWhenUsed/>
    <w:rsid w:val="00660CEB"/>
    <w:pPr>
      <w:spacing w:after="100"/>
      <w:ind w:left="440"/>
    </w:pPr>
    <w:rPr>
      <w:rFonts w:eastAsiaTheme="minorEastAsia" w:cs="Times New Roman"/>
    </w:rPr>
  </w:style>
  <w:style w:type="character" w:customStyle="1" w:styleId="Heading2Char">
    <w:name w:val="Heading 2 Char"/>
    <w:basedOn w:val="DefaultParagraphFont"/>
    <w:link w:val="Heading2"/>
    <w:uiPriority w:val="9"/>
    <w:semiHidden/>
    <w:rsid w:val="00281E26"/>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281E26"/>
    <w:pPr>
      <w:widowControl w:val="0"/>
      <w:autoSpaceDE w:val="0"/>
      <w:autoSpaceDN w:val="0"/>
      <w:spacing w:after="0" w:line="240" w:lineRule="auto"/>
    </w:pPr>
  </w:style>
  <w:style w:type="character" w:customStyle="1" w:styleId="BodyTextChar">
    <w:name w:val="Body Text Char"/>
    <w:basedOn w:val="DefaultParagraphFont"/>
    <w:link w:val="BodyText"/>
    <w:uiPriority w:val="1"/>
    <w:rsid w:val="00281E26"/>
    <w:rPr>
      <w:rFonts w:ascii="Calibri" w:eastAsia="Calibri" w:hAnsi="Calibri" w:cs="Calibri"/>
      <w:kern w:val="0"/>
    </w:rPr>
  </w:style>
  <w:style w:type="paragraph" w:customStyle="1" w:styleId="TableParagraph">
    <w:name w:val="Table Paragraph"/>
    <w:basedOn w:val="Normal"/>
    <w:uiPriority w:val="1"/>
    <w:qFormat/>
    <w:rsid w:val="00281E26"/>
    <w:pPr>
      <w:widowControl w:val="0"/>
      <w:autoSpaceDE w:val="0"/>
      <w:autoSpaceDN w:val="0"/>
      <w:spacing w:after="0" w:line="240" w:lineRule="auto"/>
      <w:ind w:left="107"/>
    </w:pPr>
  </w:style>
  <w:style w:type="paragraph" w:customStyle="1" w:styleId="Default">
    <w:name w:val="Default"/>
    <w:rsid w:val="00281E26"/>
    <w:pPr>
      <w:autoSpaceDE w:val="0"/>
      <w:autoSpaceDN w:val="0"/>
      <w:adjustRightInd w:val="0"/>
      <w:spacing w:after="0" w:line="240" w:lineRule="auto"/>
    </w:pPr>
    <w:rPr>
      <w:rFonts w:ascii="Arial" w:hAnsi="Arial" w:cs="Arial"/>
      <w:color w:val="000000"/>
      <w:sz w:val="24"/>
      <w:szCs w:val="24"/>
    </w:rPr>
  </w:style>
  <w:style w:type="character" w:customStyle="1" w:styleId="apple-tab-span">
    <w:name w:val="apple-tab-span"/>
    <w:basedOn w:val="DefaultParagraphFont"/>
    <w:rsid w:val="003F08F5"/>
  </w:style>
  <w:style w:type="character" w:customStyle="1" w:styleId="cf01">
    <w:name w:val="cf01"/>
    <w:basedOn w:val="DefaultParagraphFont"/>
    <w:rsid w:val="00F87808"/>
    <w:rPr>
      <w:rFonts w:ascii="Segoe UI" w:hAnsi="Segoe UI" w:cs="Segoe UI" w:hint="default"/>
      <w:sz w:val="18"/>
      <w:szCs w:val="18"/>
    </w:rPr>
  </w:style>
  <w:style w:type="paragraph" w:customStyle="1" w:styleId="pf0">
    <w:name w:val="pf0"/>
    <w:basedOn w:val="Normal"/>
    <w:rsid w:val="00F87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1">
    <w:name w:val="pf1"/>
    <w:basedOn w:val="Normal"/>
    <w:rsid w:val="0073215C"/>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pPr>
      <w:spacing w:after="0" w:line="240" w:lineRule="auto"/>
    </w:pPr>
    <w:tblPr>
      <w:tblStyleRowBandSize w:val="1"/>
      <w:tblStyleColBandSize w:val="1"/>
      <w:tblCellMar>
        <w:left w:w="0" w:type="dxa"/>
        <w:right w:w="0" w:type="dxa"/>
      </w:tblCellMar>
    </w:tblPr>
  </w:style>
  <w:style w:type="table" w:customStyle="1" w:styleId="af4">
    <w:basedOn w:val="TableNormal"/>
    <w:pPr>
      <w:spacing w:after="0" w:line="240" w:lineRule="auto"/>
    </w:pPr>
    <w:tblPr>
      <w:tblStyleRowBandSize w:val="1"/>
      <w:tblStyleColBandSize w:val="1"/>
      <w:tblCellMar>
        <w:left w:w="0" w:type="dxa"/>
        <w:right w:w="0" w:type="dxa"/>
      </w:tblCellMar>
    </w:tblPr>
  </w:style>
  <w:style w:type="table" w:customStyle="1" w:styleId="af5">
    <w:basedOn w:val="TableNormal"/>
    <w:pPr>
      <w:spacing w:after="0" w:line="240" w:lineRule="auto"/>
    </w:pPr>
    <w:tblPr>
      <w:tblStyleRowBandSize w:val="1"/>
      <w:tblStyleColBandSize w:val="1"/>
      <w:tblCellMar>
        <w:left w:w="0" w:type="dxa"/>
        <w:right w:w="0" w:type="dxa"/>
      </w:tblCellMar>
    </w:tblPr>
  </w:style>
  <w:style w:type="table" w:customStyle="1" w:styleId="af6">
    <w:basedOn w:val="TableNormal"/>
    <w:pPr>
      <w:spacing w:after="0" w:line="240" w:lineRule="auto"/>
    </w:pPr>
    <w:tblPr>
      <w:tblStyleRowBandSize w:val="1"/>
      <w:tblStyleColBandSize w:val="1"/>
      <w:tblCellMar>
        <w:left w:w="0" w:type="dxa"/>
        <w:right w:w="0" w:type="dxa"/>
      </w:tblCellMar>
    </w:tblPr>
  </w:style>
  <w:style w:type="table" w:customStyle="1" w:styleId="af7">
    <w:basedOn w:val="TableNormal"/>
    <w:pPr>
      <w:spacing w:after="0" w:line="240" w:lineRule="auto"/>
    </w:pPr>
    <w:tblPr>
      <w:tblStyleRowBandSize w:val="1"/>
      <w:tblStyleColBandSize w:val="1"/>
      <w:tblCellMar>
        <w:left w:w="0" w:type="dxa"/>
        <w:right w:w="0" w:type="dxa"/>
      </w:tblCellMar>
    </w:tblPr>
  </w:style>
  <w:style w:type="table" w:customStyle="1" w:styleId="af8">
    <w:basedOn w:val="TableNormal"/>
    <w:pPr>
      <w:spacing w:after="0" w:line="240" w:lineRule="auto"/>
    </w:pPr>
    <w:tblPr>
      <w:tblStyleRowBandSize w:val="1"/>
      <w:tblStyleColBandSize w:val="1"/>
      <w:tblCellMar>
        <w:left w:w="0" w:type="dxa"/>
        <w:right w:w="0" w:type="dxa"/>
      </w:tblCellMar>
    </w:tblPr>
  </w:style>
  <w:style w:type="table" w:customStyle="1" w:styleId="af9">
    <w:basedOn w:val="TableNormal"/>
    <w:pPr>
      <w:spacing w:after="0" w:line="240" w:lineRule="auto"/>
    </w:pPr>
    <w:tblPr>
      <w:tblStyleRowBandSize w:val="1"/>
      <w:tblStyleColBandSize w:val="1"/>
      <w:tblCellMar>
        <w:left w:w="0" w:type="dxa"/>
        <w:right w:w="0" w:type="dxa"/>
      </w:tblCellMar>
    </w:tblPr>
  </w:style>
  <w:style w:type="table" w:customStyle="1" w:styleId="afa">
    <w:basedOn w:val="TableNormal"/>
    <w:pPr>
      <w:spacing w:after="0" w:line="240" w:lineRule="auto"/>
    </w:pPr>
    <w:tblPr>
      <w:tblStyleRowBandSize w:val="1"/>
      <w:tblStyleColBandSize w:val="1"/>
      <w:tblCellMar>
        <w:left w:w="0" w:type="dxa"/>
        <w:right w:w="0" w:type="dxa"/>
      </w:tblCellMar>
    </w:tblPr>
  </w:style>
  <w:style w:type="table" w:customStyle="1" w:styleId="afb">
    <w:basedOn w:val="TableNormal"/>
    <w:pPr>
      <w:spacing w:after="0" w:line="240" w:lineRule="auto"/>
    </w:pPr>
    <w:tblPr>
      <w:tblStyleRowBandSize w:val="1"/>
      <w:tblStyleColBandSize w:val="1"/>
      <w:tblCellMar>
        <w:left w:w="0" w:type="dxa"/>
        <w:right w:w="0" w:type="dxa"/>
      </w:tblCellMar>
    </w:tblPr>
  </w:style>
  <w:style w:type="table" w:customStyle="1" w:styleId="afc">
    <w:basedOn w:val="TableNormal"/>
    <w:pPr>
      <w:spacing w:after="0" w:line="240" w:lineRule="auto"/>
    </w:pPr>
    <w:tblPr>
      <w:tblStyleRowBandSize w:val="1"/>
      <w:tblStyleColBandSize w:val="1"/>
      <w:tblCellMar>
        <w:left w:w="0" w:type="dxa"/>
        <w:right w:w="0" w:type="dxa"/>
      </w:tblCellMar>
    </w:tblPr>
  </w:style>
  <w:style w:type="table" w:customStyle="1" w:styleId="afd">
    <w:basedOn w:val="TableNormal"/>
    <w:pPr>
      <w:spacing w:after="0" w:line="240" w:lineRule="auto"/>
    </w:pPr>
    <w:tblPr>
      <w:tblStyleRowBandSize w:val="1"/>
      <w:tblStyleColBandSize w:val="1"/>
      <w:tblCellMar>
        <w:left w:w="0" w:type="dxa"/>
        <w:right w:w="0" w:type="dxa"/>
      </w:tblCellMar>
    </w:tblPr>
  </w:style>
  <w:style w:type="table" w:customStyle="1" w:styleId="afe">
    <w:basedOn w:val="TableNormal"/>
    <w:pPr>
      <w:spacing w:after="0" w:line="240" w:lineRule="auto"/>
    </w:pPr>
    <w:tblPr>
      <w:tblStyleRowBandSize w:val="1"/>
      <w:tblStyleColBandSize w:val="1"/>
      <w:tblCellMar>
        <w:left w:w="0" w:type="dxa"/>
        <w:right w:w="0" w:type="dxa"/>
      </w:tblCellMar>
    </w:tblPr>
  </w:style>
  <w:style w:type="table" w:customStyle="1" w:styleId="aff">
    <w:basedOn w:val="TableNormal"/>
    <w:pPr>
      <w:spacing w:after="0" w:line="240" w:lineRule="auto"/>
    </w:pPr>
    <w:tblPr>
      <w:tblStyleRowBandSize w:val="1"/>
      <w:tblStyleColBandSize w:val="1"/>
      <w:tblCellMar>
        <w:left w:w="0" w:type="dxa"/>
        <w:right w:w="0" w:type="dxa"/>
      </w:tblCellMar>
    </w:tblPr>
  </w:style>
  <w:style w:type="table" w:customStyle="1" w:styleId="aff0">
    <w:basedOn w:val="TableNormal"/>
    <w:pPr>
      <w:spacing w:after="0" w:line="240" w:lineRule="auto"/>
    </w:pPr>
    <w:tblPr>
      <w:tblStyleRowBandSize w:val="1"/>
      <w:tblStyleColBandSize w:val="1"/>
      <w:tblCellMar>
        <w:left w:w="0" w:type="dxa"/>
        <w:right w:w="0" w:type="dxa"/>
      </w:tblCellMar>
    </w:tblPr>
  </w:style>
  <w:style w:type="table" w:customStyle="1" w:styleId="aff1">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2">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3">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4">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5">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6">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7">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8">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9">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a">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b">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c">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d">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e">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0">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1">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2">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3">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4">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5">
    <w:basedOn w:val="TableNormal"/>
    <w:pPr>
      <w:spacing w:after="0" w:line="240" w:lineRule="auto"/>
    </w:pPr>
    <w:tblPr>
      <w:tblStyleRowBandSize w:val="1"/>
      <w:tblStyleColBandSize w:val="1"/>
      <w:tblCellMar>
        <w:top w:w="15" w:type="dxa"/>
        <w:left w:w="0" w:type="dxa"/>
        <w:bottom w:w="15"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ebnew.ped.state.nm.us/bureaus/assessmen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ebnew.ped.state.nm.us/bureaus/assessment/" TargetMode="External"/><Relationship Id="rId17" Type="http://schemas.openxmlformats.org/officeDocument/2006/relationships/hyperlink" Target="https://clearimpact.com/results-based-accountabilit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learimpact.com/results-based-accountabilit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new.ped.state.nm.us/bureaus/public-education-commission/policies-and-processes/performance-review-and-accountability-system-and-performance-framework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ebnew.ped.state.nm.us/bureaus/assessment/" TargetMode="External"/><Relationship Id="rId23" Type="http://schemas.openxmlformats.org/officeDocument/2006/relationships/footer" Target="footer3.xml"/><Relationship Id="rId10" Type="http://schemas.openxmlformats.org/officeDocument/2006/relationships/hyperlink" Target="https://clearimpact.com/results-based-accountability/"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harter.schools@ped.nm.gov" TargetMode="External"/><Relationship Id="rId14" Type="http://schemas.openxmlformats.org/officeDocument/2006/relationships/hyperlink" Target="https://webnew.ped.state.nm.us/bureaus/assessment/"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clearimpact.com/results-based-account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mzJVCwIeYBwkyisOPnsAE2kn9g==">CgMxLjAyDmguYXNwYTQ3czN2YmVyMghoLmdqZGd4czIJaC4zMGowemxsMgloLjFmb2I5dGUyCWguM3pueXNoNzIJaC4yZXQ5MnAwMghoLnR5amN3dDIJaC4zZHk2dmttMgloLjF0M2g1c2YyCWguNGQzNG9nODgAaigKFHN1Z2dlc3QubzlhMHRrYjJmNmdzEhBCcmlnZXR0ZSBSdXNzZWxsaigKFHN1Z2dlc3QuZnk5YW5iOXVtNHQ3EhBCcmlnZXR0ZSBSdXNzZWxsciExYjZQUkdLWHBXMVU5Y3JqSEN6aGhtZXlTRVI3bnZKU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4589</Words>
  <Characters>26162</Characters>
  <Application>Microsoft Office Word</Application>
  <DocSecurity>0</DocSecurity>
  <Lines>218</Lines>
  <Paragraphs>61</Paragraphs>
  <ScaleCrop>false</ScaleCrop>
  <Company/>
  <LinksUpToDate>false</LinksUpToDate>
  <CharactersWithSpaces>30690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Brigette, PED</dc:creator>
  <cp:lastModifiedBy>Russell, Brigette, PED</cp:lastModifiedBy>
  <cp:revision>3</cp:revision>
  <dcterms:created xsi:type="dcterms:W3CDTF">2024-09-12T14:12:00Z</dcterms:created>
  <dcterms:modified xsi:type="dcterms:W3CDTF">2024-09-12T14:13:00Z</dcterms:modified>
</cp:coreProperties>
</file>