
<file path=[Content_Types].xml><?xml version="1.0" encoding="utf-8"?>
<Types xmlns="http://schemas.openxmlformats.org/package/2006/content-types">
  <Default ContentType="image/x-emf" Extension="emf"/>
  <Default ContentType="image/jpeg" Extension="jpeg"/>
  <Default ContentType="image/png" Extension="png"/>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 Id="rId5"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31E56" w14:textId="77777777" w:rsidR="007B35BE" w:rsidRPr="00781112" w:rsidRDefault="007B35BE" w:rsidP="0033429D">
      <w:pPr>
        <w:autoSpaceDE w:val="0"/>
        <w:autoSpaceDN w:val="0"/>
        <w:adjustRightInd w:val="0"/>
        <w:spacing w:before="1800"/>
        <w:jc w:val="center"/>
        <w:rPr>
          <w:rFonts w:cs="Arial"/>
          <w:b/>
          <w:bCs/>
          <w:smallCaps/>
          <w:color w:val="000000" w:themeColor="text1"/>
          <w:sz w:val="32"/>
          <w:szCs w:val="32"/>
        </w:rPr>
      </w:pPr>
      <w:bookmarkStart w:id="0" w:name="_Hlk121691473"/>
      <w:bookmarkStart w:id="1" w:name="_Toc382082357"/>
      <w:bookmarkStart w:id="2" w:name="_Toc392159258"/>
      <w:bookmarkStart w:id="3" w:name="_Hlk110866287"/>
      <w:bookmarkEnd w:id="0"/>
      <w:r w:rsidRPr="00781112">
        <w:rPr>
          <w:rFonts w:cs="Arial"/>
          <w:b/>
          <w:bCs/>
          <w:smallCaps/>
          <w:color w:val="000000" w:themeColor="text1"/>
          <w:sz w:val="32"/>
          <w:szCs w:val="32"/>
        </w:rPr>
        <w:t>State Performance Plan / Annual Performance Report: Part B</w:t>
      </w:r>
    </w:p>
    <w:p w14:paraId="775F9C1C" w14:textId="05570B0D" w:rsidR="007B35BE" w:rsidRPr="00781112" w:rsidRDefault="007B35BE" w:rsidP="007B35BE">
      <w:pPr>
        <w:autoSpaceDE w:val="0"/>
        <w:autoSpaceDN w:val="0"/>
        <w:adjustRightInd w:val="0"/>
        <w:spacing w:before="360"/>
        <w:jc w:val="center"/>
        <w:rPr>
          <w:rFonts w:cs="Arial"/>
          <w:b/>
          <w:bCs/>
          <w:color w:val="000000" w:themeColor="text1"/>
          <w:sz w:val="24"/>
          <w:szCs w:val="24"/>
        </w:rPr>
      </w:pPr>
      <w:r w:rsidRPr="00781112">
        <w:rPr>
          <w:rFonts w:cs="Arial"/>
          <w:b/>
          <w:bCs/>
          <w:color w:val="000000" w:themeColor="text1"/>
          <w:sz w:val="24"/>
          <w:szCs w:val="24"/>
        </w:rPr>
        <w:t>for STATE FORMULA GRANT PROGRAMS under the Individuals with Disabilities Education Act</w:t>
      </w:r>
    </w:p>
    <w:p w14:paraId="29F4DA54" w14:textId="2E7202FA" w:rsidR="007B35BE" w:rsidRPr="00781112" w:rsidRDefault="007B35BE" w:rsidP="007B35BE">
      <w:pPr>
        <w:autoSpaceDE w:val="0"/>
        <w:autoSpaceDN w:val="0"/>
        <w:adjustRightInd w:val="0"/>
        <w:spacing w:before="360"/>
        <w:jc w:val="center"/>
        <w:rPr>
          <w:rFonts w:cs="Arial"/>
          <w:b/>
          <w:bCs/>
          <w:color w:val="000000" w:themeColor="text1"/>
          <w:sz w:val="28"/>
          <w:szCs w:val="28"/>
        </w:rPr>
      </w:pPr>
      <w:r w:rsidRPr="00781112">
        <w:rPr>
          <w:rFonts w:cs="Arial"/>
          <w:b/>
          <w:bCs/>
          <w:color w:val="000000" w:themeColor="text1"/>
          <w:sz w:val="24"/>
          <w:szCs w:val="24"/>
        </w:rPr>
        <w:t xml:space="preserve">For reporting on </w:t>
      </w:r>
      <w:r w:rsidRPr="00781112">
        <w:rPr>
          <w:rFonts w:cs="Arial"/>
          <w:b/>
          <w:bCs/>
          <w:color w:val="000000" w:themeColor="text1"/>
          <w:sz w:val="24"/>
          <w:szCs w:val="24"/>
        </w:rPr>
        <w:br/>
      </w:r>
      <w:r w:rsidRPr="00781112">
        <w:rPr>
          <w:rFonts w:cs="Arial"/>
          <w:b/>
          <w:bCs/>
          <w:color w:val="000000" w:themeColor="text1"/>
          <w:sz w:val="28"/>
          <w:szCs w:val="28"/>
        </w:rPr>
        <w:t xml:space="preserve">FFY </w:t>
      </w:r>
      <w:r w:rsidR="00F46F21">
        <w:rPr>
          <w:rFonts w:cs="Arial"/>
          <w:b/>
          <w:bCs/>
          <w:color w:val="000000" w:themeColor="text1"/>
          <w:sz w:val="28"/>
          <w:szCs w:val="28"/>
        </w:rPr>
        <w:t>202</w:t>
      </w:r>
      <w:r w:rsidR="00061459">
        <w:rPr>
          <w:rFonts w:cs="Arial"/>
          <w:b/>
          <w:bCs/>
          <w:color w:val="000000" w:themeColor="text1"/>
          <w:sz w:val="28"/>
          <w:szCs w:val="28"/>
        </w:rPr>
        <w:t>2</w:t>
      </w:r>
    </w:p>
    <w:p w14:paraId="3168A19B" w14:textId="77777777" w:rsidR="007B35BE" w:rsidRPr="00781112" w:rsidRDefault="007B35BE" w:rsidP="007B35BE">
      <w:pPr>
        <w:autoSpaceDE w:val="0"/>
        <w:autoSpaceDN w:val="0"/>
        <w:adjustRightInd w:val="0"/>
        <w:spacing w:before="360"/>
        <w:jc w:val="center"/>
        <w:rPr>
          <w:rFonts w:cs="Arial"/>
          <w:b/>
          <w:bCs/>
          <w:color w:val="000000" w:themeColor="text1"/>
          <w:sz w:val="32"/>
          <w:szCs w:val="32"/>
        </w:rPr>
      </w:pPr>
      <w:r w:rsidRPr="00781112">
        <w:rPr>
          <w:rFonts w:cs="Arial"/>
          <w:b/>
          <w:bCs/>
          <w:color w:val="000000" w:themeColor="text1"/>
          <w:sz w:val="32"/>
          <w:szCs w:val="32"/>
        </w:rPr>
        <w:t>New Mexico</w:t>
      </w:r>
    </w:p>
    <w:p w14:paraId="160C9007" w14:textId="77777777" w:rsidR="007B35BE" w:rsidRPr="00781112" w:rsidRDefault="007B35BE" w:rsidP="007B35BE">
      <w:pPr>
        <w:autoSpaceDE w:val="0"/>
        <w:autoSpaceDN w:val="0"/>
        <w:adjustRightInd w:val="0"/>
        <w:spacing w:before="360"/>
        <w:jc w:val="center"/>
        <w:rPr>
          <w:rFonts w:cs="Arial"/>
          <w:b/>
          <w:bCs/>
          <w:color w:val="000000" w:themeColor="text1"/>
          <w:sz w:val="24"/>
          <w:szCs w:val="24"/>
        </w:rPr>
      </w:pPr>
      <w:r w:rsidRPr="00781112">
        <w:rPr>
          <w:rFonts w:cs="Arial"/>
          <w:noProof/>
          <w:color w:val="000000" w:themeColor="text1"/>
          <w:sz w:val="24"/>
          <w:szCs w:val="24"/>
        </w:rPr>
        <w:drawing>
          <wp:inline distT="0" distB="0" distL="0" distR="0" wp14:anchorId="135639EF" wp14:editId="6DF93301">
            <wp:extent cx="2281963" cy="2286000"/>
            <wp:effectExtent l="0" t="0" r="4445" b="0"/>
            <wp:docPr id="2" name="Picture 2" descr="U.S.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 Department of Education seal"/>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1963" cy="2286000"/>
                    </a:xfrm>
                    <a:prstGeom prst="rect">
                      <a:avLst/>
                    </a:prstGeom>
                  </pic:spPr>
                </pic:pic>
              </a:graphicData>
            </a:graphic>
          </wp:inline>
        </w:drawing>
      </w:r>
    </w:p>
    <w:p w14:paraId="7AFE126A" w14:textId="66E8FC32" w:rsidR="007B35BE" w:rsidRPr="00781112" w:rsidRDefault="007B35BE" w:rsidP="007B35BE">
      <w:pPr>
        <w:autoSpaceDE w:val="0"/>
        <w:autoSpaceDN w:val="0"/>
        <w:adjustRightInd w:val="0"/>
        <w:spacing w:before="360"/>
        <w:jc w:val="center"/>
        <w:rPr>
          <w:rFonts w:cs="Arial"/>
          <w:b/>
          <w:bCs/>
          <w:color w:val="000000" w:themeColor="text1"/>
          <w:sz w:val="24"/>
          <w:szCs w:val="24"/>
        </w:rPr>
      </w:pPr>
      <w:r w:rsidRPr="00781112">
        <w:rPr>
          <w:rFonts w:cs="Arial"/>
          <w:b/>
          <w:bCs/>
          <w:color w:val="000000" w:themeColor="text1"/>
          <w:sz w:val="24"/>
          <w:szCs w:val="24"/>
        </w:rPr>
        <w:t>PART B DUE February 1, 2024</w:t>
      </w:r>
    </w:p>
    <w:p w14:paraId="00155D5B" w14:textId="77777777" w:rsidR="007B35BE" w:rsidRPr="00781112" w:rsidRDefault="007B35BE" w:rsidP="007B35BE">
      <w:pPr>
        <w:autoSpaceDE w:val="0"/>
        <w:autoSpaceDN w:val="0"/>
        <w:adjustRightInd w:val="0"/>
        <w:spacing w:before="360"/>
        <w:jc w:val="center"/>
        <w:rPr>
          <w:rFonts w:cs="Arial"/>
          <w:b/>
          <w:bCs/>
          <w:color w:val="000000" w:themeColor="text1"/>
          <w:sz w:val="18"/>
          <w:szCs w:val="18"/>
        </w:rPr>
      </w:pPr>
      <w:r w:rsidRPr="00781112">
        <w:rPr>
          <w:rFonts w:cs="Arial"/>
          <w:b/>
          <w:bCs/>
          <w:color w:val="000000" w:themeColor="text1"/>
          <w:sz w:val="18"/>
          <w:szCs w:val="18"/>
        </w:rPr>
        <w:t>U.S. DEPARTMENT OF EDUCATION</w:t>
      </w:r>
    </w:p>
    <w:p w14:paraId="4EAB0E73" w14:textId="660D4F64" w:rsidR="007B35BE" w:rsidRPr="00781112" w:rsidRDefault="007B35BE" w:rsidP="007B35BE">
      <w:pPr>
        <w:jc w:val="center"/>
        <w:rPr>
          <w:rFonts w:cs="Arial"/>
          <w:b/>
          <w:bCs/>
          <w:color w:val="000000" w:themeColor="text1"/>
          <w:sz w:val="18"/>
          <w:szCs w:val="18"/>
        </w:rPr>
      </w:pPr>
      <w:r w:rsidRPr="00781112">
        <w:rPr>
          <w:rFonts w:cs="Arial"/>
          <w:b/>
          <w:bCs/>
          <w:color w:val="000000" w:themeColor="text1"/>
          <w:sz w:val="18"/>
          <w:szCs w:val="18"/>
        </w:rPr>
        <w:t>WASHINGTON, DC 20202</w:t>
      </w:r>
    </w:p>
    <w:p w14:paraId="27ABABDC" w14:textId="7FECEC69" w:rsidR="00AB39FB" w:rsidRPr="00781112" w:rsidRDefault="00AB39FB">
      <w:pPr>
        <w:spacing w:before="0" w:after="200" w:line="276" w:lineRule="auto"/>
        <w:rPr>
          <w:rFonts w:cs="Arial"/>
          <w:b/>
          <w:bCs/>
          <w:color w:val="000000" w:themeColor="text1"/>
          <w:sz w:val="18"/>
          <w:szCs w:val="18"/>
        </w:rPr>
      </w:pPr>
      <w:r w:rsidRPr="00781112">
        <w:rPr>
          <w:rFonts w:cs="Arial"/>
          <w:b/>
          <w:bCs/>
          <w:color w:val="000000" w:themeColor="text1"/>
          <w:sz w:val="18"/>
          <w:szCs w:val="18"/>
        </w:rPr>
        <w:br w:type="page"/>
      </w:r>
    </w:p>
    <w:p w14:paraId="3F368203" w14:textId="77777777" w:rsidR="00AB39FB" w:rsidRPr="00781112" w:rsidRDefault="00AB39FB" w:rsidP="007B35BE">
      <w:pPr>
        <w:jc w:val="center"/>
        <w:rPr>
          <w:rFonts w:cs="Arial"/>
          <w:b/>
          <w:bCs/>
          <w:color w:val="000000" w:themeColor="text1"/>
          <w:sz w:val="18"/>
          <w:szCs w:val="18"/>
        </w:rPr>
      </w:pPr>
    </w:p>
    <w:p w14:paraId="0E7D29A1" w14:textId="2C077CCB" w:rsidR="00AF5649" w:rsidRPr="00781112" w:rsidRDefault="00AF5649" w:rsidP="007D435F">
      <w:pPr>
        <w:pStyle w:val="Heading1"/>
        <w:rPr>
          <w:rFonts w:cs="Arial"/>
          <w:color w:val="000000" w:themeColor="text1"/>
          <w:szCs w:val="20"/>
        </w:rPr>
      </w:pPr>
      <w:r w:rsidRPr="00781112">
        <w:rPr>
          <w:rFonts w:cs="Arial"/>
          <w:color w:val="000000" w:themeColor="text1"/>
          <w:szCs w:val="20"/>
        </w:rPr>
        <w:t>Introduction</w:t>
      </w:r>
    </w:p>
    <w:p w14:paraId="5B9171B6" w14:textId="1B94FDAA" w:rsidR="007742F1" w:rsidRPr="00781112" w:rsidRDefault="007742F1" w:rsidP="00A018D4">
      <w:pPr>
        <w:rPr>
          <w:rFonts w:asciiTheme="majorHAnsi" w:hAnsiTheme="majorHAnsi"/>
          <w:color w:val="000000" w:themeColor="text1"/>
          <w:sz w:val="20"/>
          <w:szCs w:val="20"/>
        </w:rPr>
      </w:pPr>
      <w:r w:rsidRPr="00781112">
        <w:rPr>
          <w:b/>
          <w:color w:val="000000" w:themeColor="text1"/>
          <w:sz w:val="20"/>
          <w:szCs w:val="20"/>
        </w:rPr>
        <w:t>Instructions</w:t>
      </w:r>
    </w:p>
    <w:p w14:paraId="696881EF" w14:textId="783B44AF" w:rsidR="00AA4DAF" w:rsidRPr="00781112" w:rsidRDefault="00AA4DAF" w:rsidP="00A84FF8">
      <w:pPr>
        <w:rPr>
          <w:rFonts w:cs="Arial"/>
          <w:color w:val="000000" w:themeColor="text1"/>
          <w:szCs w:val="16"/>
        </w:rPr>
      </w:pPr>
      <w:r w:rsidRPr="00781112">
        <w:rPr>
          <w:rFonts w:cs="Arial"/>
          <w:color w:val="000000" w:themeColor="text1"/>
          <w:szCs w:val="16"/>
          <w:shd w:val="clear" w:color="auto" w:fill="FFFFFF"/>
        </w:rPr>
        <w:t>Provide sufficient detail to ensure that the Secretary and the public are informed of and understand the State’s systems designed to drive improved results for students with disabilities and to ensure that the State Educational Agency (SEA) and Local Educational Agencies (LEAs) meet the requirements of IDEA Part B. This introduction must include descriptions of the State’s General Supervision System, Technical Assistance System, Professional Development System, Stakeholder Involvement, and Reporting to the Public.</w:t>
      </w:r>
    </w:p>
    <w:p w14:paraId="4A333302" w14:textId="1EA6D8FF" w:rsidR="007742F1" w:rsidRPr="00781112" w:rsidRDefault="00684B51" w:rsidP="008645AD">
      <w:pPr>
        <w:pStyle w:val="Heading2"/>
      </w:pPr>
      <w:r w:rsidRPr="00781112">
        <w:t xml:space="preserve">Intro - </w:t>
      </w:r>
      <w:r w:rsidR="007742F1" w:rsidRPr="00781112">
        <w:t>Indicator Data</w:t>
      </w:r>
    </w:p>
    <w:p w14:paraId="72B2C3E7" w14:textId="53819907" w:rsidR="00AF5649" w:rsidRPr="00781112" w:rsidRDefault="00AF5649" w:rsidP="004369B2">
      <w:pPr>
        <w:rPr>
          <w:color w:val="000000" w:themeColor="text1"/>
        </w:rPr>
      </w:pPr>
      <w:r w:rsidRPr="00781112">
        <w:rPr>
          <w:b/>
          <w:color w:val="000000" w:themeColor="text1"/>
        </w:rPr>
        <w:t xml:space="preserve">Executive Summary </w:t>
      </w:r>
    </w:p>
    <w:p w14:paraId="04B2974F" w14:textId="0DF01750" w:rsidR="000C24C2" w:rsidRPr="00781112" w:rsidRDefault="002B7490" w:rsidP="00AF5649">
      <w:pPr>
        <w:rPr>
          <w:rFonts w:cs="Arial"/>
          <w:color w:val="000000" w:themeColor="text1"/>
          <w:szCs w:val="16"/>
        </w:rPr>
      </w:pPr>
      <w:r w:rsidRPr="00781112">
        <w:rPr>
          <w:rFonts w:cs="Arial"/>
          <w:color w:val="000000" w:themeColor="text1"/>
          <w:szCs w:val="16"/>
        </w:rPr>
        <w:t>The State of New Mexico is committed to improving outcomes for children with disabilities in the state. The data in this State Performance Plan (SPP)/Annual Performance Report (APR) reflects upward and downward movement with each indicator, however, demonstrates an overall high level of compliance with the compliance indicators. The State will continue to hold special education at the forefront as it pursues equity and develops strong foundations for children.</w:t>
        <w:br/>
        <w:t xml:space="preserve"> </w:t>
        <w:br/>
        <w:t>The graduation and dropout rates (indicators 1 and 2), since lag year data is used, are reflecting data from school year 2021-2022. These 2 indicators are tied to one another and are reflective of the challenges LEAs had in getting students to return to school after the COVID 19 pandemic. Students who did not return were reported as dropouts. With assessment participation and outcomes (Indicators 3A - 3D) , while the State did not meet the targets set, there were gains made over the prior year. The state revised the suspension and expulsion (Indicators 4A and 4B) calculation methodology to ensure that all LEAs including those which are small, are included in the review of policies, procedures and practices. More students are learning in the least restrictive environment (LRE) as reflected in the number of students being served 80% or more in the LRE (Indicator 5), while those served in more segregated settings decreased. No LEAs are over identifying students (Indicators 9 and 10) however, the state must revise it's methodology whereby small LEAs are not excluded from the review of policies, procedures and practices. Of all initial evaluations (Indicator 11) completed in the state, only 1.4% were not completed within the 60 day timeline. For secondary transition (Indicator 13), 98.37% of the IEPs, based on a sample, contained all the components necessary for a successful transition. The number of students who left high school and went on to employment or to pursue a higher education (Indicator 14) increased from the prior year.</w:t>
        <w:br/>
        <w:t/>
        <w:br/>
        <w:t>For preschool students with disabilities, there is a correlation between the low outcomes for students and their learning environments . Outcomes (Indicator 7) decreased while the number of students not in regular early childhood programs (Indicator 6) also decreased. Students require more access to regular early childhood programs which may not be readily available in all communities throughout the state, especially for three-year-old students with disabilities. Part C to B transitions (Indicator 12) and the timely development and implementation of IEPs rates slightly declined; however, the State still had a rate of 94.84%.</w:t>
        <w:br/>
        <w:t/>
        <w:br/>
        <w:t xml:space="preserve">Mediations (Indicator 16) held that resulted in mediation agreements and hearing requests that went to resolution sessions (Indicator 15) that were resolved through resolution session settlement agreements were within the target ranges. In addition, parent response rates in the parent participation (Indicator 8) survey increased through implemented targeted efforts. </w:t>
        <w:br/>
        <w:t/>
        <w:br/>
        <w:t>All of the above data is explained in further detail within each indicator section.</w:t>
      </w:r>
    </w:p>
    <w:p w14:paraId="223A8781" w14:textId="77777777" w:rsidR="00757D21" w:rsidRPr="00781112" w:rsidRDefault="00757D21" w:rsidP="002536C1">
      <w:pPr>
        <w:rPr>
          <w:b/>
          <w:bCs/>
        </w:rPr>
      </w:pPr>
      <w:r w:rsidRPr="00781112">
        <w:rPr>
          <w:b/>
          <w:bCs/>
        </w:rPr>
        <w:t>Additional information related to data collection and reporting</w:t>
      </w:r>
    </w:p>
    <w:p w14:paraId="614EAC72" w14:textId="596641E7" w:rsidR="00757D21" w:rsidRPr="00781112" w:rsidRDefault="00757D21">
      <w:pPr>
        <w:rPr>
          <w:b/>
          <w:color w:val="000000" w:themeColor="text1"/>
        </w:rPr>
      </w:pPr>
      <w:r w:rsidRPr="00781112">
        <w:rPr>
          <w:color w:val="000000" w:themeColor="text1"/>
        </w:rPr>
        <w:t>Number of Local Education Agencies (LEAs):</w:t>
        <w:br/>
        <w:t xml:space="preserve">LEA groups in the state are comprised of school districts, state charter schools and State Supported Schools (SSSs). The number of LEAs fluctuates each year due to the number of state charter schools which open, close, or convert to local charter schools in a particular year. In Federal Fiscal Year (FFY) 2022, the number of LEAs increased from 148 to 152, as four additional state charter school opened. The number of school districts and SSSs remained the same. Of the 152 LEAs, 89 were school districts, 57 were state charter schools and 6 were SSSs. </w:t>
        <w:br/>
        <w:t/>
        <w:br/>
        <w:t>Date Reporting:</w:t>
        <w:br/>
        <w:t xml:space="preserve">State statute identifies the dates LEAs must report data to the State via the Student Teacher Accountability and Reporting System (STARS), which is the State’s database. LEAs are required to report data four times each school year, which the state identifies as the 40-day, 80-day, 120-day and End of Year (EOY) reporting periods. 40-day reporting occurs the second Wednesday in October, 80-day reporting occurs the first Wednesday in December, 120 day occurs the second Wednesday in February and EOY occurs the last day of each LEA’s school year. </w:t>
        <w:br/>
        <w:t/>
        <w:br/>
        <w:t>Once LEAs submit data into the STARS database, State staff complete a review of the data to ensure there are no errors and the data is valid. The timeliness of the data is also monitored to ensure State established submission timelines are met. These reviews are completed for each of the State’s four reporting periods. A general supervision/monitoring review of the data is also completed to ensure that LEAs are complying with the requirements of the Individuals with Disabilities Education Act (IDEA), Part B, as well as state requirements.</w:t>
        <w:br/>
        <w:t/>
        <w:br/>
        <w:t>While most data reported to OSEP and the U.S. Department of Education originates from STARS, some of the data is compiled outside of the STARS database, the mandated reporting periods, and outside of the Special Education Division (SED). Various departments within the State Education Agency (SEA) compile and report data on students with disabilities. Graduation and assessment data is compiled and reported by the Accountability Division. Dropout data is compiled and reported by the Information Technology (IT) department. The EdFacts/EdPass Coordinator for our State is a member of the IT team. Resolution Session and Mediation data is compiled by the Office of General Counsel. The SEA also utilizes contractors for Indicators, 4, 9, 8, 10 and 14. The contractors administer the indicator 8 and 14 surveys used for data collection, compile the data, and provide a report to the SED.</w:t>
      </w:r>
    </w:p>
    <w:p w14:paraId="4ADBDC7F" w14:textId="2CA8C307" w:rsidR="00C01339" w:rsidRPr="00781112" w:rsidRDefault="00AF5649">
      <w:pPr>
        <w:rPr>
          <w:b/>
          <w:color w:val="000000" w:themeColor="text1"/>
        </w:rPr>
      </w:pPr>
      <w:r w:rsidRPr="00781112">
        <w:rPr>
          <w:b/>
          <w:color w:val="000000" w:themeColor="text1"/>
        </w:rPr>
        <w:t xml:space="preserve">Number of Districts in your State/Territory during reporting year </w:t>
      </w:r>
    </w:p>
    <w:p w14:paraId="36C38539" w14:textId="1E194795" w:rsidR="00AF5649" w:rsidRPr="00781112" w:rsidRDefault="002B7490" w:rsidP="004369B2">
      <w:pPr>
        <w:rPr>
          <w:color w:val="000000" w:themeColor="text1"/>
        </w:rPr>
      </w:pPr>
      <w:r w:rsidRPr="00781112">
        <w:rPr>
          <w:color w:val="000000" w:themeColor="text1"/>
        </w:rPr>
        <w:t>152</w:t>
      </w:r>
    </w:p>
    <w:p w14:paraId="785B8E3E" w14:textId="5E29FFD5" w:rsidR="00AF5649" w:rsidRPr="00781112" w:rsidRDefault="00AF5649" w:rsidP="004369B2">
      <w:pPr>
        <w:rPr>
          <w:color w:val="000000" w:themeColor="text1"/>
        </w:rPr>
      </w:pPr>
      <w:r w:rsidRPr="00781112">
        <w:rPr>
          <w:b/>
          <w:color w:val="000000" w:themeColor="text1"/>
        </w:rPr>
        <w:t>General Supervision System:</w:t>
      </w:r>
    </w:p>
    <w:p w14:paraId="626FCC62" w14:textId="7FB4B17A" w:rsidR="00731910" w:rsidRPr="00781112" w:rsidRDefault="004A7084" w:rsidP="00AF5649">
      <w:pPr>
        <w:rPr>
          <w:rFonts w:cs="Arial"/>
          <w:b/>
          <w:color w:val="000000" w:themeColor="text1"/>
          <w:szCs w:val="16"/>
        </w:rPr>
      </w:pPr>
      <w:r w:rsidRPr="00BA3DBE">
        <w:rPr>
          <w:b/>
          <w:bCs/>
        </w:rPr>
        <w:t>The systems that are in place to ensure that the IDEA Part B requirements are met (e.g., integrated monitoring activities; data on processes and results; the SPP/APR; fiscal management; policies, procedures, and practices resulting in effective implementation; and improvement, correction, incentives, and sanctions).</w:t>
      </w:r>
    </w:p>
    <w:p w14:paraId="7941FC2D" w14:textId="30866F75" w:rsidR="000C24C2" w:rsidRPr="00781112" w:rsidRDefault="002B7490" w:rsidP="00AF5649">
      <w:pPr>
        <w:rPr>
          <w:rFonts w:cs="Arial"/>
          <w:color w:val="000000" w:themeColor="text1"/>
          <w:szCs w:val="16"/>
        </w:rPr>
      </w:pPr>
      <w:r w:rsidRPr="00781112">
        <w:rPr>
          <w:rFonts w:cs="Arial"/>
          <w:color w:val="000000" w:themeColor="text1"/>
          <w:szCs w:val="16"/>
        </w:rPr>
        <w:t>In the State of New Mexico, the New Mexico Public Education Department (NMPED) is the State Education Agency (SEA) and is responsible for implementing the requirements of the Individuals with Disabilities Education Act (IDEA), Part B. This responsibility is carried out mainly by the Special Education Division (SED), within the NMPED. The SED also collaborates with other divisions and departments in serving students with disabilities. These collaborations ensure that all requirements are implemented, including the oversight of Local Education Agencies (LEAs) and improved outcomes for students with disabilities are supported.</w:t>
        <w:br/>
        <w:t/>
        <w:br/>
        <w:t>The State has systems established to ensure that the IDEA Part B requirements are met. The main monitoring system is data reviews of LEA data. Reviews are completed four times each school year for all the compliance indicators and many of the results indicators. The STARS system, the State’s database, has business rules built in to identify violations or potential violations of the requirements of IDEA Part B and the state’s requirements by causing errors or warnings in reports to occur for each indicator. When an error is identified during the data monitoring reviews, LEAs must immediately address the issue(s), either by correcting the data in STARS or providing an explanation for the error. Some are data entry issues, and the LEA corrects the issue within the timeframe allotted, while others are issues of non-compliance. Once non-compliance is identified, the LEA must demonstrate correction of the individual case of non-compliance, as well as compliance with the regulatory requirements, as soon as possible and at the maximum, within one year.</w:t>
        <w:br/>
        <w:t/>
        <w:br/>
        <w:t xml:space="preserve">Non-compliance is also identified through the dispute resolution processes, desk-top monitoring, reviews of Individualized Education Programs (IEPs) and reviews conducted by other divisions or bureaus within the NMPED. Once non-compliance is identified, regardless of the source, LEAs enter into a cycle of correcting the individual case of non-compliance and the regulatory requirements. The correction cycle consists of the following: LEAs are asked to complete a Root Cause Analysis (RCA) or Self-Assessment (SA) depending on the indicator the LEA is non-compliant with. Once the LEA submits the completed RCA or SA, SED staff review the information in the RCA to get a complete picture of the issues which may be causing the non-compliance. SED staff then develop a corrective action plan (CAP) which identifies the steps the LEA must take to correct the issues causing non-compliance with the regulatory requirements. In addition, a review of LEAs updated data is completed to verify that the individual case of non-compliance is corrected, and subsequent data is reviewed to confirm that the regulatory requirements are being properly implemented. </w:t>
        <w:br/>
        <w:t/>
        <w:br/>
        <w:t>The CAP also identifies technical assistance and professional development the LEA may need and sets timelines for the LEA to ensure the needed support is received. This is important to ensure that LEAs have a full understanding of the requirements and are appropriately implementing the requirements. CAP items must also be completed for the LEA to demonstrate they are meeting the regulatory requirements. Additional information specific to each indicator can be found in each section of this SPP/APR.</w:t>
      </w:r>
    </w:p>
    <w:p w14:paraId="26D57A13" w14:textId="589F2D22" w:rsidR="00AF5649" w:rsidRPr="00781112" w:rsidRDefault="00AF5649" w:rsidP="004369B2">
      <w:pPr>
        <w:rPr>
          <w:color w:val="000000" w:themeColor="text1"/>
        </w:rPr>
      </w:pPr>
      <w:r w:rsidRPr="00781112">
        <w:rPr>
          <w:b/>
          <w:color w:val="000000" w:themeColor="text1"/>
        </w:rPr>
        <w:t>Technical Assistance System:</w:t>
      </w:r>
    </w:p>
    <w:p w14:paraId="66B8EA84" w14:textId="52F3DBDC" w:rsidR="00AF5649" w:rsidRPr="00781112" w:rsidRDefault="00AF5649" w:rsidP="00AF5649">
      <w:pPr>
        <w:rPr>
          <w:rFonts w:cs="Arial"/>
          <w:b/>
          <w:color w:val="000000" w:themeColor="text1"/>
          <w:szCs w:val="16"/>
        </w:rPr>
      </w:pPr>
      <w:r w:rsidRPr="00781112">
        <w:rPr>
          <w:rFonts w:cs="Arial"/>
          <w:b/>
          <w:color w:val="000000" w:themeColor="text1"/>
          <w:szCs w:val="16"/>
        </w:rPr>
        <w:t>The mechanisms that the State has in place to ensure the timely delivery of high quality, evidence</w:t>
      </w:r>
      <w:r w:rsidR="00EE0EC5">
        <w:rPr>
          <w:rFonts w:cs="Arial"/>
          <w:b/>
          <w:color w:val="000000" w:themeColor="text1"/>
          <w:szCs w:val="16"/>
        </w:rPr>
        <w:t>-</w:t>
      </w:r>
      <w:r w:rsidRPr="00781112">
        <w:rPr>
          <w:rFonts w:cs="Arial"/>
          <w:b/>
          <w:color w:val="000000" w:themeColor="text1"/>
          <w:szCs w:val="16"/>
        </w:rPr>
        <w:t>based technical assistance and support to LEAs.</w:t>
      </w:r>
    </w:p>
    <w:p w14:paraId="46AFA65A" w14:textId="31299B5B" w:rsidR="000C24C2" w:rsidRPr="00781112" w:rsidRDefault="002B7490" w:rsidP="007925C6">
      <w:pPr>
        <w:rPr>
          <w:rFonts w:cs="Arial"/>
          <w:color w:val="000000" w:themeColor="text1"/>
          <w:szCs w:val="16"/>
        </w:rPr>
      </w:pPr>
      <w:r w:rsidRPr="00781112">
        <w:rPr>
          <w:rFonts w:cs="Arial"/>
          <w:color w:val="000000" w:themeColor="text1"/>
          <w:szCs w:val="16"/>
        </w:rPr>
        <w:t>The State’s Targeted Technical Assistance System (TTAS) is designed to ensure timely delivery of high quality, evidence-based technical assistance, and support to LEAs. The goals of the State’s TTAS are to improve LEA special education programs, systems and operations while sustaining compliance and cultivating performance. The TTAS is also designed to inform the need for other technical assistance and new initiatives to respond to LEA needs.</w:t>
        <w:br/>
        <w:t/>
        <w:br/>
        <w:t>Data gathered through the various systems (monitoring, self-assessment, Student Teacher Accountability Reporting System (STARS), due process hearings, state complaints, etc.) are used to identify the need for specific statewide technical assistance. Data are examined by State SED staff to identify statewide trends and to determine the type of technical assistance needed. Statewide technical assistance is provided regionally with the support of Regional Education Cooperatives (RECs), which provide evidence-based targeted technical assistance to LEAs within each REC region.</w:t>
        <w:br/>
        <w:t/>
        <w:br/>
        <w:t>Individual LEA data is also examined by State SED staff to determine LEA specific issues which require targeted technical assistance. The LEA’s annual determination along with any issues with significant disproportionality, are key factors in determining an LEA’s need for targeted technical assistance. Once an LEA's need is determined, State staff identify evidence-based technical assistance to provide to the LEA and include this information within a CAP if the LEA has one, or otherwise a technical assistance plan is developed. The State has many state and national organizations that provide technical assistance on evidence-based practices to draw support from. State SED staff work with the LEA to coordinate these efforts and monitor the supports provided to ensure the technical assistance needed by LEAs is received.</w:t>
        <w:br/>
        <w:t/>
        <w:br/>
        <w:t xml:space="preserve">In collaboration with the Indian Education Division, the SED has created and is implementing a statewide special education teacher mentorship program. The aim of this program is to assign new special education teachers, that have been teaching for less than 1 year, up to 3 years, with a mentor.  This program is designed to make available support to new teachers to help guide them and be a support when needed in navigating teaching and other requirements.  </w:t>
        <w:br/>
        <w:t>As another resource of technical assistance for LEAs, the State develops numerous manuals and guidance documents to assist LEAs in implementing the requirements of IDEA Part B. These manuals are available on the SED website.</w:t>
      </w:r>
    </w:p>
    <w:p w14:paraId="31C31C58" w14:textId="6D9367D0" w:rsidR="00AF5649" w:rsidRPr="00781112" w:rsidRDefault="00AF5649" w:rsidP="004369B2">
      <w:pPr>
        <w:rPr>
          <w:color w:val="000000" w:themeColor="text1"/>
        </w:rPr>
      </w:pPr>
      <w:r w:rsidRPr="00781112">
        <w:rPr>
          <w:b/>
          <w:color w:val="000000" w:themeColor="text1"/>
        </w:rPr>
        <w:t>Professional Development System:</w:t>
      </w:r>
    </w:p>
    <w:p w14:paraId="25232CAB" w14:textId="27BBB727" w:rsidR="00AF5649" w:rsidRPr="00781112" w:rsidRDefault="00AF5649" w:rsidP="00AF5649">
      <w:pPr>
        <w:rPr>
          <w:rFonts w:cs="Arial"/>
          <w:b/>
          <w:color w:val="000000" w:themeColor="text1"/>
          <w:szCs w:val="16"/>
        </w:rPr>
      </w:pPr>
      <w:r w:rsidRPr="00781112">
        <w:rPr>
          <w:rFonts w:cs="Arial"/>
          <w:b/>
          <w:color w:val="000000" w:themeColor="text1"/>
          <w:szCs w:val="16"/>
        </w:rPr>
        <w:t>The mechanisms the State has in place to ensure that service providers have the skills to effectively provide services that improve results for children with disabilities.</w:t>
      </w:r>
    </w:p>
    <w:p w14:paraId="0B77B8C1" w14:textId="3CE3A35D" w:rsidR="007742F1" w:rsidRPr="00781112" w:rsidRDefault="002B7490" w:rsidP="007925C6">
      <w:pPr>
        <w:rPr>
          <w:rFonts w:cs="Arial"/>
          <w:color w:val="000000" w:themeColor="text1"/>
          <w:szCs w:val="16"/>
        </w:rPr>
      </w:pPr>
      <w:r w:rsidRPr="00781112">
        <w:rPr>
          <w:rFonts w:cs="Arial"/>
          <w:color w:val="000000" w:themeColor="text1"/>
          <w:szCs w:val="16"/>
        </w:rPr>
        <w:t>The State’s professional development system provides opportunities for LEA staff, serving students with disabilities, to gain skills to effectively provide services that improve results for students with disabilities. The topics of the professional development provided are targeted to areas of need identified, to ensure LEA staff acquire knowledge and develop appropriate skills.  Professional development is provided year-round for special education directors, special education teachers, and related service providers.  Training courses are usually held as webinars.  When possible, webinars are recorded and made available on the website for LEA staff to refer to as needed or view if they did not have the opportunity to participate during the live session.</w:t>
        <w:br/>
        <w:t/>
        <w:br/>
        <w:t>The SED also collaborates with other divisions and departments with the NMPED to deliver professional development opportunities to LEA staff, which is especially important as students with disabilities are integrated into all areas. The State also contracts with the RECs and other professionals to provide professional development to all LEAs or targeted as necessary.</w:t>
        <w:br/>
        <w:t>Two Special Education Director Conferences are held each year. This is usually done in person; however, due to the continued effects of the COVID-19 pandemic, these conferences were held online via Zoom. A year-long webinar series is held on various special education topics. If staff are unable to attend a particular webinar or if any would like to refer to the information, the presentations are recorded and available to be accessed at a later time. Each year, a STARS data training on special education data is provided at the annual STARS conference.</w:t>
        <w:br/>
        <w:t/>
        <w:br/>
        <w:t>LEAs also have the opportunity to request training from the SED. This can be provided as an individual training specifically to the LEA or can be offered to all LEAs depending on the need and preference of the requesting LEA.</w:t>
      </w:r>
    </w:p>
    <w:p w14:paraId="0D25C7E9" w14:textId="57CCC112" w:rsidR="00AF5649" w:rsidRPr="00781112" w:rsidRDefault="00F72E24" w:rsidP="004369B2">
      <w:pPr>
        <w:rPr>
          <w:color w:val="000000" w:themeColor="text1"/>
        </w:rPr>
      </w:pPr>
      <w:r w:rsidRPr="00781112">
        <w:rPr>
          <w:b/>
          <w:color w:val="000000" w:themeColor="text1"/>
        </w:rPr>
        <w:t xml:space="preserve">Stakeholder </w:t>
      </w:r>
      <w:r w:rsidR="00EE0EC5">
        <w:rPr>
          <w:b/>
          <w:color w:val="000000" w:themeColor="text1"/>
        </w:rPr>
        <w:t>Engagement</w:t>
      </w:r>
      <w:r w:rsidRPr="00781112">
        <w:rPr>
          <w:b/>
          <w:color w:val="000000" w:themeColor="text1"/>
        </w:rPr>
        <w:t>:</w:t>
      </w:r>
    </w:p>
    <w:p w14:paraId="0EB1658A" w14:textId="58A43615" w:rsidR="006457D1" w:rsidRPr="006457D1" w:rsidRDefault="00EE0EC5" w:rsidP="006457D1">
      <w:pPr>
        <w:rPr>
          <w:rFonts w:cs="Arial"/>
          <w:b/>
          <w:color w:val="000000" w:themeColor="text1"/>
          <w:szCs w:val="16"/>
        </w:rPr>
      </w:pPr>
      <w:r w:rsidRPr="00BA3DBE">
        <w:rPr>
          <w:b/>
        </w:rPr>
        <w:t>The mechanisms for broad stakeholder engagement, including activities carried out to obtain input from, and build the capacity of, a diverse group of parents to support the implementation activities designed to improve outcomes, including target setting and any subsequent revisions to targets, analyzing data, developing improvement strategies, and evaluating progress.</w:t>
      </w:r>
    </w:p>
    <w:p w14:paraId="7621D9ED" w14:textId="6E2BA22E" w:rsidR="000C24C2" w:rsidRPr="00781112" w:rsidRDefault="002B7490" w:rsidP="000C24C2">
      <w:pPr>
        <w:rPr>
          <w:rFonts w:cs="Arial"/>
          <w:color w:val="000000" w:themeColor="text1"/>
          <w:szCs w:val="16"/>
        </w:rPr>
      </w:pPr>
      <w:r w:rsidRPr="00781112">
        <w:rPr>
          <w:rFonts w:cs="Arial"/>
          <w:color w:val="000000" w:themeColor="text1"/>
          <w:szCs w:val="16"/>
        </w:rPr>
        <w:t>Mechanism for Broad Stakeholder Input:</w:t>
        <w:br/>
        <w:t xml:space="preserve">During FFY2022, the State held stakeholder meetings as the mechanism for soliciting broad stakeholder input on the State’s targets in the SPP/APR and any subsequent revisions. The meetings were held in-person for the first time following the COVID-19 pandemic. An online option was available for stakeholders that were not able to meet in person. In the meetings, Stakeholder groups reviewed the FFY2021 data, and the baselines and targets established for FFY 2020-2025. The groups analyzed the data to determine if established baselines and targets established in the prior year, were still an accurate depiction of the state’s performance trajectory. The meetings also allowed time for stakeholders to provide input on improvement strategies and progress for the SPP/APR indicators. The State also revised its methodology for Indicators 4a and 4b in which the information was shared with stakeholders and input was sought. In addition, the State also proposed a revised LEA annual determination rubric to include target indicators. The revised rubric will be used with FFY2023 LEA annual determinations and is consistent with the information in the OSEP Question and Answer document QA 23-01. </w:t>
        <w:br/>
        <w:t/>
        <w:br/>
        <w:t xml:space="preserve">Stakeholder meeting information including meeting logistics and presentations are available on the Special Education Division (SED) website for the public and any interested individual to access. Flyers were created and LEAs were asked to disseminate the information to their staff, parents, and students. The Parent Training Centers (PTCs) were asked to share the meeting information with parents including through social media. Other groups such as tribes, IDEA panel members, the State Special Education Ombud, and other parent advocacy groups were sent invitations to each of the meetings. </w:t>
        <w:br/>
        <w:t/>
        <w:br/>
        <w:t>Any stakeholder that wanted to provide feedback but could not attend the meetings, had an opportunity to do so. On the State’s stakeholder page, individuals can click on the link and share their input with the state staff by completing an input form. The feedback received from the website is also considered when making revisions and establishing targets.</w:t>
        <w:br/>
        <w:t/>
        <w:br/>
        <w:t>Feedback Summary:</w:t>
        <w:br/>
        <w:t>For Indicators 4a and 4b, the State’s methodology was proposed to be changed to meet OSEP requirements as indicated in the FFY2021, SPP/APR OSEP Responses and Required Actions. Stakeholders were presented with the new proposed methodology in which the cell size of 10 requirement was removed, the N size was reduced to 10 and a rate ratio of 3.0 was introduced. In comparison to the previous methodology, where a cell size and N size of 10 were required as well as a risk ratio of 1 percentage point above the state rate. Stakeholders had no objections or concerns with the new methodology. The State will use the new methodology to apply to the Indicator 4 data reported in this FFY2022 State Performance Plan/Annual Performance Report (SPP/APR).</w:t>
        <w:br/>
        <w:t/>
        <w:br/>
        <w:t>Indicator 17, State Systemic Improvement Plan:</w:t>
        <w:br/>
        <w:t xml:space="preserve">1. ECLIPSE program coordinators presented data and program updates to the state IDEA Panel (members include parents, advocates, state staff, and educators) during the 2022-2023 school year. IDEA panel members were engaged in the ECLIPSE program presentation on Indicator 17 and updates. An ECLIPSE panel committee provided qualitative feedback via a Google Form survey. The panel members conveyed the program is making progress in improving literacy outcomes forward for students with disabilities. Recommendations included increasing parental involvement and increased awareness of the program's successes. </w:t>
        <w:br/>
        <w:t>2. A virtual ECLIPSE stakeholder meeting was held during the 2022-2023 school year. Stakeholders in attendance included the ECLIPSE staff, Regional Education Cooperative (REC) coordinators, Special Education Directors, and ECLIPSE school principals. Stakeholders in attendance were provided with ECLIPSE program details for the upcoming school year and verbal feedback about the ECLIPSE Program at the end of the meeting.</w:t>
        <w:br/>
        <w:t xml:space="preserve">3. Parent engagement stakeholder meetings were held in-person and through online platforms where they were provided direct literacy training via hands-on activities. If the meeting was online, materials were provided to the schools prior to the meeting. The Regional Education Cooperative (REC) contractors provided materials, activities, and training to parents in-person. The REC initiated Google Pre and Post surveys following the trainings and it indicated that the level of understanding to support reading at home increased. Parental understanding of what the predicator of reading success was increased dramatically between pre and post surveys. A summary of parent comments included that the engagement sessions provided a lot of great information, it was a fun learning experience, and they looked forward to future meetings. </w:t>
        <w:br/>
        <w:t xml:space="preserve">4. The ECLIPSE staff initiated surveys during 2022-2023 to principals and teachers through Google Forms survey. Teachers showed dramatic increases in their knowledge of the incorporation of engagement strategies with their students due to their coaches. In a pre-survey, administrators listed that professional development on literacy is one of the greatest needs of the teachers they support. They also stated that time and equitable feedback were areas of administrative need. </w:t>
        <w:br/>
        <w:t>5. An online end of year survey was sent to all ECLIPSE stakeholders as the 2022-2023 school year ended. The main consensus from the survey supported the ongoing development of the program to illustrate its impact so adjustments can be made to better inform ourselves and our stakeholders of progress.</w:t>
      </w:r>
    </w:p>
    <w:p w14:paraId="159721AE" w14:textId="2EBB96BA" w:rsidR="00084FF1" w:rsidRPr="00781112" w:rsidRDefault="00084FF1" w:rsidP="000C24C2">
      <w:pPr>
        <w:rPr>
          <w:rFonts w:cs="Arial"/>
          <w:b/>
          <w:color w:val="000000" w:themeColor="text1"/>
          <w:szCs w:val="16"/>
        </w:rPr>
      </w:pPr>
      <w:r w:rsidRPr="00781112">
        <w:rPr>
          <w:rFonts w:cs="Arial"/>
          <w:b/>
          <w:color w:val="000000" w:themeColor="text1"/>
          <w:szCs w:val="16"/>
        </w:rPr>
        <w:t xml:space="preserve">Apply stakeholder </w:t>
      </w:r>
      <w:r w:rsidR="00EE0EC5">
        <w:rPr>
          <w:rFonts w:cs="Arial"/>
          <w:b/>
          <w:color w:val="000000" w:themeColor="text1"/>
          <w:szCs w:val="16"/>
        </w:rPr>
        <w:t>engagement</w:t>
      </w:r>
      <w:r w:rsidR="00EE0EC5" w:rsidRPr="00781112">
        <w:rPr>
          <w:rFonts w:cs="Arial"/>
          <w:b/>
          <w:color w:val="000000" w:themeColor="text1"/>
          <w:szCs w:val="16"/>
        </w:rPr>
        <w:t xml:space="preserve"> </w:t>
      </w:r>
      <w:r w:rsidRPr="00781112">
        <w:rPr>
          <w:rFonts w:cs="Arial"/>
          <w:b/>
          <w:color w:val="000000" w:themeColor="text1"/>
          <w:szCs w:val="16"/>
        </w:rPr>
        <w:t>from introduction to all Part B results indicators (y/n)</w:t>
      </w:r>
    </w:p>
    <w:p w14:paraId="2E10E7B0" w14:textId="00B67F00" w:rsidR="00FB0D0A" w:rsidRPr="00781112" w:rsidRDefault="002B7490" w:rsidP="004369B2">
      <w:pPr>
        <w:rPr>
          <w:color w:val="000000" w:themeColor="text1"/>
        </w:rPr>
      </w:pPr>
      <w:r w:rsidRPr="00781112">
        <w:rPr>
          <w:color w:val="000000" w:themeColor="text1"/>
        </w:rPr>
        <w:t>YES</w:t>
      </w:r>
    </w:p>
    <w:p w14:paraId="039304C3" w14:textId="77777777" w:rsidR="00F72E24" w:rsidRPr="00781112" w:rsidRDefault="00F72E24" w:rsidP="00F72E24">
      <w:pPr>
        <w:rPr>
          <w:b/>
          <w:color w:val="000000" w:themeColor="text1"/>
        </w:rPr>
      </w:pPr>
      <w:r w:rsidRPr="00781112">
        <w:rPr>
          <w:b/>
          <w:color w:val="000000" w:themeColor="text1"/>
        </w:rPr>
        <w:t>Number of Parent Members:</w:t>
      </w:r>
    </w:p>
    <w:p w14:paraId="3A2A60D7" w14:textId="5F5224C2" w:rsidR="00F72E24" w:rsidRPr="00781112" w:rsidRDefault="00F72E24" w:rsidP="00F72E24">
      <w:pPr>
        <w:rPr>
          <w:color w:val="000000" w:themeColor="text1"/>
          <w:szCs w:val="16"/>
        </w:rPr>
      </w:pPr>
      <w:r w:rsidRPr="00781112">
        <w:rPr>
          <w:color w:val="000000" w:themeColor="text1"/>
          <w:szCs w:val="16"/>
        </w:rPr>
        <w:t>12</w:t>
      </w:r>
    </w:p>
    <w:p w14:paraId="06D1F432" w14:textId="77777777" w:rsidR="00F72E24" w:rsidRPr="00781112" w:rsidRDefault="00F72E24" w:rsidP="00F72E24">
      <w:pPr>
        <w:rPr>
          <w:b/>
          <w:color w:val="000000" w:themeColor="text1"/>
        </w:rPr>
      </w:pPr>
      <w:r w:rsidRPr="00781112">
        <w:rPr>
          <w:b/>
          <w:color w:val="000000" w:themeColor="text1"/>
        </w:rPr>
        <w:t>Parent Members Engagement:</w:t>
      </w:r>
    </w:p>
    <w:p w14:paraId="243421D1" w14:textId="676E0957" w:rsidR="00F72E24" w:rsidRPr="00781112" w:rsidRDefault="00F72E24" w:rsidP="00F72E24">
      <w:pPr>
        <w:rPr>
          <w:b/>
          <w:color w:val="000000" w:themeColor="text1"/>
        </w:rPr>
      </w:pPr>
      <w:r w:rsidRPr="00781112">
        <w:rPr>
          <w:b/>
          <w:color w:val="000000" w:themeColor="text1"/>
        </w:rPr>
        <w:t>Describe how the parent members of the State Advisory Panel, parent center staff, parents from local and statewide advocacy and advisory committees, and individual parents were engaged in setting targets, analyzing data, developing improvement strategies, and evaluating progress.</w:t>
      </w:r>
    </w:p>
    <w:p w14:paraId="5A19969A" w14:textId="0D5C2CEC" w:rsidR="00F72E24" w:rsidRPr="00781112" w:rsidRDefault="00F72E24" w:rsidP="00F72E24">
      <w:pPr>
        <w:rPr>
          <w:color w:val="000000" w:themeColor="text1"/>
          <w:szCs w:val="16"/>
        </w:rPr>
      </w:pPr>
      <w:r w:rsidRPr="00781112">
        <w:rPr>
          <w:color w:val="000000" w:themeColor="text1"/>
          <w:szCs w:val="16"/>
        </w:rPr>
        <w:t>Parents were invited to all Stakeholder Engagement meetings described in the previous section.  The staff at the two Parent Training Centers (PTCs), the Education for Parents of Indian Children with Special Needs (EPICS) and Parents Reaching Out (PRO) assisted state staff in disseminating meeting information to parents.  This was done through PTC newsletters and social media.   PTC staff were also invited to attend all stakeholder meetings.  Parent members of the IDEA Panel, the State’s advisory panel, were invited to participate in the stakeholder meetings.  LEAs were also asked to disseminate meeting information to their parents.  Flyers were developed for all partners to share with parents.  In addition, the state has created a website for stakeholder to access meeting information including Zoom links.</w:t>
        <w:br/>
        <w:t/>
        <w:br/>
        <w:t xml:space="preserve">Meetings were held in hybrid format, via Zoom and in person.  This allowed parents who were unable to travel to the meeting site to have access to participate in meetings. All parents that participated in the stakeholder meetings were engaged in setting targets, analyzing data, developing improvement strategies and evaluating progress. These activities were completed at each stakeholder meeting. At the beginning of each meeting, the indicator and data were explained. Next, stakeholders had the opportunity to analyze data, evaluate progress, develop improvement strategies and set targets. At every meeting, parents are always given the opportunity to speak first. If no parent has input, the floor is then opened to the rest of the stakeholders. </w:t>
        <w:br/>
        <w:t/>
        <w:br/>
        <w:t xml:space="preserve">Parents who could not attend the meeting had the opportunity to access materials on the State’s Stakeholder website.  In addition, a Google form was available for stakeholders to submit input.  </w:t>
      </w:r>
    </w:p>
    <w:p w14:paraId="22B36B69" w14:textId="77777777" w:rsidR="00F72E24" w:rsidRPr="00781112" w:rsidRDefault="00F72E24" w:rsidP="00F72E24">
      <w:pPr>
        <w:rPr>
          <w:b/>
          <w:color w:val="000000" w:themeColor="text1"/>
        </w:rPr>
      </w:pPr>
      <w:r w:rsidRPr="00781112">
        <w:rPr>
          <w:b/>
          <w:color w:val="000000" w:themeColor="text1"/>
        </w:rPr>
        <w:t>Activities to Improve Outcomes for Children with Disabilities:</w:t>
      </w:r>
    </w:p>
    <w:p w14:paraId="362D1ECF" w14:textId="77777777" w:rsidR="006457D1" w:rsidRPr="006457D1" w:rsidRDefault="006457D1" w:rsidP="006457D1">
      <w:pPr>
        <w:rPr>
          <w:b/>
          <w:color w:val="000000" w:themeColor="text1"/>
        </w:rPr>
      </w:pPr>
      <w:r w:rsidRPr="006457D1">
        <w:rPr>
          <w:b/>
          <w:color w:val="000000" w:themeColor="text1"/>
        </w:rPr>
        <w:t>The activities conducted to increase the capacity of diverse groups of parents to support the development of implementation activities designed to improve outcomes for children with disabilities.</w:t>
      </w:r>
    </w:p>
    <w:p w14:paraId="3BDE813D" w14:textId="522F6FB0" w:rsidR="00F72E24" w:rsidRPr="00781112" w:rsidRDefault="00F72E24" w:rsidP="00F72E24">
      <w:pPr>
        <w:rPr>
          <w:color w:val="000000" w:themeColor="text1"/>
          <w:szCs w:val="16"/>
        </w:rPr>
      </w:pPr>
      <w:r w:rsidRPr="00781112">
        <w:rPr>
          <w:color w:val="000000" w:themeColor="text1"/>
          <w:szCs w:val="16"/>
        </w:rPr>
        <w:t>The state conducted the following activities to increase the capacity of diverse groups of parents to support the development of implementation activities designed to improve outcomes for children with disabilities:</w:t>
        <w:br/>
        <w:t xml:space="preserve">- The state held a parent summit. The summit included various training sessions for increasing parents' capacity and knowledge of special education and parental rights. </w:t>
        <w:br/>
        <w:t>- Two Parent Training Center conferences were funded in part by the State. State staff participated in the conference and disseminated information about special education services.</w:t>
        <w:br/>
        <w:t>- During each stakeholder meeting, the data was presented and explained prior to the input sessions allowing parents to build capacity.</w:t>
        <w:br/>
        <w:t>- Information is posted on the Special Education Division website for parents to review on the State Performance Plan/Annual Performance Report and refer to.</w:t>
        <w:br/>
        <w:t>- An email "sed.support" was created for parents to use to seek direct assistance from State special education staff.  The website is monitored and parents receive feedback and information requested.</w:t>
      </w:r>
    </w:p>
    <w:p w14:paraId="6210CD83" w14:textId="77777777" w:rsidR="00F72E24" w:rsidRPr="00781112" w:rsidRDefault="00F72E24" w:rsidP="00F72E24">
      <w:pPr>
        <w:rPr>
          <w:b/>
          <w:color w:val="000000" w:themeColor="text1"/>
        </w:rPr>
      </w:pPr>
      <w:r w:rsidRPr="00781112">
        <w:rPr>
          <w:b/>
          <w:color w:val="000000" w:themeColor="text1"/>
        </w:rPr>
        <w:t>Soliciting Public Input:</w:t>
      </w:r>
    </w:p>
    <w:p w14:paraId="39A8F7F4" w14:textId="036934F6" w:rsidR="00F72E24" w:rsidRPr="00781112" w:rsidRDefault="00F72E24" w:rsidP="00F72E24">
      <w:pPr>
        <w:rPr>
          <w:b/>
          <w:color w:val="000000" w:themeColor="text1"/>
        </w:rPr>
      </w:pPr>
      <w:r w:rsidRPr="00781112">
        <w:rPr>
          <w:b/>
          <w:color w:val="000000" w:themeColor="text1"/>
        </w:rPr>
        <w:t>The mechanisms and timelines for soliciting public input for setting targets, analyzing data, developing improvement strategies, and evaluating progress.</w:t>
      </w:r>
    </w:p>
    <w:p w14:paraId="223D0B8E" w14:textId="16A98311" w:rsidR="00F72E24" w:rsidRPr="00781112" w:rsidRDefault="00F72E24" w:rsidP="00F72E24">
      <w:pPr>
        <w:rPr>
          <w:color w:val="000000" w:themeColor="text1"/>
          <w:szCs w:val="16"/>
        </w:rPr>
      </w:pPr>
      <w:r w:rsidRPr="00781112">
        <w:rPr>
          <w:color w:val="000000" w:themeColor="text1"/>
          <w:szCs w:val="16"/>
        </w:rPr>
        <w:t xml:space="preserve">On April 25 and September 9, 2023, the State held hybrid meetings to solicit public input.  The mechanisms for soliciting input were hybrid meetings held in person and via Zoom.  At each meeting, the public had the opportunity to review data, set targets, analyze data, develop improvement strategies, and evaluate progress. </w:t>
        <w:br/>
        <w:t/>
        <w:br/>
        <w:t>Information for each of the meetings including topics, dates, times and links to each of the five meetings was made available on the stakeholder engagement webpage of the State’s stakeholder website. Identified stakeholders such as parent advocacy groups, associations and other stakeholders such as LEA staff were sent invitations to the meeting and asked for support in advertising the meetings.</w:t>
        <w:br/>
        <w:t/>
        <w:br/>
        <w:t xml:space="preserve">Stakeholders who could not attend the meeting had the opportunity to access materials on the State’s Stakeholder website.  In addition, a Google form was available for stakeholders to submit input.  </w:t>
      </w:r>
    </w:p>
    <w:p w14:paraId="60517C6B" w14:textId="77777777" w:rsidR="001628C0" w:rsidRPr="00781112" w:rsidRDefault="001628C0" w:rsidP="001628C0">
      <w:pPr>
        <w:rPr>
          <w:b/>
          <w:color w:val="000000" w:themeColor="text1"/>
        </w:rPr>
      </w:pPr>
      <w:r w:rsidRPr="00781112">
        <w:rPr>
          <w:b/>
          <w:color w:val="000000" w:themeColor="text1"/>
        </w:rPr>
        <w:t>Making Results Available to the Public:</w:t>
      </w:r>
    </w:p>
    <w:p w14:paraId="311EF023" w14:textId="34EDFFF0" w:rsidR="001628C0" w:rsidRPr="00781112" w:rsidRDefault="001628C0" w:rsidP="001628C0">
      <w:pPr>
        <w:rPr>
          <w:b/>
          <w:color w:val="000000" w:themeColor="text1"/>
        </w:rPr>
      </w:pPr>
      <w:r w:rsidRPr="00781112">
        <w:rPr>
          <w:b/>
          <w:color w:val="000000" w:themeColor="text1"/>
        </w:rPr>
        <w:t>The mechanisms and timelines for making the results of the target setting, data analysis, development of the improvement strategies, and evaluation available to the public.</w:t>
      </w:r>
    </w:p>
    <w:p w14:paraId="0AEF38F9" w14:textId="1C0CFAA1" w:rsidR="001628C0" w:rsidRPr="00781112" w:rsidRDefault="001628C0" w:rsidP="001628C0">
      <w:pPr>
        <w:rPr>
          <w:color w:val="000000" w:themeColor="text1"/>
          <w:szCs w:val="16"/>
        </w:rPr>
      </w:pPr>
      <w:r w:rsidRPr="00781112">
        <w:rPr>
          <w:color w:val="000000" w:themeColor="text1"/>
          <w:szCs w:val="16"/>
        </w:rPr>
        <w:t>All the data collected over the course of the stakeholder engagement process, is available on the Special Education Division's, Stakeholder Engagement webpage https://webnew.ped.state.nm.us/bureaus/special-education/stakeholder-engagement/. This site includes PowerPoint presentations and other information for stakeholders to access.</w:t>
      </w:r>
    </w:p>
    <w:p w14:paraId="7432C5B0" w14:textId="77777777" w:rsidR="00F72E24" w:rsidRPr="00781112" w:rsidRDefault="00F72E24" w:rsidP="004369B2">
      <w:pPr>
        <w:rPr>
          <w:color w:val="000000" w:themeColor="text1"/>
        </w:rPr>
      </w:pPr>
    </w:p>
    <w:p w14:paraId="41976EFD" w14:textId="52C6C218" w:rsidR="00AF5649" w:rsidRPr="00781112" w:rsidRDefault="00AF5649" w:rsidP="004369B2">
      <w:pPr>
        <w:rPr>
          <w:color w:val="000000" w:themeColor="text1"/>
        </w:rPr>
      </w:pPr>
      <w:r w:rsidRPr="00781112">
        <w:rPr>
          <w:b/>
          <w:color w:val="000000" w:themeColor="text1"/>
        </w:rPr>
        <w:t>Reporting to the Public</w:t>
      </w:r>
    </w:p>
    <w:p w14:paraId="6989C68F" w14:textId="670AF917" w:rsidR="00AF5649" w:rsidRPr="00781112" w:rsidRDefault="00AF5649" w:rsidP="004369B2">
      <w:pPr>
        <w:rPr>
          <w:b/>
          <w:color w:val="000000" w:themeColor="text1"/>
        </w:rPr>
      </w:pPr>
      <w:r w:rsidRPr="00781112">
        <w:rPr>
          <w:b/>
          <w:color w:val="000000" w:themeColor="text1"/>
        </w:rPr>
        <w:t>How and where the State reported to the public on the FFY 2021 performance of each LEA located in the State on the targets in the SPP/APR as soon as practicable, but no later than 120 days following the State’s submission of its FFY 2021 APR, as required by 34 CFR §300.602(b)(1)(</w:t>
      </w:r>
      <w:proofErr w:type="spellStart"/>
      <w:r w:rsidRPr="00781112">
        <w:rPr>
          <w:b/>
          <w:color w:val="000000" w:themeColor="text1"/>
        </w:rPr>
        <w:t>i</w:t>
      </w:r>
      <w:proofErr w:type="spellEnd"/>
      <w:r w:rsidRPr="00781112">
        <w:rPr>
          <w:b/>
          <w:color w:val="000000" w:themeColor="text1"/>
        </w:rPr>
        <w:t>)(A); and a description of where, on its Web site, a complete copy of the State’s SPP/APR, including any revision</w:t>
      </w:r>
      <w:r w:rsidR="00EE0EC5">
        <w:rPr>
          <w:b/>
          <w:color w:val="000000" w:themeColor="text1"/>
        </w:rPr>
        <w:t>s</w:t>
      </w:r>
      <w:r w:rsidRPr="00781112">
        <w:rPr>
          <w:b/>
          <w:color w:val="000000" w:themeColor="text1"/>
        </w:rPr>
        <w:t xml:space="preserve"> if the State has revised the targets that it submitted with its FFY 2021 APR in 2023, is available.</w:t>
      </w:r>
    </w:p>
    <w:p w14:paraId="4B111ECA" w14:textId="48A73890" w:rsidR="000C24C2" w:rsidRPr="00781112" w:rsidRDefault="002B7490" w:rsidP="007925C6">
      <w:pPr>
        <w:rPr>
          <w:rFonts w:cs="Arial"/>
          <w:color w:val="000000" w:themeColor="text1"/>
          <w:szCs w:val="16"/>
        </w:rPr>
      </w:pPr>
      <w:r w:rsidRPr="00781112">
        <w:rPr>
          <w:rFonts w:cs="Arial"/>
          <w:color w:val="000000" w:themeColor="text1"/>
          <w:szCs w:val="16"/>
        </w:rPr>
        <w:t xml:space="preserve">The State has a District Profile Reporting System (DPRS) for publicly reporting the performance of each LEA on the targets in the SPP/APR. The system contains two levels of data, one level is the general public view which contains suppressed (masked) data for indicators with less than 10 students reported. The public can look at this level of data for each LEA. The second level of data views is the LEA view. This view requires a login and password as the data is not suppressed (unmasked). Having non-suppressed data available for LEAs is beneficial as they can track the LEA's performance over time and can analyze data for program improvement purposes. </w:t>
        <w:br/>
        <w:t/>
        <w:br/>
        <w:t xml:space="preserve">Once on the DPRS site, public users must click on General Public Data View. In the General Public Data View, users can select a Local Education Agency (LEA) to view data for that LEA. Once the LEA is selected, there are two buttons available, a Results Indicator Button and a Compliance Indicator Button. When the Results Indicator button is clicked, the data for the results (target) indicators are displayed. When the Compliance Indicator button is clicked, the data for the compliance indicators will be displayed. Each indicator contains the state target, district (LEA) rate and if the State target was met. </w:t>
        <w:br/>
        <w:t/>
        <w:br/>
        <w:t>The DPRS can be found at: http://webed.ped.state.nm.us/sites/DPR/SitePages/DPRHome.aspx. To access the site, go to the New Mexico Public Education Department website.  Once on the website, click on Offices/Programs in the banner at the top of the page, click on Special Education, then click on the gold button labeled "Visit the District Profile Reporting System" in the middle of the Special Education page. FFY2022 data will be made available in the DPR site within 120 days following the submission of this SPP/APR.</w:t>
        <w:br/>
        <w:t/>
        <w:br/>
        <w:t xml:space="preserve">A complete copy of the FFY2022 SPP/APR will also be posted on the SED webpage located at: https://webnew.ped.state.nm.us/bureaus/special-education/district-data/. To get to the site, go the New Mexico Public Education Department Website, click on Offices/Programs in the banner at the top of the page, click on Special Education, on the left banner, click on District Data, click on FFY2022 Annual Performance Report. </w:t>
      </w:r>
    </w:p>
    <w:p w14:paraId="5231B97D" w14:textId="77777777" w:rsidR="00466646" w:rsidRPr="00781112" w:rsidRDefault="00466646" w:rsidP="007925C6">
      <w:pPr>
        <w:rPr>
          <w:rFonts w:cs="Arial"/>
          <w:color w:val="000000" w:themeColor="text1"/>
          <w:szCs w:val="16"/>
        </w:rPr>
      </w:pPr>
    </w:p>
    <w:p w14:paraId="149B9F3D" w14:textId="71D786D9" w:rsidR="00AA4DAF" w:rsidRPr="00781112" w:rsidRDefault="00684B51" w:rsidP="008645AD">
      <w:pPr>
        <w:pStyle w:val="Heading2"/>
      </w:pPr>
      <w:r w:rsidRPr="00781112">
        <w:lastRenderedPageBreak/>
        <w:t xml:space="preserve">Intro - </w:t>
      </w:r>
      <w:r w:rsidR="006B0FD9" w:rsidRPr="00781112">
        <w:t xml:space="preserve">Prior FFY Required </w:t>
      </w:r>
      <w:r w:rsidR="00AA4DAF" w:rsidRPr="00781112">
        <w:t xml:space="preserve">Actions </w:t>
      </w:r>
    </w:p>
    <w:p w14:paraId="66CEC339" w14:textId="2D6DB901" w:rsidR="000C24C2" w:rsidRPr="00781112" w:rsidRDefault="002B7490" w:rsidP="000B4AA4">
      <w:pPr>
        <w:rPr>
          <w:rFonts w:cs="Arial"/>
          <w:color w:val="000000" w:themeColor="text1"/>
          <w:szCs w:val="16"/>
        </w:rPr>
      </w:pPr>
      <w:r w:rsidRPr="00781112">
        <w:rPr>
          <w:rFonts w:cs="Arial"/>
          <w:color w:val="000000" w:themeColor="text1"/>
          <w:szCs w:val="16"/>
        </w:rPr>
        <w:t>While the State has publicly reported on the FFY 2020 (July 1, 2020-June 30, 2021) performance of each LEA located in the State on the targets in the State's performance plan as required by section 616(b)(2)(C)(ii)(I) of IDEA, those reports did not contain, as specified in the OSEP Response, all of the required information. With its FFY 2022 SPP/APR, the State must provide a Web link demonstrating that the State has fully reported to the public on the performance of each LEA located in the State on the targets in the SPP/APR for FFY 2020. In addition, the State must report, with its FFY 2022 SPP/APR, how and where the State reported to the public on the FFY 2021 performance of each LEA located in the State on the targets in the SPP/APR.</w:t>
        <w:br/>
        <w:t/>
        <w:br/>
        <w:t>The State's IDEA Part B determination for both 2022 and 2023 is Needs Assistance. In the State's 2023 determination letter, the Department advised the State of available sources of technical assistance, including OSEP-funded technical assistance centers, and required the State to work with appropriate entities. The Department directed the State to determine the results elements and/or compliance indicators, and improvement strategies, on which it will focus its use of available technical assistance, in order to improve its performance. The State must report, with its FFY 2022 SPP/APR submission, due February 1, 2024, on: (1) the technical assistance sources from which the State received assistance; and (2) the actions the State took as a result of that technical assistance.</w:t>
      </w:r>
    </w:p>
    <w:p w14:paraId="6ECA4985" w14:textId="77777777" w:rsidR="008C56EE" w:rsidRPr="00781112" w:rsidRDefault="008C56EE" w:rsidP="000B4AA4">
      <w:pPr>
        <w:rPr>
          <w:rFonts w:cs="Arial"/>
          <w:color w:val="000000" w:themeColor="text1"/>
          <w:szCs w:val="16"/>
        </w:rPr>
      </w:pPr>
    </w:p>
    <w:bookmarkEnd w:id="4"/>
    <w:p w14:paraId="615D9F24" w14:textId="59B47E84" w:rsidR="009F764E" w:rsidRPr="00781112" w:rsidRDefault="007639D7" w:rsidP="004369B2">
      <w:pPr>
        <w:rPr>
          <w:b/>
          <w:color w:val="000000" w:themeColor="text1"/>
        </w:rPr>
      </w:pPr>
      <w:r>
        <w:rPr>
          <w:b/>
          <w:color w:val="000000" w:themeColor="text1"/>
        </w:rPr>
        <w:t>Response to actions required in FFY 2021 SPP/APR</w:t>
      </w:r>
    </w:p>
    <w:p w14:paraId="3302C1DF" w14:textId="2D8F36EA" w:rsidR="000C24C2" w:rsidRPr="00781112" w:rsidRDefault="002B7490" w:rsidP="000E33D0">
      <w:pPr>
        <w:rPr>
          <w:rFonts w:cs="Arial"/>
          <w:color w:val="000000" w:themeColor="text1"/>
          <w:szCs w:val="16"/>
        </w:rPr>
      </w:pPr>
      <w:r w:rsidRPr="00781112">
        <w:rPr>
          <w:rFonts w:cs="Arial"/>
          <w:color w:val="000000" w:themeColor="text1"/>
          <w:szCs w:val="16"/>
        </w:rPr>
        <w:t>The State met with the OSEP state lead on two occasions in which a walk-trough of the data posted on the website was completed. It was indicated by the OSEP state lead that the data was there and met the requirements, the issue however is the number of clicks it took to get to the data. The State is working with the internal website team to resolve this issue and is creating buttons to remove this barrier to accessing the data.</w:t>
        <w:br/>
        <w:t/>
        <w:br/>
        <w:t>Improving performance is a priority of the state. The State continues to work with the IDEA Data Center (IDC). The data supervisor has monthly check-ins and requests supports when needed. IDC was integral in the re-design of the state's methodology for Indicators 4A and 4B. IDC also connected the state to other technical assistance providers such as the DaSy center for support with Indicator 7. The National Center for Systemic Improvement (NCSI) also provided support on implementing the Prong 1 verification of correction of non-compliance processes for complaints and mediated agreements. State staff also participate in IDC's Data Quality Peer Group and the SPP/APR Group.</w:t>
      </w:r>
    </w:p>
    <w:p w14:paraId="4A252D01" w14:textId="7879CF0B" w:rsidR="00CE6EB0" w:rsidRPr="00781112" w:rsidRDefault="00684B51" w:rsidP="008645AD">
      <w:pPr>
        <w:pStyle w:val="Heading2"/>
      </w:pPr>
      <w:r w:rsidRPr="00781112">
        <w:t xml:space="preserve">Intro - </w:t>
      </w:r>
      <w:r w:rsidR="00CE6EB0" w:rsidRPr="00781112">
        <w:t>OSEP Response</w:t>
      </w:r>
    </w:p>
    <w:p w14:paraId="75883DD0" w14:textId="26E7A768" w:rsidR="000C24C2" w:rsidRPr="00781112" w:rsidRDefault="002B7490" w:rsidP="001F692C">
      <w:pPr>
        <w:rPr>
          <w:rFonts w:cs="Arial"/>
          <w:color w:val="000000" w:themeColor="text1"/>
          <w:szCs w:val="16"/>
        </w:rPr>
      </w:pPr>
      <w:r w:rsidRPr="00781112">
        <w:rPr>
          <w:rFonts w:cs="Arial"/>
          <w:color w:val="000000" w:themeColor="text1"/>
          <w:szCs w:val="16"/>
        </w:rPr>
        <w:t>The State's determinations for both 2022 and 2023 were Needs Assistance. Pursuant to Section 616(e)(1) of the IDEA and 34 C.F.R. § 300.604(a), OSEP's June 23, 2023 determination letter informed the State that it must report with its FFY 2022 SPP/APR submission, due February 1, 2024, on: (1) the technical assistance sources from which the State received assistance; and (2) the actions the State took as a result of that technical assistance. The State provided the required information.</w:t>
      </w:r>
    </w:p>
    <w:p w14:paraId="53B509C2" w14:textId="7458BB00" w:rsidR="00CE6EB0" w:rsidRPr="00781112" w:rsidRDefault="00684B51" w:rsidP="008645AD">
      <w:pPr>
        <w:pStyle w:val="Heading2"/>
      </w:pPr>
      <w:r w:rsidRPr="00781112">
        <w:t>Intro - Required Actions</w:t>
      </w:r>
    </w:p>
    <w:p w14:paraId="4593FA49" w14:textId="4CE6B2B1" w:rsidR="000C24C2" w:rsidRPr="00781112" w:rsidRDefault="002B7490" w:rsidP="001F692C">
      <w:pPr>
        <w:rPr>
          <w:rFonts w:cs="Arial"/>
          <w:color w:val="000000" w:themeColor="text1"/>
          <w:szCs w:val="16"/>
        </w:rPr>
      </w:pPr>
      <w:r w:rsidRPr="00781112">
        <w:rPr>
          <w:rFonts w:cs="Arial"/>
          <w:color w:val="000000" w:themeColor="text1"/>
          <w:szCs w:val="16"/>
        </w:rPr>
        <w:t>The State's IDEA Part B determination for both 2023 and 2024 is Needs Assistance. In the State's 2024 determination letter, the Department advised the State of available sources of technical assistance, including OSEP-funded technical assistance centers, and required the State to work with appropriate entities. The Department directed the State to determine the results elements and/or compliance indicators, and improvement strategies, on which it will focus its use of available technical assistance, in order to improve its performance. The State must report, with its FFY 2023 SPP/APR submission, due February 1, 2025, on: (1) the technical assistance sources from which the State received assistance; and (2) the actions the State took as a result of that technical assistance.</w:t>
      </w:r>
    </w:p>
    <w:p w14:paraId="42393C4C" w14:textId="77777777" w:rsidR="00D37BF0" w:rsidRPr="00781112" w:rsidRDefault="00D37BF0">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38F1108C" w14:textId="1387D8AF" w:rsidR="00EB0146" w:rsidRPr="00781112" w:rsidRDefault="00EB0146" w:rsidP="000444E2">
      <w:pPr>
        <w:pStyle w:val="Heading1"/>
        <w:rPr>
          <w:color w:val="000000" w:themeColor="text1"/>
          <w:sz w:val="22"/>
        </w:rPr>
      </w:pPr>
      <w:r w:rsidRPr="00781112">
        <w:rPr>
          <w:color w:val="000000" w:themeColor="text1"/>
          <w:sz w:val="22"/>
        </w:rPr>
        <w:lastRenderedPageBreak/>
        <w:t>Indicator 1: Graduation</w:t>
      </w:r>
      <w:bookmarkEnd w:id="1"/>
      <w:bookmarkEnd w:id="2"/>
    </w:p>
    <w:p w14:paraId="5D906D37" w14:textId="00C8F8B1" w:rsidR="009A62A4" w:rsidRPr="00781112" w:rsidRDefault="009A62A4" w:rsidP="00A018D4">
      <w:pPr>
        <w:rPr>
          <w:color w:val="000000" w:themeColor="text1"/>
          <w:szCs w:val="20"/>
        </w:rPr>
      </w:pPr>
      <w:r w:rsidRPr="00781112">
        <w:rPr>
          <w:b/>
          <w:color w:val="000000" w:themeColor="text1"/>
          <w:sz w:val="20"/>
          <w:szCs w:val="20"/>
        </w:rPr>
        <w:t>Instructions and Measurement</w:t>
      </w:r>
    </w:p>
    <w:p w14:paraId="13149CC2" w14:textId="77777777" w:rsidR="004B782D" w:rsidRPr="00781112" w:rsidRDefault="004B782D" w:rsidP="004369B2">
      <w:pPr>
        <w:rPr>
          <w:color w:val="000000" w:themeColor="text1"/>
        </w:rPr>
      </w:pPr>
      <w:bookmarkStart w:id="5" w:name="_Toc392159259"/>
      <w:r w:rsidRPr="00781112">
        <w:rPr>
          <w:b/>
          <w:color w:val="000000" w:themeColor="text1"/>
        </w:rPr>
        <w:t>Monitoring Priority:</w:t>
      </w:r>
      <w:r w:rsidRPr="00781112">
        <w:rPr>
          <w:color w:val="000000" w:themeColor="text1"/>
        </w:rPr>
        <w:t xml:space="preserve"> FAPE in the LRE </w:t>
      </w:r>
    </w:p>
    <w:p w14:paraId="18CE8669" w14:textId="0A91E220" w:rsidR="00531ED7" w:rsidRPr="00781112" w:rsidRDefault="004B782D" w:rsidP="009340E3">
      <w:pPr>
        <w:rPr>
          <w:color w:val="000000" w:themeColor="text1"/>
        </w:rPr>
      </w:pPr>
      <w:r w:rsidRPr="00781112">
        <w:rPr>
          <w:b/>
          <w:color w:val="000000" w:themeColor="text1"/>
        </w:rPr>
        <w:t>Results indicator:</w:t>
      </w:r>
      <w:r w:rsidRPr="00781112">
        <w:rPr>
          <w:color w:val="000000" w:themeColor="text1"/>
        </w:rPr>
        <w:t xml:space="preserve"> Percent of youth with</w:t>
      </w:r>
      <w:r w:rsidR="005F5514" w:rsidRPr="00781112">
        <w:rPr>
          <w:color w:val="000000" w:themeColor="text1"/>
        </w:rPr>
        <w:t xml:space="preserve"> Individualized Education </w:t>
      </w:r>
      <w:r w:rsidR="00DA7FAE" w:rsidRPr="00781112">
        <w:rPr>
          <w:color w:val="000000" w:themeColor="text1"/>
        </w:rPr>
        <w:t>Programs</w:t>
      </w:r>
      <w:r w:rsidRPr="00781112">
        <w:rPr>
          <w:color w:val="000000" w:themeColor="text1"/>
        </w:rPr>
        <w:t xml:space="preserve"> </w:t>
      </w:r>
      <w:r w:rsidR="005F5514" w:rsidRPr="00781112">
        <w:rPr>
          <w:color w:val="000000" w:themeColor="text1"/>
        </w:rPr>
        <w:t>(</w:t>
      </w:r>
      <w:r w:rsidRPr="00781112">
        <w:rPr>
          <w:color w:val="000000" w:themeColor="text1"/>
        </w:rPr>
        <w:t>IEPs</w:t>
      </w:r>
      <w:r w:rsidR="005F5514" w:rsidRPr="00781112">
        <w:rPr>
          <w:color w:val="000000" w:themeColor="text1"/>
        </w:rPr>
        <w:t>)</w:t>
      </w:r>
      <w:r w:rsidRPr="00781112">
        <w:rPr>
          <w:color w:val="000000" w:themeColor="text1"/>
        </w:rPr>
        <w:t xml:space="preserve"> </w:t>
      </w:r>
      <w:r w:rsidR="003068D4" w:rsidRPr="00781112">
        <w:rPr>
          <w:color w:val="000000" w:themeColor="text1"/>
        </w:rPr>
        <w:t>exiting</w:t>
      </w:r>
      <w:r w:rsidR="00EF4CAF" w:rsidRPr="00781112">
        <w:rPr>
          <w:color w:val="000000" w:themeColor="text1"/>
        </w:rPr>
        <w:t xml:space="preserve"> </w:t>
      </w:r>
      <w:r w:rsidR="00EF4CAF" w:rsidRPr="00781112">
        <w:rPr>
          <w:rFonts w:cs="Arial"/>
          <w:szCs w:val="16"/>
        </w:rPr>
        <w:t>special education due to graduating</w:t>
      </w:r>
      <w:r w:rsidR="003068D4" w:rsidRPr="00781112">
        <w:rPr>
          <w:color w:val="000000" w:themeColor="text1"/>
        </w:rPr>
        <w:t xml:space="preserve"> </w:t>
      </w:r>
      <w:r w:rsidRPr="00781112">
        <w:rPr>
          <w:color w:val="000000" w:themeColor="text1"/>
        </w:rPr>
        <w:t>with a regular</w:t>
      </w:r>
      <w:r w:rsidR="005F5514" w:rsidRPr="00781112">
        <w:rPr>
          <w:color w:val="000000" w:themeColor="text1"/>
        </w:rPr>
        <w:t xml:space="preserve"> high school diploma</w:t>
      </w:r>
      <w:r w:rsidRPr="00781112">
        <w:rPr>
          <w:color w:val="000000" w:themeColor="text1"/>
        </w:rPr>
        <w:t>.</w:t>
      </w:r>
      <w:r w:rsidR="00552927" w:rsidRPr="00781112">
        <w:rPr>
          <w:color w:val="000000" w:themeColor="text1"/>
        </w:rPr>
        <w:t xml:space="preserve"> </w:t>
      </w:r>
      <w:r w:rsidRPr="00781112">
        <w:rPr>
          <w:color w:val="000000" w:themeColor="text1"/>
        </w:rPr>
        <w:t>(20 U.S.C. 1416 (a)(3)(A))</w:t>
      </w:r>
    </w:p>
    <w:p w14:paraId="6446BBA4" w14:textId="09E75AD8" w:rsidR="005F5514" w:rsidRPr="00781112" w:rsidRDefault="00460298" w:rsidP="004369B2">
      <w:pPr>
        <w:rPr>
          <w:rFonts w:cs="Arial"/>
          <w:bCs/>
          <w:color w:val="000000" w:themeColor="text1"/>
          <w:szCs w:val="16"/>
        </w:rPr>
      </w:pPr>
      <w:r w:rsidRPr="00781112">
        <w:rPr>
          <w:rFonts w:cs="Arial"/>
          <w:b/>
          <w:bCs/>
          <w:color w:val="000000" w:themeColor="text1"/>
          <w:szCs w:val="16"/>
        </w:rPr>
        <w:t>Data Source</w:t>
      </w:r>
    </w:p>
    <w:p w14:paraId="08997539" w14:textId="281A6713" w:rsidR="005F5514" w:rsidRPr="00781112" w:rsidRDefault="00460298" w:rsidP="003A6167">
      <w:pPr>
        <w:rPr>
          <w:rFonts w:cs="Arial"/>
          <w:color w:val="000000" w:themeColor="text1"/>
          <w:szCs w:val="16"/>
        </w:rPr>
      </w:pPr>
      <w:r w:rsidRPr="00781112">
        <w:rPr>
          <w:rFonts w:cs="Arial"/>
          <w:color w:val="000000" w:themeColor="text1"/>
          <w:szCs w:val="16"/>
          <w:shd w:val="clear" w:color="auto" w:fill="FFFFFF"/>
        </w:rPr>
        <w:t xml:space="preserve">Same data as used for reporting to the Department </w:t>
      </w:r>
      <w:r w:rsidR="001A0C28" w:rsidRPr="00781112">
        <w:rPr>
          <w:rFonts w:cs="Arial"/>
          <w:szCs w:val="16"/>
          <w:shd w:val="clear" w:color="auto" w:fill="FFFFFF"/>
        </w:rPr>
        <w:t xml:space="preserve">under section 618 of the Individuals with Disabilities Education Act (IDEA), using the definitions in </w:t>
      </w:r>
      <w:proofErr w:type="spellStart"/>
      <w:r w:rsidR="001A0C28" w:rsidRPr="00781112">
        <w:rPr>
          <w:rFonts w:cs="Arial"/>
          <w:szCs w:val="16"/>
          <w:shd w:val="clear" w:color="auto" w:fill="FFFFFF"/>
        </w:rPr>
        <w:t>ED</w:t>
      </w:r>
      <w:r w:rsidR="001A0C28" w:rsidRPr="00BA3DBE">
        <w:rPr>
          <w:rFonts w:cs="Arial"/>
          <w:i/>
          <w:iCs/>
          <w:szCs w:val="16"/>
          <w:shd w:val="clear" w:color="auto" w:fill="FFFFFF"/>
        </w:rPr>
        <w:t>Facts</w:t>
      </w:r>
      <w:proofErr w:type="spellEnd"/>
      <w:r w:rsidR="001A0C28" w:rsidRPr="00781112">
        <w:rPr>
          <w:rFonts w:cs="Arial"/>
          <w:szCs w:val="16"/>
          <w:shd w:val="clear" w:color="auto" w:fill="FFFFFF"/>
        </w:rPr>
        <w:t xml:space="preserve"> file specification FS009</w:t>
      </w:r>
      <w:r w:rsidRPr="00781112">
        <w:rPr>
          <w:rFonts w:cs="Arial"/>
          <w:color w:val="000000" w:themeColor="text1"/>
          <w:szCs w:val="16"/>
          <w:shd w:val="clear" w:color="auto" w:fill="FFFFFF"/>
        </w:rPr>
        <w:t>.</w:t>
      </w:r>
    </w:p>
    <w:p w14:paraId="453C54CF" w14:textId="0B94BC61" w:rsidR="005F5514" w:rsidRPr="00781112" w:rsidRDefault="005F5514" w:rsidP="004369B2">
      <w:pPr>
        <w:rPr>
          <w:color w:val="000000" w:themeColor="text1"/>
        </w:rPr>
      </w:pPr>
      <w:r w:rsidRPr="00781112">
        <w:rPr>
          <w:b/>
          <w:color w:val="000000" w:themeColor="text1"/>
        </w:rPr>
        <w:t>Measurement</w:t>
      </w:r>
    </w:p>
    <w:p w14:paraId="368E5D32" w14:textId="2D879251" w:rsidR="005F5514" w:rsidRPr="00781112" w:rsidRDefault="005F5514" w:rsidP="003A6167">
      <w:pPr>
        <w:rPr>
          <w:rFonts w:cs="Arial"/>
          <w:color w:val="000000" w:themeColor="text1"/>
          <w:szCs w:val="16"/>
        </w:rPr>
      </w:pPr>
      <w:r w:rsidRPr="00781112">
        <w:rPr>
          <w:rFonts w:cs="Arial"/>
          <w:color w:val="000000" w:themeColor="text1"/>
          <w:szCs w:val="16"/>
          <w:shd w:val="clear" w:color="auto" w:fill="FFFFFF"/>
        </w:rPr>
        <w:t xml:space="preserve">States </w:t>
      </w:r>
      <w:r w:rsidR="0084727C" w:rsidRPr="00781112">
        <w:rPr>
          <w:rFonts w:cs="Arial"/>
          <w:szCs w:val="16"/>
          <w:shd w:val="clear" w:color="auto" w:fill="FFFFFF"/>
        </w:rPr>
        <w:t xml:space="preserve">must report a percentage using the number of youth with IEPs (ages 14-21) who exited special education due to graduating with a regular high school diploma in the numerator and the number of all youth with IEPs who </w:t>
      </w:r>
      <w:r w:rsidR="00CB505C" w:rsidRPr="00781112">
        <w:rPr>
          <w:rFonts w:cs="Arial"/>
          <w:szCs w:val="16"/>
          <w:shd w:val="clear" w:color="auto" w:fill="FFFFFF"/>
        </w:rPr>
        <w:t>exited</w:t>
      </w:r>
      <w:r w:rsidR="0084727C" w:rsidRPr="00781112">
        <w:rPr>
          <w:rFonts w:cs="Arial"/>
          <w:szCs w:val="16"/>
          <w:shd w:val="clear" w:color="auto" w:fill="FFFFFF"/>
        </w:rPr>
        <w:t xml:space="preserve"> high school (ages 14-21) in the denominator</w:t>
      </w:r>
      <w:r w:rsidRPr="00781112">
        <w:rPr>
          <w:rFonts w:cs="Arial"/>
          <w:color w:val="000000" w:themeColor="text1"/>
          <w:szCs w:val="16"/>
          <w:shd w:val="clear" w:color="auto" w:fill="FFFFFF"/>
        </w:rPr>
        <w:t>.</w:t>
      </w:r>
    </w:p>
    <w:p w14:paraId="3C528AFB" w14:textId="76079BAD" w:rsidR="005F5514" w:rsidRPr="00781112" w:rsidRDefault="005F5514" w:rsidP="004369B2">
      <w:pPr>
        <w:rPr>
          <w:color w:val="000000" w:themeColor="text1"/>
        </w:rPr>
      </w:pPr>
      <w:r w:rsidRPr="00781112">
        <w:rPr>
          <w:b/>
          <w:color w:val="000000" w:themeColor="text1"/>
        </w:rPr>
        <w:t>Instructions</w:t>
      </w:r>
    </w:p>
    <w:p w14:paraId="675BD796" w14:textId="6D333C0C" w:rsidR="005F5514" w:rsidRPr="00781112" w:rsidRDefault="005F5514" w:rsidP="004369B2">
      <w:pPr>
        <w:rPr>
          <w:i/>
          <w:color w:val="000000" w:themeColor="text1"/>
        </w:rPr>
      </w:pPr>
      <w:r w:rsidRPr="00781112">
        <w:rPr>
          <w:i/>
          <w:color w:val="000000" w:themeColor="text1"/>
        </w:rPr>
        <w:t>Sampling is not allowed.</w:t>
      </w:r>
    </w:p>
    <w:p w14:paraId="496A7DDE" w14:textId="6293C168" w:rsidR="005F5514" w:rsidRPr="00781112" w:rsidRDefault="00815B9B" w:rsidP="003A6167">
      <w:pPr>
        <w:rPr>
          <w:rFonts w:cs="Arial"/>
          <w:color w:val="000000" w:themeColor="text1"/>
          <w:szCs w:val="16"/>
        </w:rPr>
      </w:pPr>
      <w:r w:rsidRPr="00781112">
        <w:t xml:space="preserve">Data for this indicator are “lag” data. </w:t>
      </w:r>
      <w:r w:rsidR="005F5514" w:rsidRPr="00781112">
        <w:rPr>
          <w:rFonts w:cs="Arial"/>
          <w:color w:val="000000" w:themeColor="text1"/>
          <w:szCs w:val="16"/>
        </w:rPr>
        <w:t xml:space="preserve">Describe the results of the State’s examination of the data for the year before the reporting year (e.g., for </w:t>
      </w:r>
      <w:r w:rsidR="007639D7">
        <w:rPr>
          <w:rFonts w:cs="Arial"/>
          <w:color w:val="000000" w:themeColor="text1"/>
          <w:szCs w:val="16"/>
        </w:rPr>
        <w:t>the FFY 202</w:t>
      </w:r>
      <w:r w:rsidR="00061459">
        <w:rPr>
          <w:rFonts w:cs="Arial"/>
          <w:color w:val="000000" w:themeColor="text1"/>
          <w:szCs w:val="16"/>
        </w:rPr>
        <w:t>2</w:t>
      </w:r>
      <w:r w:rsidR="007639D7">
        <w:rPr>
          <w:rFonts w:cs="Arial"/>
          <w:color w:val="000000" w:themeColor="text1"/>
          <w:szCs w:val="16"/>
        </w:rPr>
        <w:t xml:space="preserve"> SPP/APR, use data from 202</w:t>
      </w:r>
      <w:r w:rsidR="00061459">
        <w:rPr>
          <w:rFonts w:cs="Arial"/>
          <w:color w:val="000000" w:themeColor="text1"/>
          <w:szCs w:val="16"/>
        </w:rPr>
        <w:t>1</w:t>
      </w:r>
      <w:r w:rsidR="007639D7">
        <w:rPr>
          <w:rFonts w:cs="Arial"/>
          <w:color w:val="000000" w:themeColor="text1"/>
          <w:szCs w:val="16"/>
        </w:rPr>
        <w:t>-202</w:t>
      </w:r>
      <w:r w:rsidR="00061459">
        <w:rPr>
          <w:rFonts w:cs="Arial"/>
          <w:color w:val="000000" w:themeColor="text1"/>
          <w:szCs w:val="16"/>
        </w:rPr>
        <w:t>2</w:t>
      </w:r>
      <w:r w:rsidR="005F5514" w:rsidRPr="00781112">
        <w:rPr>
          <w:rFonts w:cs="Arial"/>
          <w:color w:val="000000" w:themeColor="text1"/>
          <w:szCs w:val="16"/>
        </w:rPr>
        <w:t xml:space="preserve">), and compare the results to the target. </w:t>
      </w:r>
    </w:p>
    <w:p w14:paraId="7E94BD74" w14:textId="77777777" w:rsidR="003069AE" w:rsidRPr="00781112" w:rsidRDefault="003069AE" w:rsidP="003069AE">
      <w:r w:rsidRPr="00781112">
        <w:t xml:space="preserve">Include in the denominator the following exiting categories: (a) graduated with a regular high school diploma; (b) graduated with a state-defined alternate diploma; (c) received a certificate; (d) reached maximum age; or (e) dropped out. </w:t>
      </w:r>
    </w:p>
    <w:p w14:paraId="6D62B3B3" w14:textId="4F597FD3" w:rsidR="003069AE" w:rsidRPr="00781112" w:rsidRDefault="003069AE" w:rsidP="003A6167">
      <w:r w:rsidRPr="00781112">
        <w:t xml:space="preserve">Do not include in the denominator the number of youths with IEPs who exited special education due to: (a) transferring to regular education; or (b) who moved but are known to be continuing in an educational program. </w:t>
      </w:r>
    </w:p>
    <w:p w14:paraId="156B8877" w14:textId="52998CDB" w:rsidR="005F5514" w:rsidRPr="00781112" w:rsidRDefault="005F5514" w:rsidP="003A6167">
      <w:pPr>
        <w:rPr>
          <w:rFonts w:cs="Arial"/>
          <w:color w:val="000000" w:themeColor="text1"/>
          <w:szCs w:val="16"/>
        </w:rPr>
      </w:pPr>
      <w:r w:rsidRPr="00781112">
        <w:rPr>
          <w:rFonts w:cs="Arial"/>
          <w:color w:val="000000" w:themeColor="text1"/>
          <w:szCs w:val="16"/>
        </w:rPr>
        <w:t>Provide a narrative that describes the conditions youth must meet in order to graduate with a regular high school diploma. If the conditions that youth with IEPs must meet in order to graduate with a regular high school diploma are different, please explain.</w:t>
      </w:r>
    </w:p>
    <w:p w14:paraId="17C36F54" w14:textId="0B0AD4FB" w:rsidR="00B34EE6" w:rsidRPr="00781112" w:rsidRDefault="00B0742B" w:rsidP="008645AD">
      <w:pPr>
        <w:pStyle w:val="Heading2"/>
      </w:pPr>
      <w:r w:rsidRPr="00781112">
        <w:t>1</w:t>
      </w:r>
      <w:r w:rsidR="00684B51" w:rsidRPr="00781112">
        <w:t xml:space="preserve"> </w:t>
      </w:r>
      <w:r w:rsidRPr="00781112">
        <w:t xml:space="preserve">- </w:t>
      </w:r>
      <w:r w:rsidR="007742F1" w:rsidRPr="00781112">
        <w:t xml:space="preserve">Indicator </w:t>
      </w:r>
      <w:r w:rsidR="00B34EE6" w:rsidRPr="00781112">
        <w:t xml:space="preserve">Data </w:t>
      </w:r>
    </w:p>
    <w:bookmarkEnd w:id="5"/>
    <w:p w14:paraId="7BB99CB8" w14:textId="1745E070" w:rsidR="005E59DB" w:rsidRPr="00781112" w:rsidRDefault="005E59DB" w:rsidP="00B65C2C">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1BASELINEDATA"/>
      </w:tblPr>
      <w:tblGrid>
        <w:gridCol w:w="1797"/>
        <w:gridCol w:w="1798"/>
      </w:tblGrid>
      <w:tr w:rsidR="008F3F33" w:rsidRPr="00781112" w14:paraId="58873103" w14:textId="77777777" w:rsidTr="0033429D">
        <w:trPr>
          <w:trHeight w:val="311"/>
          <w:tblHeader/>
        </w:trPr>
        <w:tc>
          <w:tcPr>
            <w:tcW w:w="1797" w:type="dxa"/>
          </w:tcPr>
          <w:p w14:paraId="3521E7AE" w14:textId="2CED297B" w:rsidR="008F3F33" w:rsidRPr="00781112" w:rsidRDefault="008F3F33" w:rsidP="0033429D">
            <w:pPr>
              <w:jc w:val="center"/>
              <w:rPr>
                <w:b/>
                <w:color w:val="000000" w:themeColor="text1"/>
              </w:rPr>
            </w:pPr>
            <w:r w:rsidRPr="00781112">
              <w:rPr>
                <w:rFonts w:cs="Arial"/>
                <w:b/>
                <w:color w:val="000000" w:themeColor="text1"/>
                <w:szCs w:val="16"/>
              </w:rPr>
              <w:t>Baseline Year</w:t>
            </w:r>
          </w:p>
        </w:tc>
        <w:tc>
          <w:tcPr>
            <w:tcW w:w="1798" w:type="dxa"/>
          </w:tcPr>
          <w:p w14:paraId="70C1DEA4" w14:textId="362D12BF" w:rsidR="008F3F33" w:rsidRPr="00781112" w:rsidRDefault="008F3F33" w:rsidP="0033429D">
            <w:pPr>
              <w:jc w:val="center"/>
              <w:rPr>
                <w:b/>
                <w:color w:val="000000" w:themeColor="text1"/>
              </w:rPr>
            </w:pPr>
            <w:r w:rsidRPr="00781112">
              <w:rPr>
                <w:b/>
                <w:color w:val="000000" w:themeColor="text1"/>
              </w:rPr>
              <w:t>Baseline Data</w:t>
            </w:r>
          </w:p>
        </w:tc>
      </w:tr>
      <w:tr w:rsidR="008F3F33" w:rsidRPr="00781112" w14:paraId="1079C891" w14:textId="77777777" w:rsidTr="0033429D">
        <w:trPr>
          <w:trHeight w:val="311"/>
        </w:trPr>
        <w:tc>
          <w:tcPr>
            <w:tcW w:w="1797" w:type="dxa"/>
            <w:vAlign w:val="center"/>
          </w:tcPr>
          <w:p w14:paraId="55702E9C" w14:textId="3300C91F" w:rsidR="008F3F33" w:rsidRPr="00781112" w:rsidRDefault="008F3F33" w:rsidP="0033429D">
            <w:pPr>
              <w:jc w:val="center"/>
              <w:rPr>
                <w:b/>
                <w:color w:val="000000" w:themeColor="text1"/>
              </w:rPr>
            </w:pPr>
            <w:r w:rsidRPr="00781112">
              <w:rPr>
                <w:rFonts w:cs="Arial"/>
                <w:color w:val="000000" w:themeColor="text1"/>
                <w:szCs w:val="16"/>
              </w:rPr>
              <w:t>2017</w:t>
            </w:r>
          </w:p>
        </w:tc>
        <w:tc>
          <w:tcPr>
            <w:tcW w:w="1798" w:type="dxa"/>
            <w:vAlign w:val="center"/>
          </w:tcPr>
          <w:p w14:paraId="4BB8ED70" w14:textId="40307D5C" w:rsidR="008F3F33" w:rsidRPr="00781112" w:rsidRDefault="008F3F33" w:rsidP="0033429D">
            <w:pPr>
              <w:jc w:val="center"/>
              <w:rPr>
                <w:b/>
                <w:color w:val="000000" w:themeColor="text1"/>
              </w:rPr>
            </w:pPr>
            <w:r w:rsidRPr="00781112">
              <w:rPr>
                <w:rFonts w:cs="Arial"/>
                <w:color w:val="000000" w:themeColor="text1"/>
                <w:szCs w:val="16"/>
              </w:rPr>
              <w:t>72.83%</w:t>
            </w:r>
          </w:p>
        </w:tc>
      </w:tr>
    </w:tbl>
    <w:p w14:paraId="04BDDA65" w14:textId="77777777" w:rsidR="008F3F33" w:rsidRPr="00781112" w:rsidRDefault="008F3F33" w:rsidP="00B65C2C">
      <w:pPr>
        <w:rPr>
          <w:b/>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1HISTDATA"/>
      </w:tblPr>
      <w:tblGrid>
        <w:gridCol w:w="1798"/>
        <w:gridCol w:w="1798"/>
        <w:gridCol w:w="1798"/>
        <w:gridCol w:w="1798"/>
        <w:gridCol w:w="1798"/>
        <w:gridCol w:w="1800"/>
      </w:tblGrid>
      <w:tr w:rsidR="005C29F8" w:rsidRPr="00781112" w14:paraId="6EF7C6D0" w14:textId="1CEAEBAE" w:rsidTr="00087EB9">
        <w:trPr>
          <w:trHeight w:val="350"/>
        </w:trPr>
        <w:tc>
          <w:tcPr>
            <w:tcW w:w="833" w:type="pct"/>
            <w:tcBorders>
              <w:bottom w:val="single" w:sz="4" w:space="0" w:color="auto"/>
            </w:tcBorders>
            <w:shd w:val="clear" w:color="auto" w:fill="auto"/>
          </w:tcPr>
          <w:p w14:paraId="4483C39A" w14:textId="77777777" w:rsidR="007F24E2" w:rsidRPr="00781112" w:rsidRDefault="007F24E2" w:rsidP="00CD2DF5">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0DF3D5A6" w14:textId="2DA8A75D" w:rsidR="007F24E2" w:rsidRPr="00781112" w:rsidRDefault="002B7490" w:rsidP="00894709">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5E57E797" w14:textId="6309195B" w:rsidR="007F24E2" w:rsidRPr="00781112" w:rsidRDefault="002B7490" w:rsidP="00894709">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6D5C8516" w14:textId="2F8BF9E2" w:rsidR="007F24E2" w:rsidRPr="00781112" w:rsidRDefault="002B7490" w:rsidP="00894709">
            <w:pPr>
              <w:jc w:val="center"/>
              <w:rPr>
                <w:rFonts w:cs="Arial"/>
                <w:b/>
                <w:color w:val="000000" w:themeColor="text1"/>
                <w:szCs w:val="16"/>
              </w:rPr>
            </w:pPr>
            <w:r w:rsidRPr="00781112">
              <w:rPr>
                <w:rFonts w:cs="Arial"/>
                <w:b/>
                <w:color w:val="000000" w:themeColor="text1"/>
                <w:szCs w:val="16"/>
              </w:rPr>
              <w:t>2019</w:t>
            </w:r>
          </w:p>
        </w:tc>
        <w:tc>
          <w:tcPr>
            <w:tcW w:w="833" w:type="pct"/>
            <w:shd w:val="clear" w:color="auto" w:fill="auto"/>
          </w:tcPr>
          <w:p w14:paraId="116A9927" w14:textId="1D308C81" w:rsidR="007F24E2" w:rsidRPr="00781112" w:rsidRDefault="002B7490" w:rsidP="00894709">
            <w:pPr>
              <w:jc w:val="center"/>
              <w:rPr>
                <w:rFonts w:cs="Arial"/>
                <w:b/>
                <w:color w:val="000000" w:themeColor="text1"/>
                <w:szCs w:val="16"/>
              </w:rPr>
            </w:pPr>
            <w:r w:rsidRPr="00781112">
              <w:rPr>
                <w:rFonts w:cs="Arial"/>
                <w:b/>
                <w:color w:val="000000" w:themeColor="text1"/>
                <w:szCs w:val="16"/>
              </w:rPr>
              <w:t>2020</w:t>
            </w:r>
          </w:p>
        </w:tc>
        <w:tc>
          <w:tcPr>
            <w:tcW w:w="834" w:type="pct"/>
            <w:shd w:val="clear" w:color="auto" w:fill="auto"/>
          </w:tcPr>
          <w:p w14:paraId="41821FE5" w14:textId="02E4CA44" w:rsidR="007F24E2" w:rsidRPr="00781112" w:rsidRDefault="002B7490" w:rsidP="00894709">
            <w:pPr>
              <w:jc w:val="center"/>
              <w:rPr>
                <w:rFonts w:cs="Arial"/>
                <w:b/>
                <w:color w:val="000000" w:themeColor="text1"/>
                <w:szCs w:val="16"/>
              </w:rPr>
            </w:pPr>
            <w:r w:rsidRPr="00781112">
              <w:rPr>
                <w:rFonts w:cs="Arial"/>
                <w:b/>
                <w:color w:val="000000" w:themeColor="text1"/>
                <w:szCs w:val="16"/>
              </w:rPr>
              <w:t>2021</w:t>
            </w:r>
          </w:p>
        </w:tc>
      </w:tr>
      <w:tr w:rsidR="005C29F8" w:rsidRPr="00781112" w14:paraId="69850889" w14:textId="5FBD9A23" w:rsidTr="0033429D">
        <w:trPr>
          <w:trHeight w:val="357"/>
        </w:trPr>
        <w:tc>
          <w:tcPr>
            <w:tcW w:w="833" w:type="pct"/>
            <w:shd w:val="clear" w:color="auto" w:fill="auto"/>
            <w:vAlign w:val="center"/>
          </w:tcPr>
          <w:p w14:paraId="329304B6" w14:textId="1D4FEA84" w:rsidR="007F24E2" w:rsidRPr="00781112" w:rsidRDefault="007F24E2" w:rsidP="00BA3DBE">
            <w:pPr>
              <w:jc w:val="center"/>
              <w:rPr>
                <w:rFonts w:cs="Arial"/>
                <w:color w:val="000000" w:themeColor="text1"/>
                <w:szCs w:val="16"/>
              </w:rPr>
            </w:pPr>
            <w:r w:rsidRPr="00781112">
              <w:rPr>
                <w:rFonts w:cs="Arial"/>
                <w:color w:val="000000" w:themeColor="text1"/>
                <w:szCs w:val="16"/>
              </w:rPr>
              <w:t>Target &gt;=</w:t>
            </w:r>
          </w:p>
        </w:tc>
        <w:tc>
          <w:tcPr>
            <w:tcW w:w="833" w:type="pct"/>
            <w:shd w:val="clear" w:color="auto" w:fill="auto"/>
            <w:vAlign w:val="center"/>
          </w:tcPr>
          <w:p w14:paraId="4D288A5D" w14:textId="1DE49DCD" w:rsidR="007F24E2" w:rsidRPr="00781112" w:rsidRDefault="002B7490" w:rsidP="00E0321D">
            <w:pPr>
              <w:jc w:val="center"/>
              <w:rPr>
                <w:rFonts w:cs="Arial"/>
                <w:color w:val="000000" w:themeColor="text1"/>
                <w:szCs w:val="16"/>
              </w:rPr>
            </w:pPr>
            <w:r w:rsidRPr="00781112">
              <w:rPr>
                <w:rFonts w:cs="Arial"/>
                <w:color w:val="000000" w:themeColor="text1"/>
                <w:szCs w:val="16"/>
              </w:rPr>
              <w:t>77.40%</w:t>
            </w:r>
          </w:p>
        </w:tc>
        <w:tc>
          <w:tcPr>
            <w:tcW w:w="833" w:type="pct"/>
            <w:shd w:val="clear" w:color="auto" w:fill="auto"/>
            <w:vAlign w:val="center"/>
          </w:tcPr>
          <w:p w14:paraId="2751003B" w14:textId="66867EC3" w:rsidR="007F24E2" w:rsidRPr="00781112" w:rsidRDefault="002B7490" w:rsidP="00E0321D">
            <w:pPr>
              <w:jc w:val="center"/>
              <w:rPr>
                <w:rFonts w:cs="Arial"/>
                <w:color w:val="000000" w:themeColor="text1"/>
                <w:szCs w:val="16"/>
              </w:rPr>
            </w:pPr>
            <w:r w:rsidRPr="00781112">
              <w:rPr>
                <w:rFonts w:cs="Arial"/>
                <w:color w:val="000000" w:themeColor="text1"/>
                <w:szCs w:val="16"/>
              </w:rPr>
              <w:t>77.40%</w:t>
            </w:r>
          </w:p>
        </w:tc>
        <w:tc>
          <w:tcPr>
            <w:tcW w:w="833" w:type="pct"/>
            <w:shd w:val="clear" w:color="auto" w:fill="auto"/>
            <w:vAlign w:val="center"/>
          </w:tcPr>
          <w:p w14:paraId="6982A73B" w14:textId="50B9EF02" w:rsidR="007F24E2" w:rsidRPr="00781112" w:rsidRDefault="002B7490" w:rsidP="00E0321D">
            <w:pPr>
              <w:jc w:val="center"/>
              <w:rPr>
                <w:rFonts w:cs="Arial"/>
                <w:color w:val="000000" w:themeColor="text1"/>
                <w:szCs w:val="16"/>
              </w:rPr>
            </w:pPr>
            <w:r w:rsidRPr="00781112">
              <w:rPr>
                <w:rFonts w:cs="Arial"/>
                <w:color w:val="000000" w:themeColor="text1"/>
                <w:szCs w:val="16"/>
              </w:rPr>
              <w:t>77.40%</w:t>
            </w:r>
          </w:p>
        </w:tc>
        <w:tc>
          <w:tcPr>
            <w:tcW w:w="833" w:type="pct"/>
            <w:shd w:val="clear" w:color="auto" w:fill="auto"/>
            <w:vAlign w:val="center"/>
          </w:tcPr>
          <w:p w14:paraId="54566D6E" w14:textId="0812F659" w:rsidR="007F24E2" w:rsidRPr="00781112" w:rsidRDefault="002B7490" w:rsidP="00E0321D">
            <w:pPr>
              <w:jc w:val="center"/>
              <w:rPr>
                <w:rFonts w:cs="Arial"/>
                <w:color w:val="000000" w:themeColor="text1"/>
                <w:szCs w:val="16"/>
              </w:rPr>
            </w:pPr>
            <w:r w:rsidRPr="00781112">
              <w:rPr>
                <w:rFonts w:cs="Arial"/>
                <w:color w:val="000000" w:themeColor="text1"/>
                <w:szCs w:val="16"/>
              </w:rPr>
              <w:t>73.33%</w:t>
            </w:r>
          </w:p>
        </w:tc>
        <w:tc>
          <w:tcPr>
            <w:tcW w:w="834" w:type="pct"/>
            <w:shd w:val="clear" w:color="auto" w:fill="auto"/>
            <w:vAlign w:val="center"/>
          </w:tcPr>
          <w:p w14:paraId="12B0FD7D" w14:textId="7E3C835D" w:rsidR="007F24E2" w:rsidRPr="00781112" w:rsidRDefault="002B7490" w:rsidP="00E0321D">
            <w:pPr>
              <w:jc w:val="center"/>
              <w:rPr>
                <w:rFonts w:cs="Arial"/>
                <w:color w:val="000000" w:themeColor="text1"/>
                <w:szCs w:val="16"/>
              </w:rPr>
            </w:pPr>
            <w:r w:rsidRPr="00781112">
              <w:rPr>
                <w:rFonts w:cs="Arial"/>
                <w:color w:val="000000" w:themeColor="text1"/>
                <w:szCs w:val="16"/>
              </w:rPr>
              <w:t>73.83%</w:t>
            </w:r>
          </w:p>
        </w:tc>
      </w:tr>
      <w:tr w:rsidR="005C29F8" w:rsidRPr="00781112" w14:paraId="146BC5C2" w14:textId="426AC9C6" w:rsidTr="0033429D">
        <w:trPr>
          <w:trHeight w:val="85"/>
        </w:trPr>
        <w:tc>
          <w:tcPr>
            <w:tcW w:w="833" w:type="pct"/>
            <w:shd w:val="clear" w:color="auto" w:fill="auto"/>
            <w:vAlign w:val="center"/>
          </w:tcPr>
          <w:p w14:paraId="2FA56C27" w14:textId="77777777" w:rsidR="007F24E2" w:rsidRPr="00781112" w:rsidRDefault="007F24E2"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7832DBB9" w14:textId="0E41C477" w:rsidR="007F24E2" w:rsidRPr="00781112" w:rsidRDefault="002B7490" w:rsidP="00E0321D">
            <w:pPr>
              <w:jc w:val="center"/>
              <w:rPr>
                <w:rFonts w:cs="Arial"/>
                <w:color w:val="000000" w:themeColor="text1"/>
                <w:szCs w:val="16"/>
              </w:rPr>
            </w:pPr>
            <w:r w:rsidRPr="00781112">
              <w:rPr>
                <w:rFonts w:cs="Arial"/>
                <w:color w:val="000000" w:themeColor="text1"/>
                <w:szCs w:val="16"/>
              </w:rPr>
              <w:t>61.54%</w:t>
            </w:r>
          </w:p>
        </w:tc>
        <w:tc>
          <w:tcPr>
            <w:tcW w:w="833" w:type="pct"/>
            <w:shd w:val="clear" w:color="auto" w:fill="auto"/>
            <w:vAlign w:val="center"/>
          </w:tcPr>
          <w:p w14:paraId="522433F4" w14:textId="15824FD9" w:rsidR="007F24E2" w:rsidRPr="00781112" w:rsidRDefault="002B7490" w:rsidP="00E0321D">
            <w:pPr>
              <w:jc w:val="center"/>
              <w:rPr>
                <w:rFonts w:cs="Arial"/>
                <w:color w:val="000000" w:themeColor="text1"/>
                <w:szCs w:val="16"/>
              </w:rPr>
            </w:pPr>
            <w:r w:rsidRPr="00781112">
              <w:rPr>
                <w:rFonts w:cs="Arial"/>
                <w:color w:val="000000" w:themeColor="text1"/>
                <w:szCs w:val="16"/>
              </w:rPr>
              <w:t>65.60%</w:t>
            </w:r>
          </w:p>
        </w:tc>
        <w:tc>
          <w:tcPr>
            <w:tcW w:w="833" w:type="pct"/>
            <w:tcBorders>
              <w:bottom w:val="single" w:sz="4" w:space="0" w:color="auto"/>
            </w:tcBorders>
            <w:shd w:val="clear" w:color="auto" w:fill="auto"/>
            <w:vAlign w:val="center"/>
          </w:tcPr>
          <w:p w14:paraId="51E9F945" w14:textId="1DED232A" w:rsidR="007F24E2" w:rsidRPr="00781112" w:rsidRDefault="002B7490" w:rsidP="00E0321D">
            <w:pPr>
              <w:jc w:val="center"/>
              <w:rPr>
                <w:rFonts w:cs="Arial"/>
                <w:color w:val="000000" w:themeColor="text1"/>
                <w:szCs w:val="16"/>
              </w:rPr>
            </w:pPr>
            <w:r w:rsidRPr="00781112">
              <w:rPr>
                <w:rFonts w:cs="Arial"/>
                <w:color w:val="000000" w:themeColor="text1"/>
                <w:szCs w:val="16"/>
              </w:rPr>
              <w:t>64.66%</w:t>
            </w:r>
          </w:p>
        </w:tc>
        <w:tc>
          <w:tcPr>
            <w:tcW w:w="833" w:type="pct"/>
            <w:tcBorders>
              <w:bottom w:val="single" w:sz="4" w:space="0" w:color="auto"/>
            </w:tcBorders>
            <w:shd w:val="clear" w:color="auto" w:fill="auto"/>
            <w:vAlign w:val="center"/>
          </w:tcPr>
          <w:p w14:paraId="180CBFE9" w14:textId="01D5E7B3" w:rsidR="007F24E2" w:rsidRPr="00781112" w:rsidRDefault="002B7490" w:rsidP="00E0321D">
            <w:pPr>
              <w:jc w:val="center"/>
              <w:rPr>
                <w:rFonts w:cs="Arial"/>
                <w:color w:val="000000" w:themeColor="text1"/>
                <w:szCs w:val="16"/>
              </w:rPr>
            </w:pPr>
            <w:r w:rsidRPr="00781112">
              <w:rPr>
                <w:rFonts w:cs="Arial"/>
                <w:color w:val="000000" w:themeColor="text1"/>
                <w:szCs w:val="16"/>
              </w:rPr>
              <w:t>86.46%</w:t>
            </w:r>
          </w:p>
        </w:tc>
        <w:tc>
          <w:tcPr>
            <w:tcW w:w="834" w:type="pct"/>
            <w:tcBorders>
              <w:bottom w:val="single" w:sz="4" w:space="0" w:color="auto"/>
            </w:tcBorders>
            <w:shd w:val="clear" w:color="auto" w:fill="auto"/>
            <w:vAlign w:val="center"/>
          </w:tcPr>
          <w:p w14:paraId="3C2AFA14" w14:textId="153E7CE5" w:rsidR="007F24E2" w:rsidRPr="00781112" w:rsidRDefault="002B7490" w:rsidP="00E0321D">
            <w:pPr>
              <w:jc w:val="center"/>
              <w:rPr>
                <w:rFonts w:cs="Arial"/>
                <w:color w:val="000000" w:themeColor="text1"/>
                <w:szCs w:val="16"/>
              </w:rPr>
            </w:pPr>
            <w:r w:rsidRPr="00781112">
              <w:rPr>
                <w:rFonts w:cs="Arial"/>
                <w:color w:val="000000" w:themeColor="text1"/>
                <w:szCs w:val="16"/>
              </w:rPr>
              <w:t>90.98%</w:t>
            </w:r>
          </w:p>
        </w:tc>
      </w:tr>
    </w:tbl>
    <w:p w14:paraId="43E7AA4B" w14:textId="77777777" w:rsidR="00654A4B" w:rsidRPr="00781112" w:rsidRDefault="00654A4B" w:rsidP="00B65C2C">
      <w:pPr>
        <w:rPr>
          <w:color w:val="000000" w:themeColor="text1"/>
        </w:rPr>
      </w:pPr>
    </w:p>
    <w:p w14:paraId="058E572E" w14:textId="747B93F2" w:rsidR="005E59DB" w:rsidRPr="00781112" w:rsidRDefault="005E59DB" w:rsidP="00B65C2C">
      <w:pPr>
        <w:rPr>
          <w:b/>
          <w:color w:val="000000" w:themeColor="text1"/>
        </w:rPr>
      </w:pPr>
      <w:r w:rsidRPr="00781112">
        <w:rPr>
          <w:b/>
          <w:color w:val="000000" w:themeColor="text1"/>
        </w:rPr>
        <w:t>Targets</w:t>
      </w:r>
    </w:p>
    <w:tbl>
      <w:tblPr>
        <w:tblW w:w="35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1TARGETS"/>
      </w:tblPr>
      <w:tblGrid>
        <w:gridCol w:w="1157"/>
        <w:gridCol w:w="1611"/>
        <w:gridCol w:w="1611"/>
        <w:gridCol w:w="1611"/>
        <w:gridCol w:w="1610"/>
      </w:tblGrid>
      <w:tr w:rsidR="00BE7AF0" w:rsidRPr="00781112" w14:paraId="2AA1A231" w14:textId="4E09135F" w:rsidTr="001A31FD">
        <w:trPr>
          <w:trHeight w:val="366"/>
        </w:trPr>
        <w:tc>
          <w:tcPr>
            <w:tcW w:w="761" w:type="pct"/>
            <w:tcBorders>
              <w:bottom w:val="single" w:sz="4" w:space="0" w:color="auto"/>
            </w:tcBorders>
            <w:shd w:val="clear" w:color="auto" w:fill="auto"/>
          </w:tcPr>
          <w:p w14:paraId="40B33FED" w14:textId="77777777" w:rsidR="00BE7AF0" w:rsidRPr="00781112" w:rsidRDefault="00BE7AF0" w:rsidP="00373F78">
            <w:pPr>
              <w:jc w:val="center"/>
              <w:rPr>
                <w:b/>
                <w:color w:val="000000" w:themeColor="text1"/>
              </w:rPr>
            </w:pPr>
            <w:r w:rsidRPr="00781112">
              <w:rPr>
                <w:b/>
                <w:color w:val="000000" w:themeColor="text1"/>
              </w:rPr>
              <w:t>FFY</w:t>
            </w:r>
          </w:p>
        </w:tc>
        <w:tc>
          <w:tcPr>
            <w:tcW w:w="1060" w:type="pct"/>
            <w:shd w:val="clear" w:color="auto" w:fill="auto"/>
          </w:tcPr>
          <w:p w14:paraId="71086D9D" w14:textId="38ED494E" w:rsidR="00BE7AF0" w:rsidRPr="00781112" w:rsidRDefault="00BE7AF0" w:rsidP="00373F78">
            <w:pPr>
              <w:jc w:val="center"/>
              <w:rPr>
                <w:b/>
                <w:color w:val="000000" w:themeColor="text1"/>
              </w:rPr>
            </w:pPr>
            <w:r w:rsidRPr="00781112">
              <w:rPr>
                <w:b/>
                <w:color w:val="000000" w:themeColor="text1"/>
              </w:rPr>
              <w:t>2022</w:t>
            </w:r>
          </w:p>
        </w:tc>
        <w:tc>
          <w:tcPr>
            <w:tcW w:w="1060" w:type="pct"/>
          </w:tcPr>
          <w:p w14:paraId="4D39066B" w14:textId="301F6A49" w:rsidR="00BE7AF0" w:rsidRPr="00781112" w:rsidRDefault="00BE7AF0" w:rsidP="00373F78">
            <w:pPr>
              <w:jc w:val="center"/>
              <w:rPr>
                <w:b/>
                <w:color w:val="000000" w:themeColor="text1"/>
              </w:rPr>
            </w:pPr>
            <w:r w:rsidRPr="00781112">
              <w:rPr>
                <w:rFonts w:cs="Arial"/>
                <w:b/>
                <w:color w:val="000000" w:themeColor="text1"/>
                <w:szCs w:val="16"/>
              </w:rPr>
              <w:t>2023</w:t>
            </w:r>
          </w:p>
        </w:tc>
        <w:tc>
          <w:tcPr>
            <w:tcW w:w="1060" w:type="pct"/>
          </w:tcPr>
          <w:p w14:paraId="1FB807B9" w14:textId="403D43E4" w:rsidR="00BE7AF0" w:rsidRPr="00781112" w:rsidRDefault="00BE7AF0" w:rsidP="00373F78">
            <w:pPr>
              <w:jc w:val="center"/>
              <w:rPr>
                <w:b/>
                <w:color w:val="000000" w:themeColor="text1"/>
              </w:rPr>
            </w:pPr>
            <w:r w:rsidRPr="00781112">
              <w:rPr>
                <w:rFonts w:cs="Arial"/>
                <w:b/>
                <w:color w:val="000000" w:themeColor="text1"/>
                <w:szCs w:val="16"/>
              </w:rPr>
              <w:t>2024</w:t>
            </w:r>
          </w:p>
        </w:tc>
        <w:tc>
          <w:tcPr>
            <w:tcW w:w="1060" w:type="pct"/>
          </w:tcPr>
          <w:p w14:paraId="720CF74E" w14:textId="096265B6" w:rsidR="00BE7AF0" w:rsidRPr="00781112" w:rsidRDefault="00BE7AF0" w:rsidP="00373F78">
            <w:pPr>
              <w:jc w:val="center"/>
              <w:rPr>
                <w:b/>
                <w:color w:val="000000" w:themeColor="text1"/>
              </w:rPr>
            </w:pPr>
            <w:r w:rsidRPr="00781112">
              <w:rPr>
                <w:rFonts w:cs="Arial"/>
                <w:b/>
                <w:color w:val="000000" w:themeColor="text1"/>
                <w:szCs w:val="16"/>
              </w:rPr>
              <w:t>2025</w:t>
            </w:r>
          </w:p>
        </w:tc>
      </w:tr>
      <w:tr w:rsidR="00BE7AF0" w:rsidRPr="00781112" w14:paraId="30C65E4A" w14:textId="7AB118F2" w:rsidTr="001A31FD">
        <w:trPr>
          <w:trHeight w:val="374"/>
        </w:trPr>
        <w:tc>
          <w:tcPr>
            <w:tcW w:w="761" w:type="pct"/>
            <w:shd w:val="clear" w:color="auto" w:fill="auto"/>
            <w:vAlign w:val="center"/>
          </w:tcPr>
          <w:p w14:paraId="15D80559" w14:textId="5A8166E8" w:rsidR="00BE7AF0" w:rsidRPr="00781112" w:rsidRDefault="00BE7AF0" w:rsidP="00BA3DBE">
            <w:pPr>
              <w:jc w:val="center"/>
              <w:rPr>
                <w:rFonts w:cs="Arial"/>
                <w:color w:val="000000" w:themeColor="text1"/>
                <w:szCs w:val="16"/>
              </w:rPr>
            </w:pPr>
            <w:r w:rsidRPr="00781112">
              <w:rPr>
                <w:rFonts w:cs="Arial"/>
                <w:color w:val="000000" w:themeColor="text1"/>
                <w:szCs w:val="16"/>
              </w:rPr>
              <w:t>Target &gt;=</w:t>
            </w:r>
          </w:p>
        </w:tc>
        <w:tc>
          <w:tcPr>
            <w:tcW w:w="1060" w:type="pct"/>
            <w:shd w:val="clear" w:color="auto" w:fill="auto"/>
            <w:vAlign w:val="center"/>
          </w:tcPr>
          <w:p w14:paraId="5C1E2097" w14:textId="7100F4DF" w:rsidR="00BE7AF0" w:rsidRPr="00781112" w:rsidRDefault="00BE7AF0" w:rsidP="00373F78">
            <w:pPr>
              <w:jc w:val="center"/>
              <w:rPr>
                <w:rFonts w:cs="Arial"/>
                <w:color w:val="000000" w:themeColor="text1"/>
                <w:szCs w:val="16"/>
              </w:rPr>
            </w:pPr>
            <w:r w:rsidRPr="00781112">
              <w:rPr>
                <w:rFonts w:cs="Arial"/>
                <w:color w:val="000000" w:themeColor="text1"/>
                <w:szCs w:val="16"/>
              </w:rPr>
              <w:t>74.83%</w:t>
            </w:r>
          </w:p>
        </w:tc>
        <w:tc>
          <w:tcPr>
            <w:tcW w:w="1060" w:type="pct"/>
          </w:tcPr>
          <w:p w14:paraId="7717027B" w14:textId="1C4C1650" w:rsidR="00BE7AF0" w:rsidRPr="00781112" w:rsidRDefault="00BE7AF0" w:rsidP="00373F78">
            <w:pPr>
              <w:jc w:val="center"/>
              <w:rPr>
                <w:rFonts w:cs="Arial"/>
                <w:color w:val="000000" w:themeColor="text1"/>
                <w:szCs w:val="16"/>
              </w:rPr>
            </w:pPr>
            <w:r w:rsidRPr="00781112">
              <w:rPr>
                <w:color w:val="000000" w:themeColor="text1"/>
                <w:szCs w:val="16"/>
              </w:rPr>
              <w:t>76.33%</w:t>
            </w:r>
          </w:p>
        </w:tc>
        <w:tc>
          <w:tcPr>
            <w:tcW w:w="1060" w:type="pct"/>
          </w:tcPr>
          <w:p w14:paraId="48C73194" w14:textId="78C93C75" w:rsidR="00BE7AF0" w:rsidRPr="00781112" w:rsidRDefault="00BE7AF0" w:rsidP="00373F78">
            <w:pPr>
              <w:jc w:val="center"/>
              <w:rPr>
                <w:rFonts w:cs="Arial"/>
                <w:color w:val="000000" w:themeColor="text1"/>
                <w:szCs w:val="16"/>
              </w:rPr>
            </w:pPr>
            <w:r w:rsidRPr="00781112">
              <w:rPr>
                <w:color w:val="000000" w:themeColor="text1"/>
                <w:szCs w:val="16"/>
              </w:rPr>
              <w:t>78.33%</w:t>
            </w:r>
          </w:p>
        </w:tc>
        <w:tc>
          <w:tcPr>
            <w:tcW w:w="1060" w:type="pct"/>
          </w:tcPr>
          <w:p w14:paraId="1CC5CF36" w14:textId="47158C2B" w:rsidR="00BE7AF0" w:rsidRPr="00781112" w:rsidRDefault="00BE7AF0" w:rsidP="00373F78">
            <w:pPr>
              <w:jc w:val="center"/>
              <w:rPr>
                <w:rFonts w:cs="Arial"/>
                <w:color w:val="000000" w:themeColor="text1"/>
                <w:szCs w:val="16"/>
              </w:rPr>
            </w:pPr>
            <w:r w:rsidRPr="00781112">
              <w:rPr>
                <w:color w:val="000000" w:themeColor="text1"/>
                <w:szCs w:val="16"/>
              </w:rPr>
              <w:t>80.83%</w:t>
            </w:r>
          </w:p>
        </w:tc>
      </w:tr>
    </w:tbl>
    <w:p w14:paraId="346A80A2" w14:textId="77777777" w:rsidR="00654A4B" w:rsidRPr="00781112" w:rsidRDefault="00654A4B" w:rsidP="004369B2">
      <w:pPr>
        <w:rPr>
          <w:color w:val="000000" w:themeColor="text1"/>
        </w:rPr>
      </w:pPr>
    </w:p>
    <w:p w14:paraId="451C0051" w14:textId="1929A141" w:rsidR="005E59DB" w:rsidRPr="00781112" w:rsidRDefault="005E59DB">
      <w:pPr>
        <w:rPr>
          <w:b/>
          <w:color w:val="000000" w:themeColor="text1"/>
        </w:rPr>
      </w:pPr>
      <w:r w:rsidRPr="00781112">
        <w:rPr>
          <w:b/>
          <w:color w:val="000000" w:themeColor="text1"/>
        </w:rPr>
        <w:t xml:space="preserve">Targets: Description of Stakeholder Input </w:t>
      </w:r>
    </w:p>
    <w:p w14:paraId="2B946CE6" w14:textId="3BAAFC14" w:rsidR="0051170F" w:rsidRPr="00781112" w:rsidRDefault="0051170F" w:rsidP="004369B2">
      <w:pPr>
        <w:rPr>
          <w:rFonts w:cs="Arial"/>
          <w:color w:val="000000" w:themeColor="text1"/>
          <w:szCs w:val="16"/>
        </w:rPr>
      </w:pPr>
      <w:r w:rsidRPr="00781112">
        <w:rPr>
          <w:rFonts w:cs="Arial"/>
          <w:color w:val="000000" w:themeColor="text1"/>
          <w:szCs w:val="16"/>
        </w:rPr>
        <w:t>Mechanism for Broad Stakeholder Input:</w:t>
        <w:br/>
        <w:t xml:space="preserve">During FFY2022, the State held stakeholder meetings as the mechanism for soliciting broad stakeholder input on the State’s targets in the SPP/APR and any subsequent revisions. The meetings were held in-person for the first time following the COVID-19 pandemic. An online option was available for stakeholders that were not able to meet in person. In the meetings, Stakeholder groups reviewed the FFY2021 data, and the baselines and targets established for FFY 2020-2025. The groups analyzed the data to determine if established baselines and targets established in the prior year, were still an accurate depiction of the state’s performance trajectory. The meetings also allowed time for stakeholders to provide input on improvement strategies and progress for the SPP/APR indicators. The State also revised its methodology for Indicators 4a and 4b in which the information was shared with stakeholders and input was sought. In addition, the State also proposed a revised LEA annual determination rubric to include target indicators. The revised rubric will be used with FFY2023 LEA annual determinations and is consistent with the information in the OSEP Question and Answer document QA 23-01. </w:t>
        <w:br/>
        <w:t/>
        <w:br/>
        <w:t xml:space="preserve">Stakeholder meeting information including meeting logistics and presentations are available on the Special Education Division (SED) website for the public and any interested individual to access. Flyers were created and LEAs were asked to disseminate the information to their staff, parents, and students. The Parent Training Centers (PTCs) were asked to share the meeting information with parents including through social media. Other groups such as tribes, IDEA panel members, the State Special Education Ombud, and other parent advocacy groups were sent invitations to each of the meetings. </w:t>
        <w:br/>
        <w:t/>
        <w:br/>
        <w:t>Any stakeholder that wanted to provide feedback but could not attend the meetings, had an opportunity to do so. On the State’s stakeholder page, individuals can click on the link and share their input with the state staff by completing an input form. The feedback received from the website is also considered when making revisions and establishing targets.</w:t>
        <w:br/>
        <w:t/>
        <w:br/>
        <w:t>Feedback Summary:</w:t>
        <w:br/>
        <w:t>For Indicators 4a and 4b, the State’s methodology was proposed to be changed to meet OSEP requirements as indicated in the FFY2021, SPP/APR OSEP Responses and Required Actions. Stakeholders were presented with the new proposed methodology in which the cell size of 10 requirement was removed, the N size was reduced to 10 and a rate ratio of 3.0 was introduced. In comparison to the previous methodology, where a cell size and N size of 10 were required as well as a risk ratio of 1 percentage point above the state rate. Stakeholders had no objections or concerns with the new methodology. The State will use the new methodology to apply to the Indicator 4 data reported in this FFY2022 State Performance Plan/Annual Performance Report (SPP/APR).</w:t>
        <w:br/>
        <w:t/>
        <w:br/>
        <w:t>Indicator 17, State Systemic Improvement Plan:</w:t>
        <w:br/>
        <w:t xml:space="preserve">1. ECLIPSE program coordinators presented data and program updates to the state IDEA Panel (members include parents, advocates, state staff, and educators) during the 2022-2023 school year. IDEA panel members were engaged in the ECLIPSE program presentation on Indicator 17 and updates. An ECLIPSE panel committee provided qualitative feedback via a Google Form survey. The panel members conveyed the program is making progress in improving literacy outcomes forward for students with disabilities. Recommendations included increasing parental involvement and increased awareness of the program's successes. </w:t>
        <w:br/>
        <w:t>2. A virtual ECLIPSE stakeholder meeting was held during the 2022-2023 school year. Stakeholders in attendance included the ECLIPSE staff, Regional Education Cooperative (REC) coordinators, Special Education Directors, and ECLIPSE school principals. Stakeholders in attendance were provided with ECLIPSE program details for the upcoming school year and verbal feedback about the ECLIPSE Program at the end of the meeting.</w:t>
        <w:br/>
        <w:t xml:space="preserve">3. Parent engagement stakeholder meetings were held in-person and through online platforms where they were provided direct literacy training via hands-on activities. If the meeting was online, materials were provided to the schools prior to the meeting. The Regional Education Cooperative (REC) contractors provided materials, activities, and training to parents in-person. The REC initiated Google Pre and Post surveys following the trainings and it indicated that the level of understanding to support reading at home increased. Parental understanding of what the predicator of reading success was increased dramatically between pre and post surveys. A summary of parent comments included that the engagement sessions provided a lot of great information, it was a fun learning experience, and they looked forward to future meetings. </w:t>
        <w:br/>
        <w:t xml:space="preserve">4. The ECLIPSE staff initiated surveys during 2022-2023 to principals and teachers through Google Forms survey. Teachers showed dramatic increases in their knowledge of the incorporation of engagement strategies with their students due to their coaches. In a pre-survey, administrators listed that professional development on literacy is one of the greatest needs of the teachers they support. They also stated that time and equitable feedback were areas of administrative need. </w:t>
        <w:br/>
        <w:t>5. An online end of year survey was sent to all ECLIPSE stakeholders as the 2022-2023 school year ended. The main consensus from the survey supported the ongoing development of the program to illustrate its impact so adjustments can be made to better inform ourselves and our stakeholders of progress.</w:t>
      </w:r>
    </w:p>
    <w:p w14:paraId="6F475956" w14:textId="6AAE3895" w:rsidR="000C24C2" w:rsidRPr="00781112" w:rsidRDefault="002B7490" w:rsidP="001011BB">
      <w:pPr>
        <w:rPr>
          <w:rFonts w:cs="Arial"/>
          <w:color w:val="000000" w:themeColor="text1"/>
          <w:szCs w:val="16"/>
        </w:rPr>
      </w:pPr>
      <w:r w:rsidRPr="00781112">
        <w:rPr>
          <w:rFonts w:cs="Arial"/>
          <w:color w:val="000000" w:themeColor="text1"/>
          <w:szCs w:val="16"/>
        </w:rPr>
        <w:t/>
      </w:r>
    </w:p>
    <w:p w14:paraId="4026D322" w14:textId="77777777" w:rsidR="00654A4B" w:rsidRPr="00781112" w:rsidRDefault="00654A4B" w:rsidP="00B65C2C">
      <w:pPr>
        <w:rPr>
          <w:color w:val="000000" w:themeColor="text1"/>
        </w:rPr>
      </w:pPr>
    </w:p>
    <w:p w14:paraId="5BFE0C1F" w14:textId="74D590F4" w:rsidR="00995737" w:rsidRPr="00781112" w:rsidRDefault="00995737" w:rsidP="00B65C2C">
      <w:pPr>
        <w:rPr>
          <w:b/>
          <w:bCs/>
          <w:color w:val="000000" w:themeColor="text1"/>
        </w:rPr>
      </w:pPr>
      <w:r w:rsidRPr="00781112">
        <w:rPr>
          <w:b/>
          <w:bCs/>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1PREPOPDATA"/>
      </w:tblPr>
      <w:tblGrid>
        <w:gridCol w:w="2909"/>
        <w:gridCol w:w="2130"/>
        <w:gridCol w:w="3507"/>
        <w:gridCol w:w="2244"/>
      </w:tblGrid>
      <w:tr w:rsidR="005C29F8" w:rsidRPr="00781112" w14:paraId="30F51C80" w14:textId="4B2A2ADB" w:rsidTr="00044B5C">
        <w:trPr>
          <w:trHeight w:val="372"/>
          <w:tblHeader/>
        </w:trPr>
        <w:tc>
          <w:tcPr>
            <w:tcW w:w="1348" w:type="pct"/>
            <w:shd w:val="clear" w:color="auto" w:fill="auto"/>
          </w:tcPr>
          <w:p w14:paraId="323D50E8" w14:textId="6779F814" w:rsidR="00866B4D" w:rsidRPr="00781112" w:rsidRDefault="00866B4D" w:rsidP="000B4AA4">
            <w:pPr>
              <w:spacing w:after="0"/>
              <w:jc w:val="center"/>
              <w:rPr>
                <w:rFonts w:cs="Arial"/>
                <w:b/>
                <w:color w:val="000000" w:themeColor="text1"/>
                <w:szCs w:val="16"/>
              </w:rPr>
            </w:pPr>
            <w:r w:rsidRPr="00781112">
              <w:rPr>
                <w:rFonts w:cs="Arial"/>
                <w:b/>
                <w:color w:val="000000" w:themeColor="text1"/>
                <w:szCs w:val="16"/>
              </w:rPr>
              <w:t>Source</w:t>
            </w:r>
          </w:p>
        </w:tc>
        <w:tc>
          <w:tcPr>
            <w:tcW w:w="987" w:type="pct"/>
            <w:shd w:val="clear" w:color="auto" w:fill="auto"/>
          </w:tcPr>
          <w:p w14:paraId="01C2B5F0" w14:textId="1D5140A6" w:rsidR="00866B4D" w:rsidRPr="00781112" w:rsidRDefault="00866B4D" w:rsidP="000B4AA4">
            <w:pPr>
              <w:spacing w:after="0"/>
              <w:jc w:val="center"/>
              <w:rPr>
                <w:rFonts w:cs="Arial"/>
                <w:b/>
                <w:color w:val="000000" w:themeColor="text1"/>
                <w:szCs w:val="16"/>
              </w:rPr>
            </w:pPr>
            <w:r w:rsidRPr="00781112">
              <w:rPr>
                <w:rFonts w:cs="Arial"/>
                <w:b/>
                <w:color w:val="000000" w:themeColor="text1"/>
                <w:szCs w:val="16"/>
              </w:rPr>
              <w:t>Date</w:t>
            </w:r>
          </w:p>
        </w:tc>
        <w:tc>
          <w:tcPr>
            <w:tcW w:w="1625" w:type="pct"/>
            <w:shd w:val="clear" w:color="auto" w:fill="auto"/>
          </w:tcPr>
          <w:p w14:paraId="1FC5546A" w14:textId="059B9945" w:rsidR="00866B4D" w:rsidRPr="00781112" w:rsidRDefault="00866B4D" w:rsidP="000B4AA4">
            <w:pPr>
              <w:spacing w:after="0"/>
              <w:jc w:val="center"/>
              <w:rPr>
                <w:rFonts w:cs="Arial"/>
                <w:b/>
                <w:color w:val="000000" w:themeColor="text1"/>
                <w:szCs w:val="16"/>
              </w:rPr>
            </w:pPr>
            <w:r w:rsidRPr="00781112">
              <w:rPr>
                <w:rFonts w:cs="Arial"/>
                <w:b/>
                <w:color w:val="000000" w:themeColor="text1"/>
                <w:szCs w:val="16"/>
              </w:rPr>
              <w:t>Description</w:t>
            </w:r>
          </w:p>
        </w:tc>
        <w:tc>
          <w:tcPr>
            <w:tcW w:w="1040" w:type="pct"/>
            <w:shd w:val="clear" w:color="auto" w:fill="auto"/>
          </w:tcPr>
          <w:p w14:paraId="189AD2F4" w14:textId="2C14B569" w:rsidR="00866B4D" w:rsidRPr="00781112" w:rsidRDefault="00866B4D" w:rsidP="000B4AA4">
            <w:pPr>
              <w:spacing w:after="0"/>
              <w:jc w:val="center"/>
              <w:rPr>
                <w:rFonts w:cs="Arial"/>
                <w:b/>
                <w:color w:val="000000" w:themeColor="text1"/>
                <w:szCs w:val="16"/>
              </w:rPr>
            </w:pPr>
            <w:r w:rsidRPr="00781112">
              <w:rPr>
                <w:rFonts w:cs="Arial"/>
                <w:b/>
                <w:color w:val="000000" w:themeColor="text1"/>
                <w:szCs w:val="16"/>
              </w:rPr>
              <w:t>Data</w:t>
            </w:r>
          </w:p>
        </w:tc>
      </w:tr>
      <w:tr w:rsidR="005A75AD" w:rsidRPr="00781112" w14:paraId="30B629CE" w14:textId="3D9C8EF1" w:rsidTr="00044B5C">
        <w:trPr>
          <w:trHeight w:val="380"/>
        </w:trPr>
        <w:tc>
          <w:tcPr>
            <w:tcW w:w="1348" w:type="pct"/>
            <w:shd w:val="clear" w:color="auto" w:fill="auto"/>
          </w:tcPr>
          <w:p w14:paraId="73323AED" w14:textId="61550716" w:rsidR="005A75AD" w:rsidRPr="00781112" w:rsidRDefault="005A75AD" w:rsidP="005A75AD">
            <w:pPr>
              <w:jc w:val="center"/>
              <w:rPr>
                <w:rFonts w:cs="Arial"/>
                <w:color w:val="000000" w:themeColor="text1"/>
                <w:szCs w:val="16"/>
              </w:rPr>
            </w:pPr>
            <w:r w:rsidRPr="00781112">
              <w:rPr>
                <w:rFonts w:cs="Arial"/>
                <w:color w:val="000000" w:themeColor="text1"/>
                <w:szCs w:val="16"/>
              </w:rPr>
              <w:t>SY 2021-22 Exiting Data Groups (EDFacts file spec FS009; Data Group 85)</w:t>
            </w:r>
          </w:p>
        </w:tc>
        <w:tc>
          <w:tcPr>
            <w:tcW w:w="987" w:type="pct"/>
            <w:shd w:val="clear" w:color="auto" w:fill="auto"/>
          </w:tcPr>
          <w:p w14:paraId="5E976CB4" w14:textId="15FDC9EF" w:rsidR="005A75AD" w:rsidRPr="00781112" w:rsidRDefault="005A75AD" w:rsidP="005A75AD">
            <w:pPr>
              <w:jc w:val="center"/>
              <w:rPr>
                <w:rFonts w:cs="Arial"/>
                <w:color w:val="000000" w:themeColor="text1"/>
                <w:szCs w:val="16"/>
              </w:rPr>
            </w:pPr>
            <w:r w:rsidRPr="00781112">
              <w:rPr>
                <w:rFonts w:cs="Arial"/>
                <w:color w:val="000000" w:themeColor="text1"/>
                <w:szCs w:val="16"/>
              </w:rPr>
              <w:t>05/24/2023</w:t>
            </w:r>
          </w:p>
        </w:tc>
        <w:tc>
          <w:tcPr>
            <w:tcW w:w="1625" w:type="pct"/>
            <w:shd w:val="clear" w:color="auto" w:fill="auto"/>
          </w:tcPr>
          <w:p w14:paraId="01C211E9" w14:textId="4BA1367C" w:rsidR="005A75AD" w:rsidRPr="00781112" w:rsidRDefault="005A75AD" w:rsidP="005A75AD">
            <w:pPr>
              <w:rPr>
                <w:rFonts w:cs="Arial"/>
                <w:color w:val="000000" w:themeColor="text1"/>
                <w:szCs w:val="16"/>
              </w:rPr>
            </w:pPr>
            <w:r w:rsidRPr="00781112">
              <w:rPr>
                <w:rFonts w:cs="Arial"/>
                <w:szCs w:val="16"/>
              </w:rPr>
              <w:t>Number of youth with IEPs (ages 14-21) who exited special education by graduating with a regular high school diploma (a)</w:t>
            </w:r>
          </w:p>
        </w:tc>
        <w:tc>
          <w:tcPr>
            <w:tcW w:w="1040" w:type="pct"/>
            <w:shd w:val="clear" w:color="auto" w:fill="auto"/>
          </w:tcPr>
          <w:p w14:paraId="18434B19" w14:textId="3271491A" w:rsidR="005A75AD" w:rsidRPr="00781112" w:rsidRDefault="005A75AD" w:rsidP="005A75AD">
            <w:pPr>
              <w:jc w:val="center"/>
              <w:rPr>
                <w:rFonts w:cs="Arial"/>
                <w:color w:val="000000" w:themeColor="text1"/>
                <w:szCs w:val="16"/>
              </w:rPr>
            </w:pPr>
            <w:r w:rsidRPr="00781112">
              <w:rPr>
                <w:rFonts w:cs="Arial"/>
                <w:color w:val="000000" w:themeColor="text1"/>
                <w:szCs w:val="16"/>
              </w:rPr>
              <w:t>2,020</w:t>
            </w:r>
          </w:p>
        </w:tc>
      </w:tr>
      <w:tr w:rsidR="005A75AD" w:rsidRPr="00781112" w14:paraId="2E9BAC4B" w14:textId="77777777" w:rsidTr="00044B5C">
        <w:trPr>
          <w:trHeight w:val="380"/>
        </w:trPr>
        <w:tc>
          <w:tcPr>
            <w:tcW w:w="1348" w:type="pct"/>
            <w:shd w:val="clear" w:color="auto" w:fill="auto"/>
          </w:tcPr>
          <w:p w14:paraId="019DE2CA" w14:textId="1C16E7CC" w:rsidR="005A75AD" w:rsidRPr="00781112" w:rsidRDefault="005A75AD" w:rsidP="005A75AD">
            <w:pPr>
              <w:jc w:val="center"/>
              <w:rPr>
                <w:rFonts w:cs="Arial"/>
                <w:color w:val="000000" w:themeColor="text1"/>
                <w:szCs w:val="16"/>
              </w:rPr>
            </w:pPr>
            <w:r w:rsidRPr="00781112">
              <w:rPr>
                <w:rFonts w:cs="Arial"/>
                <w:color w:val="000000" w:themeColor="text1"/>
                <w:szCs w:val="16"/>
              </w:rPr>
              <w:t>SY 2021-22 Exiting Data Groups (EDFacts file spec FS009; Data Group 85)</w:t>
            </w:r>
          </w:p>
        </w:tc>
        <w:tc>
          <w:tcPr>
            <w:tcW w:w="987" w:type="pct"/>
            <w:shd w:val="clear" w:color="auto" w:fill="auto"/>
          </w:tcPr>
          <w:p w14:paraId="21121509" w14:textId="35C72B6A" w:rsidR="005A75AD" w:rsidRPr="00781112" w:rsidRDefault="005A75AD" w:rsidP="005A75AD">
            <w:pPr>
              <w:jc w:val="center"/>
              <w:rPr>
                <w:rFonts w:cs="Arial"/>
                <w:color w:val="000000" w:themeColor="text1"/>
                <w:szCs w:val="16"/>
              </w:rPr>
            </w:pPr>
            <w:r w:rsidRPr="00781112">
              <w:rPr>
                <w:rFonts w:cs="Arial"/>
                <w:color w:val="000000" w:themeColor="text1"/>
                <w:szCs w:val="16"/>
              </w:rPr>
              <w:t>05/24/2023</w:t>
            </w:r>
          </w:p>
        </w:tc>
        <w:tc>
          <w:tcPr>
            <w:tcW w:w="1625" w:type="pct"/>
            <w:shd w:val="clear" w:color="auto" w:fill="auto"/>
          </w:tcPr>
          <w:p w14:paraId="4DBDAFD8" w14:textId="70B6722B" w:rsidR="005A75AD" w:rsidRPr="00781112" w:rsidRDefault="005A75AD" w:rsidP="005A75AD">
            <w:pPr>
              <w:rPr>
                <w:rFonts w:cs="Arial"/>
                <w:color w:val="000000" w:themeColor="text1"/>
                <w:szCs w:val="16"/>
              </w:rPr>
            </w:pPr>
            <w:r w:rsidRPr="00781112">
              <w:rPr>
                <w:rFonts w:cs="Arial"/>
                <w:szCs w:val="16"/>
              </w:rPr>
              <w:t>Number of youth with IEPs (ages 14-21) who exited special education by graduating with a state-defined alternate diploma (b)</w:t>
            </w:r>
          </w:p>
        </w:tc>
        <w:tc>
          <w:tcPr>
            <w:tcW w:w="1040" w:type="pct"/>
            <w:shd w:val="clear" w:color="auto" w:fill="auto"/>
          </w:tcPr>
          <w:p w14:paraId="010FD1F1" w14:textId="7C43793B" w:rsidR="005A75AD" w:rsidRPr="00781112" w:rsidRDefault="005A75AD" w:rsidP="005A75AD">
            <w:pPr>
              <w:jc w:val="center"/>
              <w:rPr>
                <w:rFonts w:cs="Arial"/>
                <w:color w:val="000000" w:themeColor="text1"/>
                <w:szCs w:val="16"/>
              </w:rPr>
            </w:pPr>
            <w:r w:rsidRPr="00781112">
              <w:rPr>
                <w:rFonts w:cs="Arial"/>
                <w:color w:val="000000" w:themeColor="text1"/>
                <w:szCs w:val="16"/>
              </w:rPr>
              <w:t/>
            </w:r>
          </w:p>
        </w:tc>
      </w:tr>
      <w:tr w:rsidR="005A75AD" w:rsidRPr="00781112" w14:paraId="032776B0" w14:textId="77777777" w:rsidTr="00044B5C">
        <w:trPr>
          <w:trHeight w:val="380"/>
        </w:trPr>
        <w:tc>
          <w:tcPr>
            <w:tcW w:w="1348" w:type="pct"/>
            <w:shd w:val="clear" w:color="auto" w:fill="auto"/>
          </w:tcPr>
          <w:p w14:paraId="5813DAD1" w14:textId="06D60F55" w:rsidR="005A75AD" w:rsidRPr="00781112" w:rsidRDefault="005A75AD" w:rsidP="005A75AD">
            <w:pPr>
              <w:jc w:val="center"/>
              <w:rPr>
                <w:rFonts w:cs="Arial"/>
                <w:color w:val="000000" w:themeColor="text1"/>
                <w:szCs w:val="16"/>
              </w:rPr>
            </w:pPr>
            <w:r w:rsidRPr="00781112">
              <w:rPr>
                <w:rFonts w:cs="Arial"/>
                <w:color w:val="000000" w:themeColor="text1"/>
                <w:szCs w:val="16"/>
              </w:rPr>
              <w:t>SY 2021-22 Exiting Data Groups (EDFacts file spec FS009; Data Group 85)</w:t>
            </w:r>
          </w:p>
        </w:tc>
        <w:tc>
          <w:tcPr>
            <w:tcW w:w="987" w:type="pct"/>
            <w:shd w:val="clear" w:color="auto" w:fill="auto"/>
          </w:tcPr>
          <w:p w14:paraId="0CBE5647" w14:textId="5D16DC3C" w:rsidR="005A75AD" w:rsidRPr="00781112" w:rsidRDefault="005A75AD" w:rsidP="005A75AD">
            <w:pPr>
              <w:jc w:val="center"/>
              <w:rPr>
                <w:rFonts w:cs="Arial"/>
                <w:color w:val="000000" w:themeColor="text1"/>
                <w:szCs w:val="16"/>
              </w:rPr>
            </w:pPr>
            <w:r w:rsidRPr="00781112">
              <w:rPr>
                <w:rFonts w:cs="Arial"/>
                <w:color w:val="000000" w:themeColor="text1"/>
                <w:szCs w:val="16"/>
              </w:rPr>
              <w:t>05/24/2023</w:t>
            </w:r>
          </w:p>
        </w:tc>
        <w:tc>
          <w:tcPr>
            <w:tcW w:w="1625" w:type="pct"/>
            <w:shd w:val="clear" w:color="auto" w:fill="auto"/>
          </w:tcPr>
          <w:p w14:paraId="7D0086CE" w14:textId="510BD804" w:rsidR="005A75AD" w:rsidRPr="00781112" w:rsidRDefault="005A75AD" w:rsidP="005A75AD">
            <w:pPr>
              <w:rPr>
                <w:rFonts w:cs="Arial"/>
                <w:color w:val="000000" w:themeColor="text1"/>
                <w:szCs w:val="16"/>
              </w:rPr>
            </w:pPr>
            <w:r w:rsidRPr="00781112">
              <w:rPr>
                <w:rFonts w:cs="Arial"/>
                <w:szCs w:val="16"/>
              </w:rPr>
              <w:t>Number of youth with IEPs (ages 14-21) who exited special education by receiving a certificate (c)</w:t>
            </w:r>
          </w:p>
        </w:tc>
        <w:tc>
          <w:tcPr>
            <w:tcW w:w="1040" w:type="pct"/>
            <w:shd w:val="clear" w:color="auto" w:fill="auto"/>
          </w:tcPr>
          <w:p w14:paraId="184082B3" w14:textId="438EC66B" w:rsidR="005A75AD" w:rsidRPr="00781112" w:rsidRDefault="005A75AD" w:rsidP="005A75AD">
            <w:pPr>
              <w:jc w:val="center"/>
              <w:rPr>
                <w:rFonts w:cs="Arial"/>
                <w:color w:val="000000" w:themeColor="text1"/>
                <w:szCs w:val="16"/>
              </w:rPr>
            </w:pPr>
            <w:r w:rsidRPr="00781112">
              <w:rPr>
                <w:rFonts w:cs="Arial"/>
                <w:color w:val="000000" w:themeColor="text1"/>
                <w:szCs w:val="16"/>
              </w:rPr>
              <w:t>0</w:t>
            </w:r>
          </w:p>
        </w:tc>
      </w:tr>
      <w:tr w:rsidR="00E1624B" w:rsidRPr="00781112" w14:paraId="73AB7466" w14:textId="77777777" w:rsidTr="00044B5C">
        <w:trPr>
          <w:trHeight w:val="380"/>
        </w:trPr>
        <w:tc>
          <w:tcPr>
            <w:tcW w:w="1348" w:type="pct"/>
            <w:shd w:val="clear" w:color="auto" w:fill="auto"/>
          </w:tcPr>
          <w:p w14:paraId="4B56ED01" w14:textId="0B62D17A" w:rsidR="00E1624B" w:rsidRPr="00781112" w:rsidRDefault="00E1624B" w:rsidP="00E1624B">
            <w:pPr>
              <w:jc w:val="center"/>
              <w:rPr>
                <w:rFonts w:cs="Arial"/>
                <w:color w:val="000000" w:themeColor="text1"/>
                <w:szCs w:val="16"/>
              </w:rPr>
            </w:pPr>
            <w:r w:rsidRPr="00781112">
              <w:rPr>
                <w:rFonts w:cs="Arial"/>
                <w:color w:val="000000" w:themeColor="text1"/>
                <w:szCs w:val="16"/>
              </w:rPr>
              <w:lastRenderedPageBreak/>
              <w:t>SY 2021-22 Exiting Data Groups (EDFacts file spec FS009; Data Group 85)</w:t>
            </w:r>
          </w:p>
        </w:tc>
        <w:tc>
          <w:tcPr>
            <w:tcW w:w="987" w:type="pct"/>
            <w:shd w:val="clear" w:color="auto" w:fill="auto"/>
          </w:tcPr>
          <w:p w14:paraId="60CF2903" w14:textId="690ADEAE" w:rsidR="00E1624B" w:rsidRPr="00781112" w:rsidRDefault="00E1624B" w:rsidP="00E1624B">
            <w:pPr>
              <w:jc w:val="center"/>
              <w:rPr>
                <w:rFonts w:cs="Arial"/>
                <w:color w:val="000000" w:themeColor="text1"/>
                <w:szCs w:val="16"/>
              </w:rPr>
            </w:pPr>
            <w:r w:rsidRPr="00781112">
              <w:rPr>
                <w:rFonts w:cs="Arial"/>
                <w:color w:val="000000" w:themeColor="text1"/>
                <w:szCs w:val="16"/>
              </w:rPr>
              <w:t>05/24/2023</w:t>
            </w:r>
          </w:p>
        </w:tc>
        <w:tc>
          <w:tcPr>
            <w:tcW w:w="1625" w:type="pct"/>
            <w:shd w:val="clear" w:color="auto" w:fill="auto"/>
          </w:tcPr>
          <w:p w14:paraId="06653647" w14:textId="36FF0607" w:rsidR="00E1624B" w:rsidRPr="00781112" w:rsidRDefault="00E1624B">
            <w:pPr>
              <w:rPr>
                <w:rFonts w:cs="Arial"/>
                <w:szCs w:val="16"/>
              </w:rPr>
            </w:pPr>
            <w:r w:rsidRPr="00781112">
              <w:rPr>
                <w:rFonts w:cs="Arial"/>
                <w:szCs w:val="16"/>
              </w:rPr>
              <w:t>Number of youth with IEPs (ages 14-21) who exited special education by reaching maximum age (d)</w:t>
            </w:r>
          </w:p>
        </w:tc>
        <w:tc>
          <w:tcPr>
            <w:tcW w:w="1040" w:type="pct"/>
            <w:shd w:val="clear" w:color="auto" w:fill="auto"/>
          </w:tcPr>
          <w:p w14:paraId="73E001A1" w14:textId="747191F4" w:rsidR="00E1624B" w:rsidRPr="00781112" w:rsidRDefault="00E1624B" w:rsidP="00E1624B">
            <w:pPr>
              <w:jc w:val="center"/>
              <w:rPr>
                <w:rFonts w:cs="Arial"/>
                <w:color w:val="000000" w:themeColor="text1"/>
                <w:szCs w:val="16"/>
              </w:rPr>
            </w:pPr>
            <w:r w:rsidRPr="00781112">
              <w:rPr>
                <w:rFonts w:cs="Arial"/>
                <w:color w:val="000000" w:themeColor="text1"/>
                <w:szCs w:val="16"/>
              </w:rPr>
              <w:t>13</w:t>
            </w:r>
          </w:p>
        </w:tc>
      </w:tr>
      <w:tr w:rsidR="00E1624B" w:rsidRPr="00781112" w14:paraId="14CC53E0" w14:textId="77777777" w:rsidTr="00044B5C">
        <w:trPr>
          <w:trHeight w:val="380"/>
        </w:trPr>
        <w:tc>
          <w:tcPr>
            <w:tcW w:w="1348" w:type="pct"/>
            <w:shd w:val="clear" w:color="auto" w:fill="auto"/>
          </w:tcPr>
          <w:p w14:paraId="3B200D0B" w14:textId="610D9D3D" w:rsidR="00E1624B" w:rsidRPr="00781112" w:rsidRDefault="00E1624B" w:rsidP="00E1624B">
            <w:pPr>
              <w:jc w:val="center"/>
              <w:rPr>
                <w:rFonts w:cs="Arial"/>
                <w:color w:val="000000" w:themeColor="text1"/>
                <w:szCs w:val="16"/>
              </w:rPr>
            </w:pPr>
            <w:r w:rsidRPr="00781112">
              <w:rPr>
                <w:rFonts w:cs="Arial"/>
                <w:color w:val="000000" w:themeColor="text1"/>
                <w:szCs w:val="16"/>
              </w:rPr>
              <w:t>SY 2021-22 Exiting Data Groups (EDFacts file spec FS009; Data Group 85)</w:t>
            </w:r>
          </w:p>
        </w:tc>
        <w:tc>
          <w:tcPr>
            <w:tcW w:w="987" w:type="pct"/>
            <w:shd w:val="clear" w:color="auto" w:fill="auto"/>
          </w:tcPr>
          <w:p w14:paraId="57A125A7" w14:textId="625619CE" w:rsidR="00E1624B" w:rsidRPr="00781112" w:rsidRDefault="00E1624B" w:rsidP="00E1624B">
            <w:pPr>
              <w:jc w:val="center"/>
              <w:rPr>
                <w:rFonts w:cs="Arial"/>
                <w:color w:val="000000" w:themeColor="text1"/>
                <w:szCs w:val="16"/>
              </w:rPr>
            </w:pPr>
            <w:r w:rsidRPr="00781112">
              <w:rPr>
                <w:rFonts w:cs="Arial"/>
                <w:color w:val="000000" w:themeColor="text1"/>
                <w:szCs w:val="16"/>
              </w:rPr>
              <w:t>05/24/2023</w:t>
            </w:r>
          </w:p>
        </w:tc>
        <w:tc>
          <w:tcPr>
            <w:tcW w:w="1625" w:type="pct"/>
            <w:shd w:val="clear" w:color="auto" w:fill="auto"/>
          </w:tcPr>
          <w:p w14:paraId="5C2E5C85" w14:textId="316DABB1" w:rsidR="00E1624B" w:rsidRPr="00781112" w:rsidRDefault="00E1624B" w:rsidP="00E1624B">
            <w:pPr>
              <w:rPr>
                <w:rFonts w:cs="Arial"/>
                <w:szCs w:val="16"/>
              </w:rPr>
            </w:pPr>
            <w:r w:rsidRPr="00781112">
              <w:rPr>
                <w:rFonts w:cs="Arial"/>
                <w:szCs w:val="16"/>
              </w:rPr>
              <w:t>Number of youth with IEPs (ages 14-21) who exited special education due to dropping out (e)</w:t>
            </w:r>
          </w:p>
        </w:tc>
        <w:tc>
          <w:tcPr>
            <w:tcW w:w="1040" w:type="pct"/>
            <w:shd w:val="clear" w:color="auto" w:fill="auto"/>
          </w:tcPr>
          <w:p w14:paraId="79A046E2" w14:textId="17FE2759" w:rsidR="00E1624B" w:rsidRPr="00781112" w:rsidRDefault="00E1624B" w:rsidP="00E1624B">
            <w:pPr>
              <w:jc w:val="center"/>
              <w:rPr>
                <w:rFonts w:cs="Arial"/>
                <w:color w:val="000000" w:themeColor="text1"/>
                <w:szCs w:val="16"/>
              </w:rPr>
            </w:pPr>
            <w:r w:rsidRPr="00781112">
              <w:rPr>
                <w:rFonts w:cs="Arial"/>
                <w:color w:val="000000" w:themeColor="text1"/>
                <w:szCs w:val="16"/>
              </w:rPr>
              <w:t>794</w:t>
            </w:r>
          </w:p>
        </w:tc>
      </w:tr>
    </w:tbl>
    <w:p w14:paraId="0D2CDC7B" w14:textId="77777777" w:rsidR="00654A4B" w:rsidRPr="00781112" w:rsidRDefault="00654A4B" w:rsidP="00B65C2C">
      <w:pPr>
        <w:rPr>
          <w:color w:val="000000" w:themeColor="text1"/>
        </w:rPr>
      </w:pPr>
    </w:p>
    <w:p w14:paraId="7939D078" w14:textId="3CD6429A" w:rsidR="00995737" w:rsidRPr="00781112" w:rsidRDefault="0047313F" w:rsidP="00C74928">
      <w:pPr>
        <w:keepNext/>
        <w:rPr>
          <w:b/>
          <w:bCs/>
          <w:color w:val="000000" w:themeColor="text1"/>
        </w:rPr>
      </w:pPr>
      <w:r>
        <w:rPr>
          <w:b/>
          <w:bCs/>
          <w:color w:val="000000" w:themeColor="text1"/>
        </w:rPr>
        <w:t>FFY 2022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1CFFYAPRDATA"/>
      </w:tblPr>
      <w:tblGrid>
        <w:gridCol w:w="1501"/>
        <w:gridCol w:w="1687"/>
        <w:gridCol w:w="1345"/>
        <w:gridCol w:w="2022"/>
        <w:gridCol w:w="1209"/>
        <w:gridCol w:w="1538"/>
        <w:gridCol w:w="1488"/>
      </w:tblGrid>
      <w:tr w:rsidR="0047313F" w:rsidRPr="00781112" w14:paraId="02722994" w14:textId="4BCF686A" w:rsidTr="0047313F">
        <w:trPr>
          <w:trHeight w:val="333"/>
          <w:tblHeader/>
        </w:trPr>
        <w:tc>
          <w:tcPr>
            <w:tcW w:w="696" w:type="pct"/>
            <w:shd w:val="clear" w:color="auto" w:fill="auto"/>
            <w:vAlign w:val="bottom"/>
          </w:tcPr>
          <w:p w14:paraId="272BBF68" w14:textId="161B6D1A" w:rsidR="0047313F" w:rsidRPr="00781112" w:rsidRDefault="0047313F" w:rsidP="0047313F">
            <w:pPr>
              <w:spacing w:after="0"/>
              <w:jc w:val="center"/>
              <w:rPr>
                <w:rFonts w:cs="Arial"/>
                <w:b/>
                <w:color w:val="000000" w:themeColor="text1"/>
                <w:szCs w:val="16"/>
              </w:rPr>
            </w:pPr>
            <w:r w:rsidRPr="00781112">
              <w:rPr>
                <w:rFonts w:cs="Arial"/>
                <w:b/>
                <w:color w:val="000000" w:themeColor="text1"/>
                <w:szCs w:val="16"/>
              </w:rPr>
              <w:t>Number of youth with IEPs (ages 14-21) who exited special education due to graduating with a regular high school diploma</w:t>
            </w:r>
          </w:p>
        </w:tc>
        <w:tc>
          <w:tcPr>
            <w:tcW w:w="782" w:type="pct"/>
            <w:shd w:val="clear" w:color="auto" w:fill="auto"/>
            <w:vAlign w:val="bottom"/>
          </w:tcPr>
          <w:p w14:paraId="055EF61F" w14:textId="6ADAF307" w:rsidR="0047313F" w:rsidRPr="00781112" w:rsidRDefault="0047313F" w:rsidP="0047313F">
            <w:pPr>
              <w:spacing w:after="0"/>
              <w:jc w:val="center"/>
              <w:rPr>
                <w:rFonts w:cs="Arial"/>
                <w:b/>
                <w:bCs/>
                <w:color w:val="000000" w:themeColor="text1"/>
                <w:szCs w:val="16"/>
              </w:rPr>
            </w:pPr>
            <w:r w:rsidRPr="00781112">
              <w:rPr>
                <w:b/>
                <w:bCs/>
              </w:rPr>
              <w:t xml:space="preserve">Number of all youth with IEPs who exited special education (ages 14-21)  </w:t>
            </w:r>
          </w:p>
        </w:tc>
        <w:tc>
          <w:tcPr>
            <w:tcW w:w="623" w:type="pct"/>
            <w:shd w:val="clear" w:color="auto" w:fill="auto"/>
            <w:vAlign w:val="bottom"/>
          </w:tcPr>
          <w:p w14:paraId="74998318" w14:textId="02C5ECA9" w:rsidR="0047313F" w:rsidRPr="00073BD7" w:rsidRDefault="0047313F" w:rsidP="0047313F">
            <w:pPr>
              <w:spacing w:after="0"/>
              <w:jc w:val="center"/>
              <w:rPr>
                <w:rFonts w:cs="Arial"/>
                <w:b/>
                <w:bCs/>
                <w:color w:val="000000" w:themeColor="text1"/>
                <w:szCs w:val="16"/>
              </w:rPr>
            </w:pPr>
            <w:r w:rsidRPr="00073BD7">
              <w:rPr>
                <w:b/>
                <w:bCs/>
              </w:rPr>
              <w:t>FFY 2021 Data</w:t>
            </w:r>
          </w:p>
        </w:tc>
        <w:tc>
          <w:tcPr>
            <w:tcW w:w="937" w:type="pct"/>
            <w:shd w:val="clear" w:color="auto" w:fill="auto"/>
            <w:vAlign w:val="bottom"/>
          </w:tcPr>
          <w:p w14:paraId="5A1C61A6" w14:textId="7E14B348" w:rsidR="0047313F" w:rsidRPr="00073BD7" w:rsidRDefault="0047313F" w:rsidP="0047313F">
            <w:pPr>
              <w:spacing w:after="0"/>
              <w:jc w:val="center"/>
              <w:rPr>
                <w:rFonts w:cs="Arial"/>
                <w:b/>
                <w:bCs/>
                <w:color w:val="000000" w:themeColor="text1"/>
                <w:szCs w:val="16"/>
              </w:rPr>
            </w:pPr>
            <w:r w:rsidRPr="00073BD7">
              <w:rPr>
                <w:b/>
                <w:bCs/>
              </w:rPr>
              <w:t>FFY 2022 Target</w:t>
            </w:r>
          </w:p>
        </w:tc>
        <w:tc>
          <w:tcPr>
            <w:tcW w:w="560" w:type="pct"/>
            <w:shd w:val="clear" w:color="auto" w:fill="auto"/>
            <w:vAlign w:val="bottom"/>
          </w:tcPr>
          <w:p w14:paraId="51DD5A1B" w14:textId="7B2ED195" w:rsidR="0047313F" w:rsidRPr="00073BD7" w:rsidRDefault="0047313F" w:rsidP="0047313F">
            <w:pPr>
              <w:spacing w:after="0"/>
              <w:jc w:val="center"/>
              <w:rPr>
                <w:rFonts w:cs="Arial"/>
                <w:b/>
                <w:bCs/>
                <w:color w:val="000000" w:themeColor="text1"/>
                <w:szCs w:val="16"/>
              </w:rPr>
            </w:pPr>
            <w:r w:rsidRPr="00073BD7">
              <w:rPr>
                <w:b/>
                <w:bCs/>
              </w:rPr>
              <w:t>FFY 2022 Data</w:t>
            </w:r>
          </w:p>
        </w:tc>
        <w:tc>
          <w:tcPr>
            <w:tcW w:w="713" w:type="pct"/>
            <w:shd w:val="clear" w:color="auto" w:fill="auto"/>
            <w:vAlign w:val="bottom"/>
          </w:tcPr>
          <w:p w14:paraId="23C86FAA" w14:textId="7FC8D54B" w:rsidR="0047313F" w:rsidRPr="00781112" w:rsidRDefault="0047313F" w:rsidP="0047313F">
            <w:pPr>
              <w:spacing w:after="0"/>
              <w:jc w:val="center"/>
              <w:rPr>
                <w:rFonts w:cs="Arial"/>
                <w:b/>
                <w:color w:val="000000" w:themeColor="text1"/>
                <w:szCs w:val="16"/>
              </w:rPr>
            </w:pPr>
            <w:r w:rsidRPr="00781112">
              <w:rPr>
                <w:rFonts w:cs="Arial"/>
                <w:b/>
                <w:color w:val="000000" w:themeColor="text1"/>
                <w:szCs w:val="16"/>
              </w:rPr>
              <w:t>Status</w:t>
            </w:r>
          </w:p>
        </w:tc>
        <w:tc>
          <w:tcPr>
            <w:tcW w:w="690" w:type="pct"/>
            <w:shd w:val="clear" w:color="auto" w:fill="auto"/>
            <w:vAlign w:val="bottom"/>
          </w:tcPr>
          <w:p w14:paraId="6EE58552" w14:textId="4AA8F220" w:rsidR="0047313F" w:rsidRPr="00781112" w:rsidRDefault="0047313F" w:rsidP="0047313F">
            <w:pPr>
              <w:spacing w:after="0"/>
              <w:jc w:val="center"/>
              <w:rPr>
                <w:rFonts w:cs="Arial"/>
                <w:b/>
                <w:color w:val="000000" w:themeColor="text1"/>
                <w:szCs w:val="16"/>
              </w:rPr>
            </w:pPr>
            <w:r w:rsidRPr="00781112">
              <w:rPr>
                <w:rFonts w:cs="Arial"/>
                <w:b/>
                <w:color w:val="000000" w:themeColor="text1"/>
                <w:szCs w:val="16"/>
              </w:rPr>
              <w:t>Slippage</w:t>
            </w:r>
          </w:p>
        </w:tc>
      </w:tr>
      <w:tr w:rsidR="005C29F8" w:rsidRPr="00781112" w14:paraId="601A0599" w14:textId="76387A52" w:rsidTr="0047313F">
        <w:trPr>
          <w:trHeight w:val="340"/>
        </w:trPr>
        <w:tc>
          <w:tcPr>
            <w:tcW w:w="696" w:type="pct"/>
            <w:shd w:val="clear" w:color="auto" w:fill="auto"/>
            <w:vAlign w:val="center"/>
          </w:tcPr>
          <w:p w14:paraId="70B1C138" w14:textId="6CAA41C3" w:rsidR="0098478C" w:rsidRPr="00781112" w:rsidRDefault="002B7490" w:rsidP="00A018D4">
            <w:pPr>
              <w:jc w:val="center"/>
              <w:rPr>
                <w:rFonts w:cs="Arial"/>
                <w:color w:val="000000" w:themeColor="text1"/>
                <w:szCs w:val="16"/>
              </w:rPr>
            </w:pPr>
            <w:r w:rsidRPr="00781112">
              <w:rPr>
                <w:rFonts w:cs="Arial"/>
                <w:color w:val="000000" w:themeColor="text1"/>
                <w:szCs w:val="16"/>
              </w:rPr>
              <w:t>2,020</w:t>
            </w:r>
          </w:p>
        </w:tc>
        <w:tc>
          <w:tcPr>
            <w:tcW w:w="782" w:type="pct"/>
            <w:shd w:val="clear" w:color="auto" w:fill="auto"/>
          </w:tcPr>
          <w:p w14:paraId="614E7B59" w14:textId="5AA9B72C" w:rsidR="0098478C" w:rsidRPr="00781112" w:rsidRDefault="002B7490" w:rsidP="00A018D4">
            <w:pPr>
              <w:jc w:val="center"/>
              <w:rPr>
                <w:rFonts w:cs="Arial"/>
                <w:color w:val="000000" w:themeColor="text1"/>
                <w:szCs w:val="16"/>
              </w:rPr>
            </w:pPr>
            <w:r w:rsidRPr="00781112">
              <w:rPr>
                <w:rFonts w:cs="Arial"/>
                <w:color w:val="000000" w:themeColor="text1"/>
                <w:szCs w:val="16"/>
              </w:rPr>
              <w:t>2,827</w:t>
            </w:r>
          </w:p>
        </w:tc>
        <w:tc>
          <w:tcPr>
            <w:tcW w:w="623" w:type="pct"/>
            <w:shd w:val="clear" w:color="auto" w:fill="auto"/>
          </w:tcPr>
          <w:p w14:paraId="02406DF0" w14:textId="52BAECC6" w:rsidR="0098478C" w:rsidRPr="00781112" w:rsidRDefault="002B7490" w:rsidP="00A018D4">
            <w:pPr>
              <w:jc w:val="center"/>
              <w:rPr>
                <w:rFonts w:cs="Arial"/>
                <w:color w:val="000000" w:themeColor="text1"/>
                <w:szCs w:val="16"/>
              </w:rPr>
            </w:pPr>
            <w:r w:rsidRPr="00781112">
              <w:rPr>
                <w:rFonts w:cs="Arial"/>
                <w:color w:val="000000" w:themeColor="text1"/>
                <w:szCs w:val="16"/>
              </w:rPr>
              <w:t>90.98%</w:t>
            </w:r>
          </w:p>
        </w:tc>
        <w:tc>
          <w:tcPr>
            <w:tcW w:w="937" w:type="pct"/>
            <w:shd w:val="clear" w:color="auto" w:fill="auto"/>
          </w:tcPr>
          <w:p w14:paraId="2398C001" w14:textId="76ED9E04" w:rsidR="0098478C" w:rsidRPr="00781112" w:rsidRDefault="002B7490" w:rsidP="00A018D4">
            <w:pPr>
              <w:jc w:val="center"/>
              <w:rPr>
                <w:rFonts w:cs="Arial"/>
                <w:color w:val="000000" w:themeColor="text1"/>
                <w:szCs w:val="16"/>
              </w:rPr>
            </w:pPr>
            <w:r w:rsidRPr="00781112">
              <w:rPr>
                <w:rFonts w:cs="Arial"/>
                <w:color w:val="000000" w:themeColor="text1"/>
                <w:szCs w:val="16"/>
              </w:rPr>
              <w:t>74.83%</w:t>
            </w:r>
          </w:p>
        </w:tc>
        <w:tc>
          <w:tcPr>
            <w:tcW w:w="560" w:type="pct"/>
            <w:shd w:val="clear" w:color="auto" w:fill="auto"/>
          </w:tcPr>
          <w:p w14:paraId="4A53AF2D" w14:textId="3BE4EB07" w:rsidR="0098478C" w:rsidRPr="00781112" w:rsidRDefault="002B7490" w:rsidP="00A018D4">
            <w:pPr>
              <w:jc w:val="center"/>
              <w:rPr>
                <w:rFonts w:cs="Arial"/>
                <w:color w:val="000000" w:themeColor="text1"/>
                <w:szCs w:val="16"/>
              </w:rPr>
            </w:pPr>
            <w:r w:rsidRPr="00781112">
              <w:rPr>
                <w:rFonts w:cs="Arial"/>
                <w:color w:val="000000" w:themeColor="text1"/>
                <w:szCs w:val="16"/>
              </w:rPr>
              <w:t>71.45%</w:t>
            </w:r>
          </w:p>
        </w:tc>
        <w:tc>
          <w:tcPr>
            <w:tcW w:w="713" w:type="pct"/>
            <w:shd w:val="clear" w:color="auto" w:fill="auto"/>
          </w:tcPr>
          <w:p w14:paraId="0A60DC85" w14:textId="479F7096" w:rsidR="0098478C"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90" w:type="pct"/>
            <w:shd w:val="clear" w:color="auto" w:fill="auto"/>
          </w:tcPr>
          <w:p w14:paraId="6FB98C67" w14:textId="68AEDB07" w:rsidR="0098478C" w:rsidRPr="00781112" w:rsidRDefault="002B7490" w:rsidP="00A018D4">
            <w:pPr>
              <w:jc w:val="center"/>
              <w:rPr>
                <w:rFonts w:cs="Arial"/>
                <w:color w:val="000000" w:themeColor="text1"/>
                <w:szCs w:val="16"/>
              </w:rPr>
            </w:pPr>
            <w:r w:rsidRPr="00781112">
              <w:rPr>
                <w:rFonts w:cs="Arial"/>
                <w:color w:val="000000" w:themeColor="text1"/>
                <w:szCs w:val="16"/>
              </w:rPr>
              <w:t>Slippage</w:t>
            </w:r>
          </w:p>
        </w:tc>
      </w:tr>
    </w:tbl>
    <w:p w14:paraId="68A148EF" w14:textId="201EE2DF" w:rsidR="00120808" w:rsidRPr="00781112" w:rsidRDefault="00120808" w:rsidP="004369B2">
      <w:pPr>
        <w:rPr>
          <w:b/>
          <w:color w:val="000000" w:themeColor="text1"/>
        </w:rPr>
      </w:pPr>
      <w:r w:rsidRPr="00781112">
        <w:rPr>
          <w:b/>
          <w:color w:val="000000" w:themeColor="text1"/>
        </w:rPr>
        <w:t>Provide reasons for slippage, if applicable</w:t>
      </w:r>
    </w:p>
    <w:p w14:paraId="57093C7C" w14:textId="103154AB" w:rsidR="002D145D" w:rsidRPr="00781112" w:rsidRDefault="002B7490" w:rsidP="00AD3C71">
      <w:pPr>
        <w:rPr>
          <w:rFonts w:cs="Arial"/>
          <w:color w:val="000000" w:themeColor="text1"/>
          <w:szCs w:val="16"/>
        </w:rPr>
      </w:pPr>
      <w:r w:rsidRPr="00781112">
        <w:rPr>
          <w:rFonts w:cs="Arial"/>
          <w:color w:val="000000" w:themeColor="text1"/>
          <w:szCs w:val="16"/>
        </w:rPr>
        <w:t xml:space="preserve">Following the COVID-19 pandemic, LEAs experienced difficulties in getting students to return back to school.  In addition, many families choose to homeschool their students instead of immediately returning to the classroom.  As a result, LEAs reported students who did not return as dropouts. Therefore, the State experienced a large increase in the total number of students reported as dropouts, which also impacted the graduation rate for the state.  </w:t>
      </w:r>
    </w:p>
    <w:p w14:paraId="2BB119D0" w14:textId="387277D1" w:rsidR="005E59DB" w:rsidRPr="00781112" w:rsidRDefault="005E59DB" w:rsidP="004369B2">
      <w:pPr>
        <w:rPr>
          <w:color w:val="000000" w:themeColor="text1"/>
        </w:rPr>
      </w:pPr>
      <w:r w:rsidRPr="00781112">
        <w:rPr>
          <w:b/>
          <w:color w:val="000000" w:themeColor="text1"/>
        </w:rPr>
        <w:t xml:space="preserve">Graduation Conditions </w:t>
      </w:r>
    </w:p>
    <w:p w14:paraId="44381070" w14:textId="5786BC0C" w:rsidR="005E59DB" w:rsidRPr="00781112" w:rsidRDefault="00C14D48" w:rsidP="00552927">
      <w:pPr>
        <w:rPr>
          <w:rFonts w:cs="Arial"/>
          <w:b/>
          <w:i/>
          <w:color w:val="000000" w:themeColor="text1"/>
          <w:szCs w:val="16"/>
        </w:rPr>
      </w:pPr>
      <w:r w:rsidRPr="00781112">
        <w:rPr>
          <w:rFonts w:cs="Arial"/>
          <w:b/>
          <w:color w:val="000000" w:themeColor="text1"/>
          <w:szCs w:val="16"/>
        </w:rPr>
        <w:t xml:space="preserve">Provide a narrative that describes the conditions youth must meet in order to graduate with a regular high school diploma. </w:t>
      </w:r>
    </w:p>
    <w:p w14:paraId="7C1B3984" w14:textId="08BD1460" w:rsidR="002D145D" w:rsidRPr="00781112" w:rsidRDefault="002B7490" w:rsidP="006618C8">
      <w:pPr>
        <w:rPr>
          <w:rFonts w:cs="Arial"/>
          <w:color w:val="000000" w:themeColor="text1"/>
          <w:szCs w:val="16"/>
        </w:rPr>
      </w:pPr>
      <w:r w:rsidRPr="00781112">
        <w:rPr>
          <w:rFonts w:cs="Arial"/>
          <w:color w:val="000000" w:themeColor="text1"/>
          <w:szCs w:val="16"/>
        </w:rPr>
        <w:t>The New Mexico statute 22-13-1.1 establishes the requirements for graduating from high school with a regular high school diploma. A cohort system is used which is based on the year a student enters grade nine, for both coursework and competency in five content areas: reading, writing, mathematics, science, and social studies. Students must complete 24 credits of high school coursework in math (4), English (4), science (3), social studies (3.5), PE (1), career or foreign language(1), and electives (7.5). Beginning in school year 2019-2020, students may demonstrate competency by any of the methods from approved options which include: grade 11 required assessments (e.g., SBA, Transition, PARCC scores from previous years, the SAT in spring 2020 and beyond); nationally recognized tests like ACT, ACCUPLACER, ASVAB, AP, etc. For Cohorts 2020 and 2021, school districts may use locally determined demonstrations of competency. New Mexico Administrative Code 6.19.7 and 6.29.1.9 provides the specific requirements.</w:t>
      </w:r>
    </w:p>
    <w:p w14:paraId="58C36CC8" w14:textId="7DE9B0CE" w:rsidR="00F672DF" w:rsidRPr="00781112" w:rsidRDefault="00F672DF" w:rsidP="006618C8">
      <w:pPr>
        <w:rPr>
          <w:rFonts w:cs="Arial"/>
          <w:b/>
          <w:color w:val="000000" w:themeColor="text1"/>
          <w:szCs w:val="16"/>
        </w:rPr>
      </w:pPr>
      <w:r w:rsidRPr="00781112">
        <w:rPr>
          <w:rFonts w:cs="Arial"/>
          <w:b/>
          <w:color w:val="000000" w:themeColor="text1"/>
          <w:szCs w:val="16"/>
        </w:rPr>
        <w:t>Are the conditions that youth with IEPs must meet to graduate with a regular high school diploma different from the conditions noted above? (yes/no)</w:t>
      </w:r>
    </w:p>
    <w:p w14:paraId="0930BD95" w14:textId="4EF39A81" w:rsidR="00F672DF" w:rsidRPr="00781112" w:rsidRDefault="00F672DF" w:rsidP="006618C8">
      <w:pPr>
        <w:rPr>
          <w:rFonts w:cs="Arial"/>
          <w:color w:val="000000" w:themeColor="text1"/>
          <w:szCs w:val="16"/>
        </w:rPr>
      </w:pPr>
      <w:r w:rsidRPr="00781112">
        <w:rPr>
          <w:rFonts w:cs="Arial"/>
          <w:color w:val="000000" w:themeColor="text1"/>
          <w:szCs w:val="16"/>
        </w:rPr>
        <w:t>YES</w:t>
      </w:r>
    </w:p>
    <w:p w14:paraId="1CD0A276" w14:textId="5047B5D7" w:rsidR="00C14D48" w:rsidRPr="00781112" w:rsidRDefault="00742F8B" w:rsidP="003D436D">
      <w:pPr>
        <w:rPr>
          <w:rFonts w:cs="Arial"/>
          <w:b/>
          <w:iCs/>
          <w:color w:val="000000" w:themeColor="text1"/>
          <w:szCs w:val="16"/>
        </w:rPr>
      </w:pPr>
      <w:bookmarkStart w:id="6" w:name="_Toc392159261"/>
      <w:r w:rsidRPr="00781112">
        <w:rPr>
          <w:rFonts w:cs="Arial"/>
          <w:b/>
          <w:iCs/>
          <w:color w:val="000000" w:themeColor="text1"/>
          <w:szCs w:val="16"/>
        </w:rPr>
        <w:t>If yes, explain the difference in conditions that youth with IEPs must meet.</w:t>
      </w:r>
    </w:p>
    <w:p w14:paraId="081D930A" w14:textId="3A6096AF" w:rsidR="00E418E6" w:rsidRPr="00781112" w:rsidRDefault="002B7490" w:rsidP="000E33D0">
      <w:pPr>
        <w:rPr>
          <w:rFonts w:cs="Arial"/>
          <w:color w:val="000000" w:themeColor="text1"/>
          <w:szCs w:val="16"/>
        </w:rPr>
      </w:pPr>
      <w:r w:rsidRPr="00781112">
        <w:rPr>
          <w:rFonts w:cs="Arial"/>
          <w:color w:val="000000" w:themeColor="text1"/>
          <w:szCs w:val="16"/>
        </w:rPr>
        <w:t>Students with Disabilities have three graduation options. These graduation options enable IEP teams to develop a program of study that is the most appropriate for preparing a student to achieve post-secondary goals and maintain the integrity of the high school diploma. The first graduation option is the Standard Option as described in the previous section. The second is the Modified Option. Students on the Modified Option will take general assessments, with accommodations as indicated in the student’s IEP. The students IEP team will also establish individualized passing scores for determining demonstration of competency. End of Course (EoC) exams can be used to demonstrate graduation competency. The third is the Ability Option. Students following the Ability Option will take the state’s alternative assessment as the academic achievement assessment rather than the general assessment. IEP teams will set individualized cut scores for demonstrating competency.</w:t>
      </w:r>
      <w:bookmarkStart w:id="7" w:name="_Hlk525545190"/>
    </w:p>
    <w:p w14:paraId="51BF8B64" w14:textId="746664C9" w:rsidR="0098478C" w:rsidRPr="00781112" w:rsidRDefault="0098478C" w:rsidP="004369B2">
      <w:pPr>
        <w:rPr>
          <w:b/>
          <w:color w:val="000000" w:themeColor="text1"/>
        </w:rPr>
      </w:pPr>
      <w:r w:rsidRPr="00781112">
        <w:rPr>
          <w:b/>
          <w:color w:val="000000" w:themeColor="text1"/>
        </w:rPr>
        <w:t>Provide additional information about this indicator (optional)</w:t>
      </w:r>
    </w:p>
    <w:p w14:paraId="2CDAC437" w14:textId="58A5CDB2" w:rsidR="002D145D" w:rsidRPr="00781112" w:rsidRDefault="002B7490" w:rsidP="000E33D0">
      <w:pPr>
        <w:rPr>
          <w:rFonts w:cs="Arial"/>
          <w:color w:val="000000" w:themeColor="text1"/>
          <w:szCs w:val="16"/>
        </w:rPr>
      </w:pPr>
      <w:r w:rsidRPr="00781112">
        <w:rPr>
          <w:rFonts w:cs="Arial"/>
          <w:color w:val="000000" w:themeColor="text1"/>
          <w:szCs w:val="16"/>
        </w:rPr>
        <w:t xml:space="preserve">In New Mexico, Local Education Agencies (LEAs) are able to issue students with disabilities a diploma through either one of three programs of study to obtain a high school diploma as determined by the students IEP team: </w:t>
        <w:br/>
        <w:t/>
        <w:br/>
        <w:t xml:space="preserve">1) standard program of study- which is a program of study that requires a student to meet or exceed all requirements for graduation based on the New Mexico Standards of Excellence as well as any other requirements of the respective local education agencies; </w:t>
        <w:br/>
        <w:t/>
        <w:br/>
        <w:t xml:space="preserve">2) modified program of study- which is an alternative program of study in which a student may demonstrate competency on state assessments by achieving individualized passing scores and earning course credit based on performance standards determined by the IEP team; and, </w:t>
        <w:br/>
        <w:t/>
        <w:br/>
        <w:t xml:space="preserve">3) ability program of study- which is an alternative program of study for students with significant cognitive disabilities or severe mental health issues. The program of study involves functional curriculum coursework as well as the IEP team determining the level of competency on state examinations or alternate assessments. </w:t>
        <w:br/>
        <w:t/>
        <w:br/>
        <w:t xml:space="preserve">In the past, Federal and State law have differed in how a diploma through one of the three New Mexico programs of study had been treated. State provisions had treated diplomas obtained through each of the programs of study as regular high school diplomas. In contrast, the federal regulation, 34 C.F.R. § 300.102(a)(3)(i), defines a regular high school diploma as “the standard high school diploma awarded to the preponderance of students in the State that is fully aligned with State standards.” </w:t>
        <w:br/>
        <w:t/>
        <w:br/>
        <w:t xml:space="preserve">The distinction between state and federal provisions is significant because a student’s right to FAPE and receipt of special education and related services terminates once the student receives a regular high school diploma as that term is defined in federal law. The amended state rule provisions update the language allowing for a special education student earning a diploma through the modified or ability programs of study to continue receiving FAPE. </w:t>
        <w:br/>
        <w:t/>
        <w:br/>
        <w:t>The following substantive amendments were made to the New Mexico Administrative Code after public notice and acceptance of both written and oral comment and became effective on July 31, 2023:</w:t>
        <w:br/>
        <w:t>•	Explicitly stating that a diploma obtained through a standard program of study is a regular high school diploma as defined in federal regulations and a student’s entitlement to FAPE ends upon graduating with that diploma.</w:t>
        <w:br/>
        <w:t>•	Clarifying that a diploma obtained through the modified and ability programs of study is NOT a regular high school diploma under federal regulations and a student may continue to receive special education and related services (right to FAPE) until the student meets the requirements of the standard program of study or at the end of the academic school year in which the student turned 22 years of age.</w:t>
        <w:br/>
        <w:t/>
        <w:br/>
        <w:t xml:space="preserve">Notably, a vast majority of New Mexico LEAs maintained policies and practices that were consistent with these amendments and Federal law. The amendments were made to ensure that New Mexico regulations were consistent with these compliant practices and also to bring LEAs that may have not operated in this way into compliance. </w:t>
      </w:r>
    </w:p>
    <w:p w14:paraId="7D2A5658" w14:textId="39995CE7" w:rsidR="000C60E1" w:rsidRPr="00781112" w:rsidRDefault="00B0742B" w:rsidP="008645AD">
      <w:pPr>
        <w:pStyle w:val="Heading2"/>
      </w:pPr>
      <w:bookmarkStart w:id="8" w:name="_Toc382082358"/>
      <w:bookmarkEnd w:id="6"/>
      <w:bookmarkEnd w:id="7"/>
      <w:r w:rsidRPr="00781112">
        <w:t>1</w:t>
      </w:r>
      <w:r w:rsidR="00684B51" w:rsidRPr="00781112">
        <w:t xml:space="preserve"> </w:t>
      </w:r>
      <w:r w:rsidRPr="00781112">
        <w:t xml:space="preserve">- </w:t>
      </w:r>
      <w:r w:rsidR="002D145D" w:rsidRPr="00781112">
        <w:t>Prior FFY Required Actions</w:t>
      </w:r>
    </w:p>
    <w:p w14:paraId="42534530" w14:textId="7BEF428C" w:rsidR="002D145D" w:rsidRPr="00781112" w:rsidRDefault="002B7490" w:rsidP="00CE5723">
      <w:pPr>
        <w:rPr>
          <w:rFonts w:cs="Arial"/>
          <w:color w:val="000000" w:themeColor="text1"/>
          <w:szCs w:val="16"/>
        </w:rPr>
      </w:pPr>
      <w:r w:rsidRPr="00781112">
        <w:rPr>
          <w:rFonts w:cs="Arial"/>
          <w:color w:val="000000" w:themeColor="text1"/>
          <w:szCs w:val="16"/>
        </w:rPr>
        <w:t>None</w:t>
      </w:r>
    </w:p>
    <w:p w14:paraId="12317A47" w14:textId="75A98BEA" w:rsidR="00A2794A" w:rsidRPr="00781112" w:rsidRDefault="00A2794A" w:rsidP="00CE5723">
      <w:pPr>
        <w:rPr>
          <w:rFonts w:cs="Arial"/>
          <w:color w:val="000000" w:themeColor="text1"/>
          <w:szCs w:val="16"/>
        </w:rPr>
      </w:pPr>
    </w:p>
    <w:p w14:paraId="0D99EF95" w14:textId="4B8DDAD7" w:rsidR="004C462E" w:rsidRPr="00781112" w:rsidRDefault="00862B20" w:rsidP="008645AD">
      <w:pPr>
        <w:pStyle w:val="Heading2"/>
      </w:pPr>
      <w:r w:rsidRPr="00781112">
        <w:t>1</w:t>
      </w:r>
      <w:r w:rsidR="00684B51" w:rsidRPr="00781112">
        <w:t xml:space="preserve"> </w:t>
      </w:r>
      <w:r w:rsidRPr="00781112">
        <w:t xml:space="preserve">- </w:t>
      </w:r>
      <w:r w:rsidR="004C462E" w:rsidRPr="00781112">
        <w:t>OSEP Response</w:t>
      </w:r>
    </w:p>
    <w:p w14:paraId="47549565" w14:textId="0718C089" w:rsidR="002D145D" w:rsidRPr="00781112" w:rsidRDefault="002B7490" w:rsidP="001F692C">
      <w:pPr>
        <w:rPr>
          <w:rFonts w:cs="Arial"/>
          <w:color w:val="000000" w:themeColor="text1"/>
          <w:szCs w:val="16"/>
        </w:rPr>
      </w:pPr>
      <w:r w:rsidRPr="00781112">
        <w:rPr>
          <w:rFonts w:cs="Arial"/>
          <w:color w:val="000000" w:themeColor="text1"/>
          <w:szCs w:val="16"/>
        </w:rPr>
        <w:t/>
      </w:r>
    </w:p>
    <w:p w14:paraId="5F7376D0" w14:textId="1C114A8A" w:rsidR="004C462E" w:rsidRPr="00781112" w:rsidRDefault="00B0742B" w:rsidP="008645AD">
      <w:pPr>
        <w:pStyle w:val="Heading2"/>
      </w:pPr>
      <w:bookmarkStart w:id="9" w:name="_Hlk21352084"/>
      <w:r w:rsidRPr="00781112">
        <w:t xml:space="preserve">1 - </w:t>
      </w:r>
      <w:bookmarkEnd w:id="9"/>
      <w:r w:rsidR="004C462E" w:rsidRPr="00781112">
        <w:t>Required Actions</w:t>
      </w:r>
    </w:p>
    <w:p w14:paraId="1EB5204A" w14:textId="0BB66F29" w:rsidR="002D145D" w:rsidRPr="00781112" w:rsidRDefault="002B7490" w:rsidP="001F692C">
      <w:pPr>
        <w:rPr>
          <w:rFonts w:cs="Arial"/>
          <w:color w:val="000000" w:themeColor="text1"/>
          <w:szCs w:val="16"/>
        </w:rPr>
      </w:pPr>
      <w:r w:rsidRPr="00781112">
        <w:rPr>
          <w:rFonts w:cs="Arial"/>
          <w:color w:val="000000" w:themeColor="text1"/>
          <w:szCs w:val="16"/>
        </w:rPr>
        <w:t/>
      </w:r>
    </w:p>
    <w:p w14:paraId="14062900" w14:textId="77777777" w:rsidR="00D37BF0" w:rsidRPr="00781112" w:rsidRDefault="00D37BF0">
      <w:pPr>
        <w:spacing w:before="0" w:after="200" w:line="276" w:lineRule="auto"/>
        <w:rPr>
          <w:rFonts w:eastAsiaTheme="majorEastAsia" w:cs="Arial"/>
          <w:b/>
          <w:bCs/>
          <w:color w:val="000000" w:themeColor="text1"/>
          <w:szCs w:val="16"/>
        </w:rPr>
      </w:pPr>
      <w:bookmarkStart w:id="10" w:name="_Toc392159262"/>
      <w:r w:rsidRPr="00781112">
        <w:rPr>
          <w:rFonts w:cs="Arial"/>
          <w:color w:val="000000" w:themeColor="text1"/>
          <w:szCs w:val="16"/>
        </w:rPr>
        <w:br w:type="page"/>
      </w:r>
    </w:p>
    <w:p w14:paraId="06F42DD3" w14:textId="793A19C1" w:rsidR="00D21EAA" w:rsidRPr="00781112" w:rsidRDefault="00D21EAA">
      <w:pPr>
        <w:pStyle w:val="Heading1"/>
        <w:rPr>
          <w:color w:val="000000" w:themeColor="text1"/>
          <w:sz w:val="22"/>
        </w:rPr>
      </w:pPr>
      <w:r w:rsidRPr="00781112">
        <w:rPr>
          <w:color w:val="000000" w:themeColor="text1"/>
          <w:sz w:val="22"/>
        </w:rPr>
        <w:lastRenderedPageBreak/>
        <w:t>Indicator 2: Drop Out</w:t>
      </w:r>
      <w:bookmarkEnd w:id="8"/>
      <w:bookmarkEnd w:id="10"/>
    </w:p>
    <w:p w14:paraId="7F31959F" w14:textId="6C15FFEB" w:rsidR="002C60D5" w:rsidRPr="00781112" w:rsidRDefault="002C60D5" w:rsidP="00A018D4">
      <w:pPr>
        <w:rPr>
          <w:color w:val="000000" w:themeColor="text1"/>
          <w:szCs w:val="20"/>
        </w:rPr>
      </w:pPr>
      <w:r w:rsidRPr="00781112">
        <w:rPr>
          <w:b/>
          <w:color w:val="000000" w:themeColor="text1"/>
          <w:sz w:val="20"/>
          <w:szCs w:val="20"/>
        </w:rPr>
        <w:t>Instructions and Measurement</w:t>
      </w:r>
    </w:p>
    <w:p w14:paraId="135DFB11" w14:textId="77777777" w:rsidR="00820751" w:rsidRPr="00651E83" w:rsidRDefault="00820751" w:rsidP="00820751">
      <w:pPr>
        <w:pStyle w:val="Subhed"/>
      </w:pPr>
      <w:bookmarkStart w:id="11" w:name="_Toc392159263"/>
      <w:r w:rsidRPr="00651E83">
        <w:t xml:space="preserve">Monitoring Priority: </w:t>
      </w:r>
      <w:r w:rsidRPr="004A6DE5">
        <w:rPr>
          <w:b w:val="0"/>
        </w:rPr>
        <w:t>FAPE in the LRE</w:t>
      </w:r>
    </w:p>
    <w:p w14:paraId="1775856F" w14:textId="77777777" w:rsidR="00820751" w:rsidRPr="00651E83" w:rsidRDefault="00820751" w:rsidP="00820751">
      <w:pPr>
        <w:rPr>
          <w:rFonts w:cs="Arial"/>
          <w:szCs w:val="16"/>
        </w:rPr>
      </w:pPr>
      <w:r w:rsidRPr="00DC263A">
        <w:rPr>
          <w:rFonts w:cs="Arial"/>
          <w:b/>
          <w:szCs w:val="16"/>
        </w:rPr>
        <w:t>Results indicator</w:t>
      </w:r>
      <w:r w:rsidRPr="00651E83">
        <w:rPr>
          <w:rFonts w:cs="Arial"/>
          <w:szCs w:val="16"/>
        </w:rPr>
        <w:t>: Percent of youth with IEPs</w:t>
      </w:r>
      <w:r>
        <w:rPr>
          <w:rFonts w:cs="Arial"/>
          <w:szCs w:val="16"/>
        </w:rPr>
        <w:t xml:space="preserve"> who exited special education due to</w:t>
      </w:r>
      <w:r w:rsidRPr="00651E83">
        <w:rPr>
          <w:rFonts w:cs="Arial"/>
          <w:szCs w:val="16"/>
        </w:rPr>
        <w:t xml:space="preserve"> dropping out. (20 U.S.C. 1416 (a)(3)(A))</w:t>
      </w:r>
    </w:p>
    <w:p w14:paraId="128CA707" w14:textId="77777777" w:rsidR="00820751" w:rsidRPr="00651E83" w:rsidRDefault="00820751" w:rsidP="00820751">
      <w:pPr>
        <w:pStyle w:val="Subhed"/>
      </w:pPr>
      <w:r w:rsidRPr="00651E83">
        <w:t>Data Source</w:t>
      </w:r>
    </w:p>
    <w:p w14:paraId="38F077C2" w14:textId="77777777" w:rsidR="00820751" w:rsidRPr="00651E83" w:rsidRDefault="00820751" w:rsidP="00820751">
      <w:pPr>
        <w:rPr>
          <w:rFonts w:cs="Arial"/>
          <w:szCs w:val="16"/>
        </w:rPr>
      </w:pPr>
      <w:bookmarkStart w:id="12" w:name="_Hlk51055176"/>
      <w:r w:rsidRPr="00651E83">
        <w:rPr>
          <w:rFonts w:cs="Arial"/>
          <w:szCs w:val="16"/>
        </w:rPr>
        <w:t xml:space="preserve">Same data as used for reporting to the Department under section 618 of the Individuals with Disabilities Education Act (IDEA), using the definitions in </w:t>
      </w:r>
      <w:proofErr w:type="spellStart"/>
      <w:r w:rsidRPr="00651E83">
        <w:rPr>
          <w:rFonts w:cs="Arial"/>
          <w:szCs w:val="16"/>
        </w:rPr>
        <w:t>ED</w:t>
      </w:r>
      <w:r w:rsidRPr="00BA3DBE">
        <w:rPr>
          <w:rFonts w:cs="Arial"/>
          <w:i/>
          <w:iCs/>
          <w:szCs w:val="16"/>
        </w:rPr>
        <w:t>Facts</w:t>
      </w:r>
      <w:proofErr w:type="spellEnd"/>
      <w:r w:rsidRPr="00651E83">
        <w:rPr>
          <w:rFonts w:cs="Arial"/>
          <w:szCs w:val="16"/>
        </w:rPr>
        <w:t xml:space="preserve"> file specification FS009.</w:t>
      </w:r>
    </w:p>
    <w:bookmarkEnd w:id="12"/>
    <w:p w14:paraId="36189637" w14:textId="77777777" w:rsidR="00820751" w:rsidRPr="00651E83" w:rsidRDefault="00820751" w:rsidP="00820751">
      <w:pPr>
        <w:pStyle w:val="Subhed"/>
      </w:pPr>
      <w:r w:rsidRPr="00651E83">
        <w:t>Measurement</w:t>
      </w:r>
    </w:p>
    <w:p w14:paraId="68477D3E" w14:textId="77777777" w:rsidR="00820751" w:rsidRPr="00651E83" w:rsidRDefault="00820751" w:rsidP="00820751">
      <w:pPr>
        <w:rPr>
          <w:rFonts w:cs="Arial"/>
          <w:szCs w:val="16"/>
        </w:rPr>
      </w:pPr>
      <w:r w:rsidRPr="00651E83">
        <w:rPr>
          <w:rFonts w:cs="Arial"/>
          <w:szCs w:val="16"/>
        </w:rPr>
        <w:t>States must report a percentage using the number of youth with IEPs (ages 14-21) who exited special education due to dropping out in the numerator and the number of all youth with IEPs who exited special education (ages 14-21) in the denominator.</w:t>
      </w:r>
    </w:p>
    <w:p w14:paraId="199C9562" w14:textId="77777777" w:rsidR="00820751" w:rsidRPr="00651E83" w:rsidRDefault="00820751" w:rsidP="00820751">
      <w:pPr>
        <w:pStyle w:val="Subhed"/>
      </w:pPr>
      <w:r w:rsidRPr="00651E83">
        <w:t>Instructions</w:t>
      </w:r>
    </w:p>
    <w:p w14:paraId="271B8C9F" w14:textId="77777777" w:rsidR="00820751" w:rsidRPr="00FE4C6C" w:rsidRDefault="00820751" w:rsidP="00820751">
      <w:pPr>
        <w:rPr>
          <w:rFonts w:cs="Arial"/>
          <w:i/>
          <w:iCs/>
          <w:szCs w:val="16"/>
        </w:rPr>
      </w:pPr>
      <w:r w:rsidRPr="00FE4C6C">
        <w:rPr>
          <w:rFonts w:cs="Arial"/>
          <w:i/>
          <w:iCs/>
          <w:szCs w:val="16"/>
        </w:rPr>
        <w:t>Sampling is not allowed.</w:t>
      </w:r>
    </w:p>
    <w:p w14:paraId="66EE7631" w14:textId="68522B6C" w:rsidR="00820751" w:rsidRDefault="00820751" w:rsidP="00820751">
      <w:pPr>
        <w:rPr>
          <w:rFonts w:cs="Arial"/>
          <w:szCs w:val="16"/>
        </w:rPr>
      </w:pPr>
      <w:r w:rsidRPr="00937503">
        <w:rPr>
          <w:rFonts w:cs="Arial"/>
          <w:szCs w:val="16"/>
        </w:rPr>
        <w:t xml:space="preserve">Data for this indicator are “lag” data. Describe the results of the State’s examination </w:t>
      </w:r>
      <w:r w:rsidR="001B2F50">
        <w:rPr>
          <w:rFonts w:cs="Arial"/>
          <w:szCs w:val="16"/>
        </w:rPr>
        <w:t xml:space="preserve">of the section 618 exiting data </w:t>
      </w:r>
      <w:r w:rsidRPr="00937503">
        <w:rPr>
          <w:rFonts w:cs="Arial"/>
          <w:szCs w:val="16"/>
        </w:rPr>
        <w:t>for the year before the reporting year (e.g., for the FFY 2022 SPP/APR, use data from 2021-2022), and compare the results to the target.</w:t>
      </w:r>
    </w:p>
    <w:p w14:paraId="65392C1C" w14:textId="77777777" w:rsidR="00820751" w:rsidRPr="008E308B" w:rsidRDefault="00820751" w:rsidP="00820751">
      <w:pPr>
        <w:rPr>
          <w:rFonts w:cs="Arial"/>
          <w:szCs w:val="16"/>
        </w:rPr>
      </w:pPr>
      <w:r w:rsidRPr="00651E83">
        <w:rPr>
          <w:rFonts w:cs="Arial"/>
          <w:szCs w:val="16"/>
        </w:rPr>
        <w:t>Include in the denominator the following exiting categories: (a) graduated with a regular high school diploma; (b) graduated with a</w:t>
      </w:r>
    </w:p>
    <w:p w14:paraId="5D5E271B" w14:textId="77777777" w:rsidR="00820751" w:rsidRPr="00651E83" w:rsidRDefault="00820751" w:rsidP="00820751">
      <w:pPr>
        <w:rPr>
          <w:rFonts w:cs="Arial"/>
          <w:szCs w:val="16"/>
        </w:rPr>
      </w:pPr>
      <w:r w:rsidRPr="008E308B">
        <w:rPr>
          <w:rFonts w:cs="Arial"/>
          <w:szCs w:val="16"/>
        </w:rPr>
        <w:t xml:space="preserve">state-defined alternate diploma; (c) received a certificate; (d) reached maximum age; or (e) dropped out. </w:t>
      </w:r>
    </w:p>
    <w:p w14:paraId="000F1718" w14:textId="77777777" w:rsidR="00820751" w:rsidRPr="00651E83" w:rsidRDefault="00820751" w:rsidP="00820751">
      <w:pPr>
        <w:rPr>
          <w:rFonts w:cs="Arial"/>
          <w:szCs w:val="16"/>
        </w:rPr>
      </w:pPr>
      <w:r w:rsidRPr="00651E83">
        <w:rPr>
          <w:rFonts w:cs="Arial"/>
          <w:szCs w:val="16"/>
        </w:rPr>
        <w:t>Do not include in the denominator the number of youths with IEPs who exited special education due to: (a) transferring to regular education; or (b) who moved but are known to be continuing in an educational program.</w:t>
      </w:r>
    </w:p>
    <w:p w14:paraId="37EF3DEB" w14:textId="77777777" w:rsidR="00820751" w:rsidRDefault="00820751" w:rsidP="00820751">
      <w:pPr>
        <w:rPr>
          <w:rFonts w:cs="Arial"/>
          <w:szCs w:val="16"/>
        </w:rPr>
      </w:pPr>
      <w:r w:rsidRPr="0019013F">
        <w:rPr>
          <w:rFonts w:cs="Arial"/>
          <w:szCs w:val="16"/>
        </w:rPr>
        <w:t>Provide a narrative that describes what counts as dropping out for all youth. Please explain if there is a difference between what counts as dropping out for all students and what counts as dropping out for students with IEPs.</w:t>
      </w:r>
    </w:p>
    <w:bookmarkEnd w:id="11"/>
    <w:p w14:paraId="7F3C4C70" w14:textId="5E656134" w:rsidR="002C60D5" w:rsidRPr="00781112" w:rsidRDefault="00F914B4" w:rsidP="008645AD">
      <w:pPr>
        <w:pStyle w:val="Heading2"/>
      </w:pPr>
      <w:r w:rsidRPr="00781112">
        <w:t>2</w:t>
      </w:r>
      <w:r w:rsidR="00684B51" w:rsidRPr="00781112">
        <w:t xml:space="preserve"> </w:t>
      </w:r>
      <w:r w:rsidRPr="00781112">
        <w:t xml:space="preserve">- </w:t>
      </w:r>
      <w:r w:rsidR="002C60D5" w:rsidRPr="00781112">
        <w:t>Indicator Data</w:t>
      </w:r>
    </w:p>
    <w:p w14:paraId="6F5DCECF" w14:textId="739F0BA3" w:rsidR="00907A35" w:rsidRPr="00781112" w:rsidRDefault="00907A35"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2BASELINEDATA"/>
      </w:tblPr>
      <w:tblGrid>
        <w:gridCol w:w="1797"/>
        <w:gridCol w:w="1798"/>
      </w:tblGrid>
      <w:tr w:rsidR="008F3F33" w:rsidRPr="00781112" w14:paraId="628BEDAF" w14:textId="77777777" w:rsidTr="0033429D">
        <w:trPr>
          <w:trHeight w:val="311"/>
          <w:tblHeader/>
        </w:trPr>
        <w:tc>
          <w:tcPr>
            <w:tcW w:w="1797" w:type="dxa"/>
          </w:tcPr>
          <w:p w14:paraId="43FEF78C" w14:textId="77777777" w:rsidR="008F3F33" w:rsidRPr="00781112" w:rsidRDefault="008F3F33" w:rsidP="002B6965">
            <w:pPr>
              <w:jc w:val="center"/>
              <w:rPr>
                <w:b/>
                <w:color w:val="000000" w:themeColor="text1"/>
              </w:rPr>
            </w:pPr>
            <w:r w:rsidRPr="00781112">
              <w:rPr>
                <w:rFonts w:cs="Arial"/>
                <w:b/>
                <w:color w:val="000000" w:themeColor="text1"/>
                <w:szCs w:val="16"/>
              </w:rPr>
              <w:t>Baseline Year</w:t>
            </w:r>
          </w:p>
        </w:tc>
        <w:tc>
          <w:tcPr>
            <w:tcW w:w="1798" w:type="dxa"/>
          </w:tcPr>
          <w:p w14:paraId="276B82F6" w14:textId="77777777" w:rsidR="008F3F33" w:rsidRPr="00781112" w:rsidRDefault="008F3F33" w:rsidP="002B6965">
            <w:pPr>
              <w:jc w:val="center"/>
              <w:rPr>
                <w:b/>
                <w:color w:val="000000" w:themeColor="text1"/>
              </w:rPr>
            </w:pPr>
            <w:r w:rsidRPr="00781112">
              <w:rPr>
                <w:b/>
                <w:color w:val="000000" w:themeColor="text1"/>
              </w:rPr>
              <w:t>Baseline Data</w:t>
            </w:r>
          </w:p>
        </w:tc>
      </w:tr>
      <w:tr w:rsidR="008F3F33" w:rsidRPr="00781112" w14:paraId="4706A01B" w14:textId="77777777" w:rsidTr="0033429D">
        <w:trPr>
          <w:trHeight w:val="311"/>
        </w:trPr>
        <w:tc>
          <w:tcPr>
            <w:tcW w:w="1797" w:type="dxa"/>
            <w:vAlign w:val="center"/>
          </w:tcPr>
          <w:p w14:paraId="2D2A3601" w14:textId="2E05C132" w:rsidR="008F3F33" w:rsidRPr="00781112" w:rsidRDefault="008F3F33" w:rsidP="002B6965">
            <w:pPr>
              <w:jc w:val="center"/>
              <w:rPr>
                <w:bCs/>
                <w:color w:val="000000" w:themeColor="text1"/>
              </w:rPr>
            </w:pPr>
            <w:r w:rsidRPr="00781112">
              <w:rPr>
                <w:bCs/>
                <w:color w:val="000000" w:themeColor="text1"/>
              </w:rPr>
              <w:t>2013</w:t>
            </w:r>
          </w:p>
        </w:tc>
        <w:tc>
          <w:tcPr>
            <w:tcW w:w="1798" w:type="dxa"/>
            <w:vAlign w:val="center"/>
          </w:tcPr>
          <w:p w14:paraId="47669FA0" w14:textId="71ECEF5D" w:rsidR="008F3F33" w:rsidRPr="00781112" w:rsidRDefault="008F3F33" w:rsidP="002B6965">
            <w:pPr>
              <w:jc w:val="center"/>
              <w:rPr>
                <w:bCs/>
                <w:color w:val="000000" w:themeColor="text1"/>
              </w:rPr>
            </w:pPr>
            <w:r w:rsidRPr="00781112">
              <w:rPr>
                <w:bCs/>
                <w:color w:val="000000" w:themeColor="text1"/>
              </w:rPr>
              <w:t>24.75%</w:t>
            </w:r>
          </w:p>
        </w:tc>
      </w:tr>
    </w:tbl>
    <w:p w14:paraId="1D724648" w14:textId="77777777" w:rsidR="008F3F33" w:rsidRPr="00781112" w:rsidRDefault="008F3F33"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2HISTDATA"/>
      </w:tblPr>
      <w:tblGrid>
        <w:gridCol w:w="1798"/>
        <w:gridCol w:w="1798"/>
        <w:gridCol w:w="1798"/>
        <w:gridCol w:w="1798"/>
        <w:gridCol w:w="1798"/>
        <w:gridCol w:w="1800"/>
      </w:tblGrid>
      <w:tr w:rsidR="005C29F8" w:rsidRPr="00781112" w14:paraId="4B5BBF62" w14:textId="77777777" w:rsidTr="00DF4C35">
        <w:trPr>
          <w:trHeight w:val="350"/>
        </w:trPr>
        <w:tc>
          <w:tcPr>
            <w:tcW w:w="833" w:type="pct"/>
            <w:tcBorders>
              <w:bottom w:val="single" w:sz="4" w:space="0" w:color="auto"/>
            </w:tcBorders>
            <w:shd w:val="clear" w:color="auto" w:fill="auto"/>
          </w:tcPr>
          <w:p w14:paraId="7CE940CD" w14:textId="77777777" w:rsidR="00907A35" w:rsidRPr="00781112" w:rsidRDefault="00907A35" w:rsidP="004369B2">
            <w:pPr>
              <w:jc w:val="center"/>
              <w:rPr>
                <w:b/>
                <w:color w:val="000000" w:themeColor="text1"/>
              </w:rPr>
            </w:pPr>
            <w:r w:rsidRPr="00781112">
              <w:rPr>
                <w:b/>
                <w:color w:val="000000" w:themeColor="text1"/>
              </w:rPr>
              <w:t>FFY</w:t>
            </w:r>
          </w:p>
        </w:tc>
        <w:tc>
          <w:tcPr>
            <w:tcW w:w="833" w:type="pct"/>
            <w:shd w:val="clear" w:color="auto" w:fill="auto"/>
          </w:tcPr>
          <w:p w14:paraId="1B67E69F" w14:textId="56F9072E" w:rsidR="00907A35" w:rsidRPr="00781112" w:rsidRDefault="002B7490" w:rsidP="00894709">
            <w:pPr>
              <w:jc w:val="center"/>
              <w:rPr>
                <w:b/>
                <w:color w:val="000000" w:themeColor="text1"/>
              </w:rPr>
            </w:pPr>
            <w:r w:rsidRPr="00781112">
              <w:rPr>
                <w:b/>
                <w:color w:val="000000" w:themeColor="text1"/>
              </w:rPr>
              <w:t>2017</w:t>
            </w:r>
          </w:p>
        </w:tc>
        <w:tc>
          <w:tcPr>
            <w:tcW w:w="833" w:type="pct"/>
            <w:shd w:val="clear" w:color="auto" w:fill="auto"/>
          </w:tcPr>
          <w:p w14:paraId="7C0715D5" w14:textId="197F633E" w:rsidR="00907A35" w:rsidRPr="00781112" w:rsidRDefault="002B7490" w:rsidP="00894709">
            <w:pPr>
              <w:jc w:val="center"/>
              <w:rPr>
                <w:b/>
                <w:color w:val="000000" w:themeColor="text1"/>
              </w:rPr>
            </w:pPr>
            <w:r w:rsidRPr="00781112">
              <w:rPr>
                <w:b/>
                <w:color w:val="000000" w:themeColor="text1"/>
              </w:rPr>
              <w:t>2018</w:t>
            </w:r>
          </w:p>
        </w:tc>
        <w:tc>
          <w:tcPr>
            <w:tcW w:w="833" w:type="pct"/>
            <w:shd w:val="clear" w:color="auto" w:fill="auto"/>
          </w:tcPr>
          <w:p w14:paraId="36DD95CC" w14:textId="1D95C11E" w:rsidR="00907A35" w:rsidRPr="00781112" w:rsidRDefault="002B7490" w:rsidP="00894709">
            <w:pPr>
              <w:jc w:val="center"/>
              <w:rPr>
                <w:b/>
                <w:color w:val="000000" w:themeColor="text1"/>
              </w:rPr>
            </w:pPr>
            <w:r w:rsidRPr="00781112">
              <w:rPr>
                <w:b/>
                <w:color w:val="000000" w:themeColor="text1"/>
              </w:rPr>
              <w:t>2019</w:t>
            </w:r>
          </w:p>
        </w:tc>
        <w:tc>
          <w:tcPr>
            <w:tcW w:w="833" w:type="pct"/>
            <w:shd w:val="clear" w:color="auto" w:fill="auto"/>
          </w:tcPr>
          <w:p w14:paraId="6DC8920B" w14:textId="560E0E60" w:rsidR="00907A35" w:rsidRPr="00781112" w:rsidRDefault="002B7490" w:rsidP="00894709">
            <w:pPr>
              <w:jc w:val="center"/>
              <w:rPr>
                <w:b/>
                <w:color w:val="000000" w:themeColor="text1"/>
              </w:rPr>
            </w:pPr>
            <w:r w:rsidRPr="00781112">
              <w:rPr>
                <w:b/>
                <w:color w:val="000000" w:themeColor="text1"/>
              </w:rPr>
              <w:t>2020</w:t>
            </w:r>
          </w:p>
        </w:tc>
        <w:tc>
          <w:tcPr>
            <w:tcW w:w="834" w:type="pct"/>
            <w:shd w:val="clear" w:color="auto" w:fill="auto"/>
          </w:tcPr>
          <w:p w14:paraId="42978F28" w14:textId="43280835" w:rsidR="00907A35" w:rsidRPr="00781112" w:rsidRDefault="002B7490" w:rsidP="00894709">
            <w:pPr>
              <w:jc w:val="center"/>
              <w:rPr>
                <w:b/>
                <w:color w:val="000000" w:themeColor="text1"/>
              </w:rPr>
            </w:pPr>
            <w:r w:rsidRPr="00781112">
              <w:rPr>
                <w:b/>
                <w:color w:val="000000" w:themeColor="text1"/>
              </w:rPr>
              <w:t>2021</w:t>
            </w:r>
          </w:p>
        </w:tc>
      </w:tr>
      <w:tr w:rsidR="005C29F8" w:rsidRPr="00781112" w14:paraId="58F3D93E" w14:textId="77777777" w:rsidTr="00DF4C35">
        <w:trPr>
          <w:trHeight w:val="357"/>
        </w:trPr>
        <w:tc>
          <w:tcPr>
            <w:tcW w:w="833" w:type="pct"/>
            <w:shd w:val="clear" w:color="auto" w:fill="auto"/>
            <w:vAlign w:val="center"/>
          </w:tcPr>
          <w:p w14:paraId="19C9E1E1" w14:textId="72240B64" w:rsidR="00907A35" w:rsidRPr="00781112" w:rsidRDefault="00907A35" w:rsidP="00BA3DBE">
            <w:pPr>
              <w:jc w:val="center"/>
              <w:rPr>
                <w:rFonts w:cs="Arial"/>
                <w:color w:val="000000" w:themeColor="text1"/>
                <w:szCs w:val="16"/>
              </w:rPr>
            </w:pPr>
            <w:r w:rsidRPr="00781112">
              <w:rPr>
                <w:rFonts w:cs="Arial"/>
                <w:color w:val="000000" w:themeColor="text1"/>
                <w:szCs w:val="16"/>
              </w:rPr>
              <w:t xml:space="preserve">Target </w:t>
            </w:r>
            <w:r w:rsidR="0051170F" w:rsidRPr="00781112">
              <w:rPr>
                <w:rFonts w:cs="Arial"/>
                <w:color w:val="000000" w:themeColor="text1"/>
                <w:szCs w:val="16"/>
                <w:shd w:val="clear" w:color="auto" w:fill="FFFFFF"/>
              </w:rPr>
              <w:t>&lt;=</w:t>
            </w:r>
          </w:p>
        </w:tc>
        <w:tc>
          <w:tcPr>
            <w:tcW w:w="833" w:type="pct"/>
            <w:shd w:val="clear" w:color="auto" w:fill="auto"/>
            <w:vAlign w:val="center"/>
          </w:tcPr>
          <w:p w14:paraId="70EB2EF4" w14:textId="3E0F0873" w:rsidR="00907A35" w:rsidRPr="00781112" w:rsidRDefault="002B7490" w:rsidP="00E0321D">
            <w:pPr>
              <w:jc w:val="center"/>
              <w:rPr>
                <w:rFonts w:cs="Arial"/>
                <w:color w:val="000000" w:themeColor="text1"/>
                <w:szCs w:val="16"/>
              </w:rPr>
            </w:pPr>
            <w:r w:rsidRPr="00781112">
              <w:rPr>
                <w:rFonts w:cs="Arial"/>
                <w:color w:val="000000" w:themeColor="text1"/>
                <w:szCs w:val="16"/>
              </w:rPr>
              <w:t>22.97%</w:t>
            </w:r>
          </w:p>
        </w:tc>
        <w:tc>
          <w:tcPr>
            <w:tcW w:w="833" w:type="pct"/>
            <w:shd w:val="clear" w:color="auto" w:fill="auto"/>
            <w:vAlign w:val="center"/>
          </w:tcPr>
          <w:p w14:paraId="09754C04" w14:textId="6AA1C908" w:rsidR="00907A35" w:rsidRPr="00781112" w:rsidRDefault="002B7490" w:rsidP="00E0321D">
            <w:pPr>
              <w:jc w:val="center"/>
              <w:rPr>
                <w:rFonts w:cs="Arial"/>
                <w:color w:val="000000" w:themeColor="text1"/>
                <w:szCs w:val="16"/>
              </w:rPr>
            </w:pPr>
            <w:r w:rsidRPr="00781112">
              <w:rPr>
                <w:rFonts w:cs="Arial"/>
                <w:color w:val="000000" w:themeColor="text1"/>
                <w:szCs w:val="16"/>
              </w:rPr>
              <w:t>22.97%</w:t>
            </w:r>
          </w:p>
        </w:tc>
        <w:tc>
          <w:tcPr>
            <w:tcW w:w="833" w:type="pct"/>
            <w:shd w:val="clear" w:color="auto" w:fill="auto"/>
            <w:vAlign w:val="center"/>
          </w:tcPr>
          <w:p w14:paraId="73F1F537" w14:textId="213B7CF6" w:rsidR="00907A35" w:rsidRPr="00781112" w:rsidRDefault="002B7490" w:rsidP="00E0321D">
            <w:pPr>
              <w:jc w:val="center"/>
              <w:rPr>
                <w:rFonts w:cs="Arial"/>
                <w:color w:val="000000" w:themeColor="text1"/>
                <w:szCs w:val="16"/>
              </w:rPr>
            </w:pPr>
            <w:r w:rsidRPr="00781112">
              <w:rPr>
                <w:rFonts w:cs="Arial"/>
                <w:color w:val="000000" w:themeColor="text1"/>
                <w:szCs w:val="16"/>
              </w:rPr>
              <w:t>22.97%</w:t>
            </w:r>
          </w:p>
        </w:tc>
        <w:tc>
          <w:tcPr>
            <w:tcW w:w="833" w:type="pct"/>
            <w:shd w:val="clear" w:color="auto" w:fill="auto"/>
            <w:vAlign w:val="center"/>
          </w:tcPr>
          <w:p w14:paraId="24592EED" w14:textId="5BE30DC5" w:rsidR="00907A35" w:rsidRPr="00781112" w:rsidRDefault="002B7490" w:rsidP="00E0321D">
            <w:pPr>
              <w:jc w:val="center"/>
              <w:rPr>
                <w:rFonts w:cs="Arial"/>
                <w:color w:val="000000" w:themeColor="text1"/>
                <w:szCs w:val="16"/>
              </w:rPr>
            </w:pPr>
            <w:r w:rsidRPr="00781112">
              <w:rPr>
                <w:rFonts w:cs="Arial"/>
                <w:color w:val="000000" w:themeColor="text1"/>
                <w:szCs w:val="16"/>
              </w:rPr>
              <w:t>23.75%</w:t>
            </w:r>
          </w:p>
        </w:tc>
        <w:tc>
          <w:tcPr>
            <w:tcW w:w="834" w:type="pct"/>
            <w:shd w:val="clear" w:color="auto" w:fill="auto"/>
            <w:vAlign w:val="center"/>
          </w:tcPr>
          <w:p w14:paraId="0C69FBF7" w14:textId="5FED7341" w:rsidR="00907A35" w:rsidRPr="00781112" w:rsidRDefault="002B7490" w:rsidP="00E0321D">
            <w:pPr>
              <w:jc w:val="center"/>
              <w:rPr>
                <w:rFonts w:cs="Arial"/>
                <w:color w:val="000000" w:themeColor="text1"/>
                <w:szCs w:val="16"/>
              </w:rPr>
            </w:pPr>
            <w:r w:rsidRPr="00781112">
              <w:rPr>
                <w:rFonts w:cs="Arial"/>
                <w:color w:val="000000" w:themeColor="text1"/>
                <w:szCs w:val="16"/>
              </w:rPr>
              <w:t>22.75%</w:t>
            </w:r>
          </w:p>
        </w:tc>
      </w:tr>
      <w:tr w:rsidR="005C29F8" w:rsidRPr="00781112" w14:paraId="06558B7E" w14:textId="77777777" w:rsidTr="00DF4C35">
        <w:trPr>
          <w:trHeight w:val="85"/>
        </w:trPr>
        <w:tc>
          <w:tcPr>
            <w:tcW w:w="833" w:type="pct"/>
            <w:shd w:val="clear" w:color="auto" w:fill="auto"/>
            <w:vAlign w:val="center"/>
          </w:tcPr>
          <w:p w14:paraId="1DE2074D" w14:textId="77777777" w:rsidR="00907A35" w:rsidRPr="00781112" w:rsidRDefault="00907A35"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033EDE68" w14:textId="28E51F4E" w:rsidR="00907A35" w:rsidRPr="00781112" w:rsidRDefault="002B7490" w:rsidP="00E0321D">
            <w:pPr>
              <w:jc w:val="center"/>
              <w:rPr>
                <w:rFonts w:cs="Arial"/>
                <w:color w:val="000000" w:themeColor="text1"/>
                <w:szCs w:val="16"/>
              </w:rPr>
            </w:pPr>
            <w:r w:rsidRPr="00781112">
              <w:rPr>
                <w:rFonts w:cs="Arial"/>
                <w:color w:val="000000" w:themeColor="text1"/>
                <w:szCs w:val="16"/>
              </w:rPr>
              <w:t>22.84%</w:t>
            </w:r>
          </w:p>
        </w:tc>
        <w:tc>
          <w:tcPr>
            <w:tcW w:w="833" w:type="pct"/>
            <w:shd w:val="clear" w:color="auto" w:fill="auto"/>
            <w:vAlign w:val="center"/>
          </w:tcPr>
          <w:p w14:paraId="1DE6EF8F" w14:textId="2C6399B2" w:rsidR="00907A35" w:rsidRPr="00781112" w:rsidRDefault="002B7490" w:rsidP="00E0321D">
            <w:pPr>
              <w:jc w:val="center"/>
              <w:rPr>
                <w:rFonts w:cs="Arial"/>
                <w:color w:val="000000" w:themeColor="text1"/>
                <w:szCs w:val="16"/>
              </w:rPr>
            </w:pPr>
            <w:r w:rsidRPr="00781112">
              <w:rPr>
                <w:rFonts w:cs="Arial"/>
                <w:color w:val="000000" w:themeColor="text1"/>
                <w:szCs w:val="16"/>
              </w:rPr>
              <w:t>25.79%</w:t>
            </w:r>
          </w:p>
        </w:tc>
        <w:tc>
          <w:tcPr>
            <w:tcW w:w="833" w:type="pct"/>
            <w:tcBorders>
              <w:bottom w:val="single" w:sz="4" w:space="0" w:color="auto"/>
            </w:tcBorders>
            <w:shd w:val="clear" w:color="auto" w:fill="auto"/>
            <w:vAlign w:val="center"/>
          </w:tcPr>
          <w:p w14:paraId="3F810822" w14:textId="70D15FEC" w:rsidR="00907A35" w:rsidRPr="00781112" w:rsidRDefault="002B7490" w:rsidP="00E0321D">
            <w:pPr>
              <w:jc w:val="center"/>
              <w:rPr>
                <w:rFonts w:cs="Arial"/>
                <w:color w:val="000000" w:themeColor="text1"/>
                <w:szCs w:val="16"/>
              </w:rPr>
            </w:pPr>
            <w:r w:rsidRPr="00781112">
              <w:rPr>
                <w:rFonts w:cs="Arial"/>
                <w:color w:val="000000" w:themeColor="text1"/>
                <w:szCs w:val="16"/>
              </w:rPr>
              <w:t>23.78%</w:t>
            </w:r>
          </w:p>
        </w:tc>
        <w:tc>
          <w:tcPr>
            <w:tcW w:w="833" w:type="pct"/>
            <w:tcBorders>
              <w:bottom w:val="single" w:sz="4" w:space="0" w:color="auto"/>
            </w:tcBorders>
            <w:shd w:val="clear" w:color="auto" w:fill="auto"/>
            <w:vAlign w:val="center"/>
          </w:tcPr>
          <w:p w14:paraId="5421E042" w14:textId="6AE010E9" w:rsidR="00907A35" w:rsidRPr="00781112" w:rsidRDefault="002B7490" w:rsidP="00E0321D">
            <w:pPr>
              <w:jc w:val="center"/>
              <w:rPr>
                <w:rFonts w:cs="Arial"/>
                <w:color w:val="000000" w:themeColor="text1"/>
                <w:szCs w:val="16"/>
              </w:rPr>
            </w:pPr>
            <w:r w:rsidRPr="00781112">
              <w:rPr>
                <w:rFonts w:cs="Arial"/>
                <w:color w:val="000000" w:themeColor="text1"/>
                <w:szCs w:val="16"/>
              </w:rPr>
              <w:t>10.57%</w:t>
            </w:r>
          </w:p>
        </w:tc>
        <w:tc>
          <w:tcPr>
            <w:tcW w:w="834" w:type="pct"/>
            <w:tcBorders>
              <w:bottom w:val="single" w:sz="4" w:space="0" w:color="auto"/>
            </w:tcBorders>
            <w:shd w:val="clear" w:color="auto" w:fill="auto"/>
            <w:vAlign w:val="center"/>
          </w:tcPr>
          <w:p w14:paraId="32A53100" w14:textId="125B9065" w:rsidR="00907A35" w:rsidRPr="00781112" w:rsidRDefault="002B7490" w:rsidP="00E0321D">
            <w:pPr>
              <w:jc w:val="center"/>
              <w:rPr>
                <w:rFonts w:cs="Arial"/>
                <w:color w:val="000000" w:themeColor="text1"/>
                <w:szCs w:val="16"/>
              </w:rPr>
            </w:pPr>
            <w:r w:rsidRPr="00781112">
              <w:rPr>
                <w:rFonts w:cs="Arial"/>
                <w:color w:val="000000" w:themeColor="text1"/>
                <w:szCs w:val="16"/>
              </w:rPr>
              <w:t>7.21%</w:t>
            </w:r>
          </w:p>
        </w:tc>
      </w:tr>
    </w:tbl>
    <w:p w14:paraId="2E8ED284" w14:textId="77777777" w:rsidR="00654A4B" w:rsidRPr="00781112" w:rsidRDefault="00654A4B" w:rsidP="004369B2">
      <w:pPr>
        <w:rPr>
          <w:color w:val="000000" w:themeColor="text1"/>
        </w:rPr>
      </w:pPr>
    </w:p>
    <w:p w14:paraId="1AD526FC" w14:textId="0D130AB7" w:rsidR="00907A35" w:rsidRPr="00781112" w:rsidRDefault="00907A35" w:rsidP="004369B2">
      <w:pPr>
        <w:rPr>
          <w:color w:val="000000" w:themeColor="text1"/>
        </w:rPr>
      </w:pPr>
      <w:r w:rsidRPr="00781112">
        <w:rPr>
          <w:b/>
          <w:color w:val="000000" w:themeColor="text1"/>
        </w:rPr>
        <w:t>Targets</w:t>
      </w:r>
    </w:p>
    <w:tbl>
      <w:tblPr>
        <w:tblW w:w="34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2TARGETS"/>
      </w:tblPr>
      <w:tblGrid>
        <w:gridCol w:w="733"/>
        <w:gridCol w:w="1677"/>
        <w:gridCol w:w="1677"/>
        <w:gridCol w:w="1677"/>
        <w:gridCol w:w="1675"/>
      </w:tblGrid>
      <w:tr w:rsidR="00BE7AF0" w:rsidRPr="00781112" w14:paraId="029A4CCE" w14:textId="7CD6FC1B" w:rsidTr="001A31FD">
        <w:trPr>
          <w:trHeight w:val="378"/>
        </w:trPr>
        <w:tc>
          <w:tcPr>
            <w:tcW w:w="493" w:type="pct"/>
            <w:tcBorders>
              <w:bottom w:val="single" w:sz="4" w:space="0" w:color="auto"/>
            </w:tcBorders>
            <w:shd w:val="clear" w:color="auto" w:fill="auto"/>
          </w:tcPr>
          <w:p w14:paraId="7E454C96" w14:textId="77777777" w:rsidR="00BE7AF0" w:rsidRPr="00781112" w:rsidRDefault="00BE7AF0" w:rsidP="00373F78">
            <w:pPr>
              <w:jc w:val="center"/>
              <w:rPr>
                <w:b/>
                <w:color w:val="000000" w:themeColor="text1"/>
              </w:rPr>
            </w:pPr>
            <w:r w:rsidRPr="00781112">
              <w:rPr>
                <w:b/>
                <w:color w:val="000000" w:themeColor="text1"/>
              </w:rPr>
              <w:t>FFY</w:t>
            </w:r>
          </w:p>
        </w:tc>
        <w:tc>
          <w:tcPr>
            <w:tcW w:w="1127" w:type="pct"/>
            <w:shd w:val="clear" w:color="auto" w:fill="auto"/>
            <w:vAlign w:val="center"/>
          </w:tcPr>
          <w:p w14:paraId="43981BCA" w14:textId="46BADE94" w:rsidR="00BE7AF0" w:rsidRPr="00781112" w:rsidRDefault="00BE7AF0" w:rsidP="00373F78">
            <w:pPr>
              <w:jc w:val="center"/>
              <w:rPr>
                <w:b/>
                <w:color w:val="000000" w:themeColor="text1"/>
              </w:rPr>
            </w:pPr>
            <w:r w:rsidRPr="00781112">
              <w:rPr>
                <w:b/>
                <w:color w:val="000000" w:themeColor="text1"/>
              </w:rPr>
              <w:t>2022</w:t>
            </w:r>
          </w:p>
        </w:tc>
        <w:tc>
          <w:tcPr>
            <w:tcW w:w="1127" w:type="pct"/>
          </w:tcPr>
          <w:p w14:paraId="5E92A3B3" w14:textId="014BC7EC" w:rsidR="00BE7AF0" w:rsidRPr="00781112" w:rsidRDefault="00BE7AF0" w:rsidP="00373F78">
            <w:pPr>
              <w:jc w:val="center"/>
              <w:rPr>
                <w:b/>
                <w:color w:val="000000" w:themeColor="text1"/>
              </w:rPr>
            </w:pPr>
            <w:r w:rsidRPr="00781112">
              <w:rPr>
                <w:rFonts w:cs="Arial"/>
                <w:b/>
                <w:color w:val="000000" w:themeColor="text1"/>
                <w:szCs w:val="16"/>
              </w:rPr>
              <w:t>2023</w:t>
            </w:r>
          </w:p>
        </w:tc>
        <w:tc>
          <w:tcPr>
            <w:tcW w:w="1127" w:type="pct"/>
          </w:tcPr>
          <w:p w14:paraId="3A9EE8AA" w14:textId="53416CB2" w:rsidR="00BE7AF0" w:rsidRPr="00781112" w:rsidRDefault="00BE7AF0" w:rsidP="00373F78">
            <w:pPr>
              <w:jc w:val="center"/>
              <w:rPr>
                <w:b/>
                <w:color w:val="000000" w:themeColor="text1"/>
              </w:rPr>
            </w:pPr>
            <w:r w:rsidRPr="00781112">
              <w:rPr>
                <w:rFonts w:cs="Arial"/>
                <w:b/>
                <w:color w:val="000000" w:themeColor="text1"/>
                <w:szCs w:val="16"/>
              </w:rPr>
              <w:t>2024</w:t>
            </w:r>
          </w:p>
        </w:tc>
        <w:tc>
          <w:tcPr>
            <w:tcW w:w="1127" w:type="pct"/>
          </w:tcPr>
          <w:p w14:paraId="7D50850A" w14:textId="0FF3B8D7" w:rsidR="00BE7AF0" w:rsidRPr="00781112" w:rsidRDefault="00BE7AF0" w:rsidP="00373F78">
            <w:pPr>
              <w:jc w:val="center"/>
              <w:rPr>
                <w:b/>
                <w:color w:val="000000" w:themeColor="text1"/>
              </w:rPr>
            </w:pPr>
            <w:r w:rsidRPr="00781112">
              <w:rPr>
                <w:rFonts w:cs="Arial"/>
                <w:b/>
                <w:color w:val="000000" w:themeColor="text1"/>
                <w:szCs w:val="16"/>
              </w:rPr>
              <w:t>2025</w:t>
            </w:r>
          </w:p>
        </w:tc>
      </w:tr>
      <w:tr w:rsidR="00BE7AF0" w:rsidRPr="00781112" w14:paraId="74AFE5A4" w14:textId="4CB3606D" w:rsidTr="001A31FD">
        <w:trPr>
          <w:trHeight w:val="386"/>
        </w:trPr>
        <w:tc>
          <w:tcPr>
            <w:tcW w:w="493" w:type="pct"/>
            <w:shd w:val="clear" w:color="auto" w:fill="auto"/>
            <w:vAlign w:val="center"/>
          </w:tcPr>
          <w:p w14:paraId="74812D09" w14:textId="3A67082C" w:rsidR="00BE7AF0" w:rsidRPr="00781112" w:rsidRDefault="00BE7AF0" w:rsidP="00BA3DBE">
            <w:pPr>
              <w:jc w:val="center"/>
              <w:rPr>
                <w:rFonts w:cs="Arial"/>
                <w:color w:val="000000" w:themeColor="text1"/>
                <w:szCs w:val="16"/>
              </w:rPr>
            </w:pPr>
            <w:r w:rsidRPr="00781112">
              <w:rPr>
                <w:rFonts w:cs="Arial"/>
                <w:color w:val="000000" w:themeColor="text1"/>
                <w:szCs w:val="16"/>
              </w:rPr>
              <w:t>Target &lt;=</w:t>
            </w:r>
          </w:p>
        </w:tc>
        <w:tc>
          <w:tcPr>
            <w:tcW w:w="1127" w:type="pct"/>
            <w:shd w:val="clear" w:color="auto" w:fill="auto"/>
            <w:vAlign w:val="center"/>
          </w:tcPr>
          <w:p w14:paraId="1AA9A6F0" w14:textId="23F8F955" w:rsidR="00BE7AF0" w:rsidRPr="00781112" w:rsidRDefault="00BE7AF0" w:rsidP="00373F78">
            <w:pPr>
              <w:jc w:val="center"/>
              <w:rPr>
                <w:rFonts w:cs="Arial"/>
                <w:color w:val="000000" w:themeColor="text1"/>
                <w:szCs w:val="16"/>
              </w:rPr>
            </w:pPr>
            <w:r w:rsidRPr="00781112">
              <w:rPr>
                <w:rFonts w:cs="Arial"/>
                <w:color w:val="000000" w:themeColor="text1"/>
                <w:szCs w:val="16"/>
              </w:rPr>
              <w:t>21.75%</w:t>
            </w:r>
          </w:p>
        </w:tc>
        <w:tc>
          <w:tcPr>
            <w:tcW w:w="1127" w:type="pct"/>
          </w:tcPr>
          <w:p w14:paraId="1887156F" w14:textId="2A53DFD8" w:rsidR="00BE7AF0" w:rsidRPr="00781112" w:rsidRDefault="00BE7AF0" w:rsidP="00373F78">
            <w:pPr>
              <w:jc w:val="center"/>
              <w:rPr>
                <w:rFonts w:cs="Arial"/>
                <w:color w:val="000000" w:themeColor="text1"/>
                <w:szCs w:val="16"/>
              </w:rPr>
            </w:pPr>
            <w:r w:rsidRPr="00781112">
              <w:rPr>
                <w:color w:val="000000" w:themeColor="text1"/>
                <w:szCs w:val="16"/>
              </w:rPr>
              <w:t>20.75%</w:t>
            </w:r>
          </w:p>
        </w:tc>
        <w:tc>
          <w:tcPr>
            <w:tcW w:w="1127" w:type="pct"/>
          </w:tcPr>
          <w:p w14:paraId="114E0304" w14:textId="3D4B66CA" w:rsidR="00BE7AF0" w:rsidRPr="00781112" w:rsidRDefault="00BE7AF0" w:rsidP="00373F78">
            <w:pPr>
              <w:jc w:val="center"/>
              <w:rPr>
                <w:rFonts w:cs="Arial"/>
                <w:color w:val="000000" w:themeColor="text1"/>
                <w:szCs w:val="16"/>
              </w:rPr>
            </w:pPr>
            <w:r w:rsidRPr="00781112">
              <w:rPr>
                <w:color w:val="000000" w:themeColor="text1"/>
                <w:szCs w:val="16"/>
              </w:rPr>
              <w:t>19.75%</w:t>
            </w:r>
          </w:p>
        </w:tc>
        <w:tc>
          <w:tcPr>
            <w:tcW w:w="1127" w:type="pct"/>
          </w:tcPr>
          <w:p w14:paraId="78D67310" w14:textId="6B7563FE" w:rsidR="00BE7AF0" w:rsidRPr="00781112" w:rsidRDefault="00BE7AF0" w:rsidP="00373F78">
            <w:pPr>
              <w:jc w:val="center"/>
              <w:rPr>
                <w:rFonts w:cs="Arial"/>
                <w:color w:val="000000" w:themeColor="text1"/>
                <w:szCs w:val="16"/>
              </w:rPr>
            </w:pPr>
            <w:r w:rsidRPr="00781112">
              <w:rPr>
                <w:color w:val="000000" w:themeColor="text1"/>
                <w:szCs w:val="16"/>
              </w:rPr>
              <w:t>18.75%</w:t>
            </w:r>
          </w:p>
        </w:tc>
      </w:tr>
    </w:tbl>
    <w:p w14:paraId="23C212C7" w14:textId="54B31D84" w:rsidR="002D145D" w:rsidRPr="00781112" w:rsidRDefault="002D145D">
      <w:pPr>
        <w:rPr>
          <w:b/>
          <w:color w:val="000000" w:themeColor="text1"/>
        </w:rPr>
      </w:pPr>
      <w:r w:rsidRPr="00781112">
        <w:rPr>
          <w:b/>
          <w:color w:val="000000" w:themeColor="text1"/>
        </w:rPr>
        <w:t>Targets: Description of Stakeholder Input</w:t>
      </w:r>
    </w:p>
    <w:p w14:paraId="713FE3D9" w14:textId="115A66E3" w:rsidR="0051170F" w:rsidRPr="00781112" w:rsidRDefault="0051170F" w:rsidP="004369B2">
      <w:pPr>
        <w:rPr>
          <w:rFonts w:cs="Arial"/>
          <w:color w:val="000000" w:themeColor="text1"/>
          <w:szCs w:val="16"/>
        </w:rPr>
      </w:pPr>
      <w:r w:rsidRPr="00781112">
        <w:rPr>
          <w:rFonts w:cs="Arial"/>
          <w:color w:val="000000" w:themeColor="text1"/>
          <w:szCs w:val="16"/>
        </w:rPr>
        <w:t>Mechanism for Broad Stakeholder Input:</w:t>
        <w:br/>
        <w:t xml:space="preserve">During FFY2022, the State held stakeholder meetings as the mechanism for soliciting broad stakeholder input on the State’s targets in the SPP/APR and any subsequent revisions. The meetings were held in-person for the first time following the COVID-19 pandemic. An online option was available for stakeholders that were not able to meet in person. In the meetings, Stakeholder groups reviewed the FFY2021 data, and the baselines and targets established for FFY 2020-2025. The groups analyzed the data to determine if established baselines and targets established in the prior year, were still an accurate depiction of the state’s performance trajectory. The meetings also allowed time for stakeholders to provide input on improvement strategies and progress for the SPP/APR indicators. The State also revised its methodology for Indicators 4a and 4b in which the information was shared with stakeholders and input was sought. In addition, the State also proposed a revised LEA annual determination rubric to include target indicators. The revised rubric will be used with FFY2023 LEA annual determinations and is consistent with the information in the OSEP Question and Answer document QA 23-01. </w:t>
        <w:br/>
        <w:t/>
        <w:br/>
        <w:t xml:space="preserve">Stakeholder meeting information including meeting logistics and presentations are available on the Special Education Division (SED) website for the public and any interested individual to access. Flyers were created and LEAs were asked to disseminate the information to their staff, parents, and students. The Parent Training Centers (PTCs) were asked to share the meeting information with parents including through social media. Other groups such as tribes, IDEA panel members, the State Special Education Ombud, and other parent advocacy groups were sent invitations to each of the meetings. </w:t>
        <w:br/>
        <w:t/>
        <w:br/>
        <w:t>Any stakeholder that wanted to provide feedback but could not attend the meetings, had an opportunity to do so. On the State’s stakeholder page, individuals can click on the link and share their input with the state staff by completing an input form. The feedback received from the website is also considered when making revisions and establishing targets.</w:t>
        <w:br/>
        <w:t/>
        <w:br/>
        <w:t>Feedback Summary:</w:t>
        <w:br/>
        <w:t>For Indicators 4a and 4b, the State’s methodology was proposed to be changed to meet OSEP requirements as indicated in the FFY2021, SPP/APR OSEP Responses and Required Actions. Stakeholders were presented with the new proposed methodology in which the cell size of 10 requirement was removed, the N size was reduced to 10 and a rate ratio of 3.0 was introduced. In comparison to the previous methodology, where a cell size and N size of 10 were required as well as a risk ratio of 1 percentage point above the state rate. Stakeholders had no objections or concerns with the new methodology. The State will use the new methodology to apply to the Indicator 4 data reported in this FFY2022 State Performance Plan/Annual Performance Report (SPP/APR).</w:t>
        <w:br/>
        <w:t/>
        <w:br/>
        <w:t>Indicator 17, State Systemic Improvement Plan:</w:t>
        <w:br/>
        <w:t xml:space="preserve">1. ECLIPSE program coordinators presented data and program updates to the state IDEA Panel (members include parents, advocates, state staff, and educators) during the 2022-2023 school year. IDEA panel members were engaged in the ECLIPSE program presentation on Indicator 17 and updates. An ECLIPSE panel committee provided qualitative feedback via a Google Form survey. The panel members conveyed the program is making progress in improving literacy outcomes forward for students with disabilities. Recommendations included increasing parental involvement and increased awareness of the program's successes. </w:t>
        <w:br/>
        <w:t>2. A virtual ECLIPSE stakeholder meeting was held during the 2022-2023 school year. Stakeholders in attendance included the ECLIPSE staff, Regional Education Cooperative (REC) coordinators, Special Education Directors, and ECLIPSE school principals. Stakeholders in attendance were provided with ECLIPSE program details for the upcoming school year and verbal feedback about the ECLIPSE Program at the end of the meeting.</w:t>
        <w:br/>
        <w:t xml:space="preserve">3. Parent engagement stakeholder meetings were held in-person and through online platforms where they were provided direct literacy training via hands-on activities. If the meeting was online, materials were provided to the schools prior to the meeting. The Regional Education Cooperative (REC) contractors provided materials, activities, and training to parents in-person. The REC initiated Google Pre and Post surveys following the trainings and it indicated that the level of understanding to support reading at home increased. Parental understanding of what the predicator of reading success was increased dramatically between pre and post surveys. A summary of parent comments included that the engagement sessions provided a lot of great information, it was a fun learning experience, and they looked forward to future meetings. </w:t>
        <w:br/>
        <w:t xml:space="preserve">4. The ECLIPSE staff initiated surveys during 2022-2023 to principals and teachers through Google Forms survey. Teachers showed dramatic increases in their knowledge of the incorporation of engagement strategies with their students due to their coaches. In a pre-survey, administrators listed that professional development on literacy is one of the greatest needs of the teachers they support. They also stated that time and equitable feedback were areas of administrative need. </w:t>
        <w:br/>
        <w:t>5. An online end of year survey was sent to all ECLIPSE stakeholders as the 2022-2023 school year ended. The main consensus from the survey supported the ongoing development of the program to illustrate its impact so adjustments can be made to better inform ourselves and our stakeholders of progress.</w:t>
      </w:r>
    </w:p>
    <w:p w14:paraId="1646393A" w14:textId="2F9E8E4A" w:rsidR="002D145D" w:rsidRPr="00781112" w:rsidRDefault="002B7490" w:rsidP="002D145D">
      <w:pPr>
        <w:rPr>
          <w:rFonts w:cs="Arial"/>
          <w:color w:val="000000" w:themeColor="text1"/>
          <w:szCs w:val="16"/>
        </w:rPr>
      </w:pPr>
      <w:r w:rsidRPr="00781112">
        <w:rPr>
          <w:rFonts w:cs="Arial"/>
          <w:color w:val="000000" w:themeColor="text1"/>
          <w:szCs w:val="16"/>
        </w:rPr>
        <w:t/>
      </w:r>
    </w:p>
    <w:p w14:paraId="68E34693" w14:textId="382EE918" w:rsidR="00002962" w:rsidRPr="00781112" w:rsidRDefault="00002962" w:rsidP="004369B2">
      <w:pPr>
        <w:rPr>
          <w:color w:val="000000" w:themeColor="text1"/>
        </w:rPr>
      </w:pPr>
      <w:r w:rsidRPr="00781112">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2PREPOPDATA"/>
      </w:tblPr>
      <w:tblGrid>
        <w:gridCol w:w="2164"/>
        <w:gridCol w:w="2130"/>
        <w:gridCol w:w="4929"/>
        <w:gridCol w:w="1567"/>
      </w:tblGrid>
      <w:tr w:rsidR="005C29F8" w:rsidRPr="00781112" w14:paraId="60D7260E" w14:textId="77777777" w:rsidTr="0011161A">
        <w:trPr>
          <w:trHeight w:val="372"/>
          <w:tblHeader/>
        </w:trPr>
        <w:tc>
          <w:tcPr>
            <w:tcW w:w="1003" w:type="pct"/>
            <w:shd w:val="clear" w:color="auto" w:fill="auto"/>
          </w:tcPr>
          <w:p w14:paraId="7217614C" w14:textId="77777777" w:rsidR="001D55EC" w:rsidRPr="00781112" w:rsidRDefault="001D55EC" w:rsidP="000B4AA4">
            <w:pPr>
              <w:spacing w:after="0"/>
              <w:jc w:val="center"/>
              <w:rPr>
                <w:rFonts w:cs="Arial"/>
                <w:b/>
                <w:color w:val="000000" w:themeColor="text1"/>
                <w:szCs w:val="16"/>
              </w:rPr>
            </w:pPr>
            <w:r w:rsidRPr="00781112">
              <w:rPr>
                <w:rFonts w:cs="Arial"/>
                <w:b/>
                <w:color w:val="000000" w:themeColor="text1"/>
                <w:szCs w:val="16"/>
              </w:rPr>
              <w:t>Source</w:t>
            </w:r>
          </w:p>
        </w:tc>
        <w:tc>
          <w:tcPr>
            <w:tcW w:w="987" w:type="pct"/>
            <w:shd w:val="clear" w:color="auto" w:fill="auto"/>
          </w:tcPr>
          <w:p w14:paraId="05FC9008" w14:textId="77777777" w:rsidR="001D55EC" w:rsidRPr="00781112" w:rsidRDefault="001D55EC" w:rsidP="000B4AA4">
            <w:pPr>
              <w:spacing w:after="0"/>
              <w:jc w:val="center"/>
              <w:rPr>
                <w:rFonts w:cs="Arial"/>
                <w:b/>
                <w:color w:val="000000" w:themeColor="text1"/>
                <w:szCs w:val="16"/>
              </w:rPr>
            </w:pPr>
            <w:r w:rsidRPr="00781112">
              <w:rPr>
                <w:rFonts w:cs="Arial"/>
                <w:b/>
                <w:color w:val="000000" w:themeColor="text1"/>
                <w:szCs w:val="16"/>
              </w:rPr>
              <w:t>Date</w:t>
            </w:r>
          </w:p>
        </w:tc>
        <w:tc>
          <w:tcPr>
            <w:tcW w:w="2284" w:type="pct"/>
            <w:shd w:val="clear" w:color="auto" w:fill="auto"/>
          </w:tcPr>
          <w:p w14:paraId="452E3A47" w14:textId="77777777" w:rsidR="001D55EC" w:rsidRPr="00781112" w:rsidRDefault="001D55EC" w:rsidP="000B4AA4">
            <w:pPr>
              <w:spacing w:after="0"/>
              <w:jc w:val="center"/>
              <w:rPr>
                <w:rFonts w:cs="Arial"/>
                <w:b/>
                <w:color w:val="000000" w:themeColor="text1"/>
                <w:szCs w:val="16"/>
              </w:rPr>
            </w:pPr>
            <w:r w:rsidRPr="00781112">
              <w:rPr>
                <w:rFonts w:cs="Arial"/>
                <w:b/>
                <w:color w:val="000000" w:themeColor="text1"/>
                <w:szCs w:val="16"/>
              </w:rPr>
              <w:t>Description</w:t>
            </w:r>
          </w:p>
        </w:tc>
        <w:tc>
          <w:tcPr>
            <w:tcW w:w="726" w:type="pct"/>
            <w:shd w:val="clear" w:color="auto" w:fill="auto"/>
          </w:tcPr>
          <w:p w14:paraId="197E988D" w14:textId="77777777" w:rsidR="001D55EC" w:rsidRPr="00781112" w:rsidRDefault="001D55EC" w:rsidP="000B4AA4">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20549B53" w14:textId="77777777" w:rsidTr="0011161A">
        <w:trPr>
          <w:trHeight w:val="380"/>
        </w:trPr>
        <w:tc>
          <w:tcPr>
            <w:tcW w:w="1003" w:type="pct"/>
            <w:shd w:val="clear" w:color="auto" w:fill="auto"/>
          </w:tcPr>
          <w:p w14:paraId="38DBE1E5" w14:textId="4B654FBA" w:rsidR="001D55EC" w:rsidRPr="00781112" w:rsidRDefault="008A2533" w:rsidP="00A018D4">
            <w:pPr>
              <w:jc w:val="center"/>
              <w:rPr>
                <w:rFonts w:cs="Arial"/>
                <w:color w:val="000000" w:themeColor="text1"/>
                <w:szCs w:val="16"/>
              </w:rPr>
            </w:pPr>
            <w:r w:rsidRPr="00781112">
              <w:rPr>
                <w:rFonts w:cs="Arial"/>
                <w:color w:val="000000" w:themeColor="text1"/>
                <w:szCs w:val="16"/>
              </w:rPr>
              <w:t>SY 2021-22 Exiting Data Groups (EDFacts file spec FS009; Data Group 85)</w:t>
            </w:r>
          </w:p>
        </w:tc>
        <w:tc>
          <w:tcPr>
            <w:tcW w:w="987" w:type="pct"/>
            <w:shd w:val="clear" w:color="auto" w:fill="auto"/>
          </w:tcPr>
          <w:p w14:paraId="6675DCDD" w14:textId="08B07A76" w:rsidR="001D55EC" w:rsidRPr="00781112" w:rsidRDefault="008A2533" w:rsidP="00A018D4">
            <w:pPr>
              <w:jc w:val="center"/>
              <w:rPr>
                <w:rFonts w:cs="Arial"/>
                <w:color w:val="000000" w:themeColor="text1"/>
                <w:szCs w:val="16"/>
              </w:rPr>
            </w:pPr>
            <w:r w:rsidRPr="00781112">
              <w:rPr>
                <w:rFonts w:cs="Arial"/>
                <w:color w:val="000000" w:themeColor="text1"/>
                <w:szCs w:val="16"/>
              </w:rPr>
              <w:t>05/24/2023</w:t>
            </w:r>
          </w:p>
        </w:tc>
        <w:tc>
          <w:tcPr>
            <w:tcW w:w="2284" w:type="pct"/>
            <w:shd w:val="clear" w:color="auto" w:fill="auto"/>
          </w:tcPr>
          <w:p w14:paraId="52A6FFD9" w14:textId="722CDF17" w:rsidR="001D55EC" w:rsidRPr="00781112" w:rsidRDefault="00E619AC" w:rsidP="001D55EC">
            <w:pPr>
              <w:rPr>
                <w:rFonts w:cs="Arial"/>
                <w:color w:val="000000" w:themeColor="text1"/>
                <w:szCs w:val="16"/>
              </w:rPr>
            </w:pPr>
            <w:r w:rsidRPr="00781112">
              <w:rPr>
                <w:rFonts w:cs="Arial"/>
                <w:color w:val="000000" w:themeColor="text1"/>
                <w:szCs w:val="16"/>
              </w:rPr>
              <w:t>Number of youth with IEPs (ages 14-21) who exited special education by graduating with a regular high school diploma (a)</w:t>
            </w:r>
          </w:p>
        </w:tc>
        <w:tc>
          <w:tcPr>
            <w:tcW w:w="726" w:type="pct"/>
            <w:shd w:val="clear" w:color="auto" w:fill="auto"/>
          </w:tcPr>
          <w:p w14:paraId="6BB20172" w14:textId="20DA3C25" w:rsidR="001D55EC" w:rsidRPr="00781112" w:rsidRDefault="002B7490" w:rsidP="00A018D4">
            <w:pPr>
              <w:jc w:val="center"/>
              <w:rPr>
                <w:rFonts w:cs="Arial"/>
                <w:color w:val="000000" w:themeColor="text1"/>
                <w:szCs w:val="16"/>
              </w:rPr>
            </w:pPr>
            <w:r w:rsidRPr="00781112">
              <w:rPr>
                <w:rFonts w:cs="Arial"/>
                <w:color w:val="000000" w:themeColor="text1"/>
                <w:szCs w:val="16"/>
              </w:rPr>
              <w:t>2,020</w:t>
            </w:r>
          </w:p>
        </w:tc>
      </w:tr>
      <w:tr w:rsidR="00FE0F05" w:rsidRPr="00781112" w14:paraId="442FFC23" w14:textId="77777777" w:rsidTr="0011161A">
        <w:trPr>
          <w:trHeight w:val="380"/>
        </w:trPr>
        <w:tc>
          <w:tcPr>
            <w:tcW w:w="1003" w:type="pct"/>
            <w:shd w:val="clear" w:color="auto" w:fill="auto"/>
          </w:tcPr>
          <w:p w14:paraId="6CF34AAB" w14:textId="0F679619" w:rsidR="00FE0F05" w:rsidRPr="00781112" w:rsidRDefault="00FE0F05" w:rsidP="00FE0F05">
            <w:pPr>
              <w:jc w:val="center"/>
              <w:rPr>
                <w:rFonts w:cs="Arial"/>
                <w:color w:val="000000" w:themeColor="text1"/>
                <w:szCs w:val="16"/>
              </w:rPr>
            </w:pPr>
            <w:r w:rsidRPr="00781112">
              <w:rPr>
                <w:rFonts w:cs="Arial"/>
                <w:color w:val="000000" w:themeColor="text1"/>
                <w:szCs w:val="16"/>
              </w:rPr>
              <w:t>SY 2021-22 Exiting Data Groups (EDFacts file spec FS009; Data Group 85)</w:t>
            </w:r>
          </w:p>
        </w:tc>
        <w:tc>
          <w:tcPr>
            <w:tcW w:w="987" w:type="pct"/>
            <w:shd w:val="clear" w:color="auto" w:fill="auto"/>
          </w:tcPr>
          <w:p w14:paraId="4C847D87" w14:textId="13F5F6DB" w:rsidR="00FE0F05" w:rsidRPr="00781112" w:rsidRDefault="00FE0F05" w:rsidP="00FE0F05">
            <w:pPr>
              <w:jc w:val="center"/>
              <w:rPr>
                <w:rFonts w:cs="Arial"/>
                <w:color w:val="000000" w:themeColor="text1"/>
                <w:szCs w:val="16"/>
              </w:rPr>
            </w:pPr>
            <w:r w:rsidRPr="00781112">
              <w:rPr>
                <w:rFonts w:cs="Arial"/>
                <w:color w:val="000000" w:themeColor="text1"/>
                <w:szCs w:val="16"/>
              </w:rPr>
              <w:t>05/24/2023</w:t>
            </w:r>
          </w:p>
        </w:tc>
        <w:tc>
          <w:tcPr>
            <w:tcW w:w="2284" w:type="pct"/>
            <w:shd w:val="clear" w:color="auto" w:fill="auto"/>
          </w:tcPr>
          <w:p w14:paraId="11D0842E" w14:textId="2246C25A" w:rsidR="00FE0F05" w:rsidRPr="00781112" w:rsidRDefault="00FE0F05" w:rsidP="00FE0F05">
            <w:pPr>
              <w:rPr>
                <w:rFonts w:cs="Arial"/>
                <w:color w:val="000000" w:themeColor="text1"/>
                <w:szCs w:val="16"/>
              </w:rPr>
            </w:pPr>
            <w:r w:rsidRPr="00781112">
              <w:rPr>
                <w:rFonts w:cs="Arial"/>
                <w:szCs w:val="16"/>
              </w:rPr>
              <w:t>Number of youth with IEPs (ages 14-21) who exited special education by graduating with a state-defined alternate diploma (b)</w:t>
            </w:r>
          </w:p>
        </w:tc>
        <w:tc>
          <w:tcPr>
            <w:tcW w:w="726" w:type="pct"/>
            <w:shd w:val="clear" w:color="auto" w:fill="auto"/>
          </w:tcPr>
          <w:p w14:paraId="076B8DEA" w14:textId="2D1A3AE9" w:rsidR="00FE0F05" w:rsidRPr="00781112" w:rsidRDefault="00FE0F05" w:rsidP="00FE0F05">
            <w:pPr>
              <w:jc w:val="center"/>
              <w:rPr>
                <w:rFonts w:cs="Arial"/>
                <w:color w:val="000000" w:themeColor="text1"/>
                <w:szCs w:val="16"/>
              </w:rPr>
            </w:pPr>
            <w:r w:rsidRPr="00781112">
              <w:rPr>
                <w:rFonts w:cs="Arial"/>
                <w:color w:val="000000" w:themeColor="text1"/>
                <w:szCs w:val="16"/>
              </w:rPr>
              <w:t/>
            </w:r>
          </w:p>
        </w:tc>
      </w:tr>
      <w:tr w:rsidR="0011161A" w:rsidRPr="00781112" w14:paraId="7531005B" w14:textId="77777777" w:rsidTr="0011161A">
        <w:trPr>
          <w:trHeight w:val="380"/>
        </w:trPr>
        <w:tc>
          <w:tcPr>
            <w:tcW w:w="1003" w:type="pct"/>
            <w:shd w:val="clear" w:color="auto" w:fill="auto"/>
          </w:tcPr>
          <w:p w14:paraId="68D79338" w14:textId="7556C19A" w:rsidR="0011161A" w:rsidRPr="00781112" w:rsidRDefault="0011161A" w:rsidP="0011161A">
            <w:pPr>
              <w:jc w:val="center"/>
              <w:rPr>
                <w:rFonts w:cs="Arial"/>
                <w:color w:val="000000" w:themeColor="text1"/>
                <w:szCs w:val="16"/>
              </w:rPr>
            </w:pPr>
            <w:r w:rsidRPr="00781112">
              <w:rPr>
                <w:rFonts w:cs="Arial"/>
                <w:color w:val="000000" w:themeColor="text1"/>
                <w:szCs w:val="16"/>
              </w:rPr>
              <w:t>SY 2021-22 Exiting Data Groups (EDFacts file spec FS009; Data Group 85)</w:t>
            </w:r>
          </w:p>
        </w:tc>
        <w:tc>
          <w:tcPr>
            <w:tcW w:w="987" w:type="pct"/>
            <w:shd w:val="clear" w:color="auto" w:fill="auto"/>
          </w:tcPr>
          <w:p w14:paraId="3137C3E8" w14:textId="1C4E2EC1" w:rsidR="0011161A" w:rsidRPr="00781112" w:rsidRDefault="0011161A" w:rsidP="0011161A">
            <w:pPr>
              <w:jc w:val="center"/>
              <w:rPr>
                <w:rFonts w:cs="Arial"/>
                <w:color w:val="000000" w:themeColor="text1"/>
                <w:szCs w:val="16"/>
              </w:rPr>
            </w:pPr>
            <w:r w:rsidRPr="00781112">
              <w:rPr>
                <w:rFonts w:cs="Arial"/>
                <w:color w:val="000000" w:themeColor="text1"/>
                <w:szCs w:val="16"/>
              </w:rPr>
              <w:t>05/24/2023</w:t>
            </w:r>
          </w:p>
        </w:tc>
        <w:tc>
          <w:tcPr>
            <w:tcW w:w="2284" w:type="pct"/>
            <w:shd w:val="clear" w:color="auto" w:fill="auto"/>
          </w:tcPr>
          <w:p w14:paraId="436358B9" w14:textId="1F75CF67" w:rsidR="0011161A" w:rsidRPr="00781112" w:rsidRDefault="0011161A" w:rsidP="0011161A">
            <w:pPr>
              <w:rPr>
                <w:rFonts w:cs="Arial"/>
                <w:color w:val="000000" w:themeColor="text1"/>
                <w:szCs w:val="16"/>
              </w:rPr>
            </w:pPr>
            <w:r w:rsidRPr="00781112">
              <w:rPr>
                <w:rFonts w:cs="Arial"/>
                <w:color w:val="000000" w:themeColor="text1"/>
                <w:szCs w:val="16"/>
              </w:rPr>
              <w:t>Number of youth with IEPs (ages 14-21) who exited special education by receiving a certificate (c)</w:t>
            </w:r>
          </w:p>
        </w:tc>
        <w:tc>
          <w:tcPr>
            <w:tcW w:w="726" w:type="pct"/>
            <w:shd w:val="clear" w:color="auto" w:fill="auto"/>
          </w:tcPr>
          <w:p w14:paraId="554F88F2" w14:textId="623A3342" w:rsidR="0011161A" w:rsidRPr="00781112" w:rsidRDefault="0011161A" w:rsidP="0011161A">
            <w:pPr>
              <w:jc w:val="center"/>
              <w:rPr>
                <w:rFonts w:cs="Arial"/>
                <w:color w:val="000000" w:themeColor="text1"/>
                <w:szCs w:val="16"/>
              </w:rPr>
            </w:pPr>
            <w:r w:rsidRPr="00781112">
              <w:rPr>
                <w:rFonts w:cs="Arial"/>
                <w:color w:val="000000" w:themeColor="text1"/>
                <w:szCs w:val="16"/>
              </w:rPr>
              <w:t>0</w:t>
            </w:r>
          </w:p>
        </w:tc>
      </w:tr>
      <w:tr w:rsidR="0011161A" w:rsidRPr="00781112" w14:paraId="56B284E9" w14:textId="77777777" w:rsidTr="0011161A">
        <w:trPr>
          <w:trHeight w:val="380"/>
        </w:trPr>
        <w:tc>
          <w:tcPr>
            <w:tcW w:w="1003" w:type="pct"/>
            <w:shd w:val="clear" w:color="auto" w:fill="auto"/>
          </w:tcPr>
          <w:p w14:paraId="73E78D27" w14:textId="6A11D514" w:rsidR="0011161A" w:rsidRPr="00781112" w:rsidRDefault="0011161A" w:rsidP="0011161A">
            <w:pPr>
              <w:jc w:val="center"/>
              <w:rPr>
                <w:rFonts w:cs="Arial"/>
                <w:color w:val="000000" w:themeColor="text1"/>
                <w:szCs w:val="16"/>
              </w:rPr>
            </w:pPr>
            <w:r w:rsidRPr="00781112">
              <w:rPr>
                <w:rFonts w:cs="Arial"/>
                <w:color w:val="000000" w:themeColor="text1"/>
                <w:szCs w:val="16"/>
              </w:rPr>
              <w:t>SY 2021-22 Exiting Data Groups (EDFacts file spec FS009; Data Group 85)</w:t>
            </w:r>
          </w:p>
        </w:tc>
        <w:tc>
          <w:tcPr>
            <w:tcW w:w="987" w:type="pct"/>
            <w:shd w:val="clear" w:color="auto" w:fill="auto"/>
          </w:tcPr>
          <w:p w14:paraId="151F192A" w14:textId="492844E5" w:rsidR="0011161A" w:rsidRPr="00781112" w:rsidRDefault="0011161A" w:rsidP="0011161A">
            <w:pPr>
              <w:jc w:val="center"/>
              <w:rPr>
                <w:rFonts w:cs="Arial"/>
                <w:color w:val="000000" w:themeColor="text1"/>
                <w:szCs w:val="16"/>
              </w:rPr>
            </w:pPr>
            <w:r w:rsidRPr="00781112">
              <w:rPr>
                <w:rFonts w:cs="Arial"/>
                <w:color w:val="000000" w:themeColor="text1"/>
                <w:szCs w:val="16"/>
              </w:rPr>
              <w:t>05/24/2023</w:t>
            </w:r>
          </w:p>
        </w:tc>
        <w:tc>
          <w:tcPr>
            <w:tcW w:w="2284" w:type="pct"/>
            <w:shd w:val="clear" w:color="auto" w:fill="auto"/>
          </w:tcPr>
          <w:p w14:paraId="65152DCF" w14:textId="4124B416" w:rsidR="0011161A" w:rsidRPr="00781112" w:rsidRDefault="0011161A" w:rsidP="0011161A">
            <w:pPr>
              <w:rPr>
                <w:rFonts w:cs="Arial"/>
                <w:color w:val="000000" w:themeColor="text1"/>
                <w:szCs w:val="16"/>
              </w:rPr>
            </w:pPr>
            <w:r w:rsidRPr="00781112">
              <w:rPr>
                <w:rFonts w:cs="Arial"/>
                <w:color w:val="000000" w:themeColor="text1"/>
                <w:szCs w:val="16"/>
              </w:rPr>
              <w:t>Number of youth with IEPs (ages 14-21) who exited special education by reaching maximum age (d)</w:t>
            </w:r>
          </w:p>
        </w:tc>
        <w:tc>
          <w:tcPr>
            <w:tcW w:w="726" w:type="pct"/>
            <w:shd w:val="clear" w:color="auto" w:fill="auto"/>
          </w:tcPr>
          <w:p w14:paraId="788B37F6" w14:textId="1E312572" w:rsidR="0011161A" w:rsidRPr="00781112" w:rsidRDefault="0011161A" w:rsidP="0011161A">
            <w:pPr>
              <w:jc w:val="center"/>
              <w:rPr>
                <w:rFonts w:cs="Arial"/>
                <w:color w:val="000000" w:themeColor="text1"/>
                <w:szCs w:val="16"/>
              </w:rPr>
            </w:pPr>
            <w:r w:rsidRPr="00781112">
              <w:rPr>
                <w:rFonts w:cs="Arial"/>
                <w:color w:val="000000" w:themeColor="text1"/>
                <w:szCs w:val="16"/>
              </w:rPr>
              <w:t>13</w:t>
            </w:r>
          </w:p>
        </w:tc>
      </w:tr>
      <w:tr w:rsidR="005C29F8" w:rsidRPr="00781112" w14:paraId="245FE023" w14:textId="77777777" w:rsidTr="0011161A">
        <w:trPr>
          <w:trHeight w:val="380"/>
        </w:trPr>
        <w:tc>
          <w:tcPr>
            <w:tcW w:w="1003" w:type="pct"/>
            <w:shd w:val="clear" w:color="auto" w:fill="auto"/>
          </w:tcPr>
          <w:p w14:paraId="67B529F8" w14:textId="28E7DCDC" w:rsidR="00C470E8" w:rsidRPr="00781112" w:rsidRDefault="008A2533" w:rsidP="00A018D4">
            <w:pPr>
              <w:jc w:val="center"/>
              <w:rPr>
                <w:rFonts w:cs="Arial"/>
                <w:color w:val="000000" w:themeColor="text1"/>
                <w:szCs w:val="16"/>
              </w:rPr>
            </w:pPr>
            <w:r w:rsidRPr="00781112">
              <w:rPr>
                <w:rFonts w:cs="Arial"/>
                <w:color w:val="000000" w:themeColor="text1"/>
                <w:szCs w:val="16"/>
              </w:rPr>
              <w:t>SY 2021-22 Exiting Data Groups (EDFacts file spec FS009; Data Group 85)</w:t>
            </w:r>
          </w:p>
        </w:tc>
        <w:tc>
          <w:tcPr>
            <w:tcW w:w="987" w:type="pct"/>
            <w:shd w:val="clear" w:color="auto" w:fill="auto"/>
          </w:tcPr>
          <w:p w14:paraId="2C17EFE7" w14:textId="6210AB54" w:rsidR="00C470E8" w:rsidRPr="00781112" w:rsidRDefault="008A2533" w:rsidP="00A018D4">
            <w:pPr>
              <w:jc w:val="center"/>
              <w:rPr>
                <w:rFonts w:cs="Arial"/>
                <w:color w:val="000000" w:themeColor="text1"/>
                <w:szCs w:val="16"/>
              </w:rPr>
            </w:pPr>
            <w:r w:rsidRPr="00781112">
              <w:rPr>
                <w:rFonts w:cs="Arial"/>
                <w:color w:val="000000" w:themeColor="text1"/>
                <w:szCs w:val="16"/>
              </w:rPr>
              <w:t>05/24/2023</w:t>
            </w:r>
          </w:p>
        </w:tc>
        <w:tc>
          <w:tcPr>
            <w:tcW w:w="2284" w:type="pct"/>
            <w:shd w:val="clear" w:color="auto" w:fill="auto"/>
          </w:tcPr>
          <w:p w14:paraId="2D5B3E78" w14:textId="5F9109CF" w:rsidR="00C470E8" w:rsidRPr="00781112" w:rsidRDefault="00C470E8" w:rsidP="00C470E8">
            <w:pPr>
              <w:rPr>
                <w:rFonts w:cs="Arial"/>
                <w:color w:val="000000" w:themeColor="text1"/>
                <w:szCs w:val="16"/>
              </w:rPr>
            </w:pPr>
            <w:r w:rsidRPr="00781112">
              <w:rPr>
                <w:rFonts w:cs="Arial"/>
                <w:color w:val="000000" w:themeColor="text1"/>
                <w:szCs w:val="16"/>
              </w:rPr>
              <w:t>Number of youth with IEPs (ages 14-21) who exited special education due to dropping out (e)</w:t>
            </w:r>
          </w:p>
        </w:tc>
        <w:tc>
          <w:tcPr>
            <w:tcW w:w="726" w:type="pct"/>
            <w:shd w:val="clear" w:color="auto" w:fill="auto"/>
          </w:tcPr>
          <w:p w14:paraId="20785B5C" w14:textId="176AF317" w:rsidR="00C470E8" w:rsidRPr="00781112" w:rsidRDefault="00FE0F05" w:rsidP="00A018D4">
            <w:pPr>
              <w:jc w:val="center"/>
              <w:rPr>
                <w:rFonts w:cs="Arial"/>
                <w:color w:val="000000" w:themeColor="text1"/>
                <w:szCs w:val="16"/>
              </w:rPr>
            </w:pPr>
            <w:r w:rsidRPr="00781112">
              <w:rPr>
                <w:rFonts w:cs="Arial"/>
                <w:color w:val="000000" w:themeColor="text1"/>
                <w:szCs w:val="16"/>
              </w:rPr>
              <w:t>794</w:t>
            </w:r>
          </w:p>
        </w:tc>
      </w:tr>
    </w:tbl>
    <w:p w14:paraId="7CE42756" w14:textId="445D9372" w:rsidR="00654A4B" w:rsidRPr="00781112" w:rsidRDefault="00654A4B" w:rsidP="004369B2">
      <w:pPr>
        <w:rPr>
          <w:color w:val="000000" w:themeColor="text1"/>
        </w:rPr>
      </w:pPr>
    </w:p>
    <w:p w14:paraId="4463AFB2" w14:textId="2D3D5B16" w:rsidR="00C96339" w:rsidRPr="00781112" w:rsidRDefault="0047313F" w:rsidP="004369B2">
      <w:pPr>
        <w:rPr>
          <w:color w:val="000000" w:themeColor="text1"/>
        </w:rPr>
      </w:pPr>
      <w:r>
        <w:rPr>
          <w:b/>
          <w:color w:val="000000" w:themeColor="text1"/>
        </w:rPr>
        <w:t xml:space="preserve">FFY 2022 SPP/APR Data </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2CFFYAPRDATAOPT1"/>
      </w:tblPr>
      <w:tblGrid>
        <w:gridCol w:w="1528"/>
        <w:gridCol w:w="1506"/>
        <w:gridCol w:w="1367"/>
        <w:gridCol w:w="2088"/>
        <w:gridCol w:w="1229"/>
        <w:gridCol w:w="1564"/>
        <w:gridCol w:w="1513"/>
      </w:tblGrid>
      <w:tr w:rsidR="0047313F" w:rsidRPr="00781112" w14:paraId="5C4D1C2F" w14:textId="77777777" w:rsidTr="004D0044">
        <w:trPr>
          <w:trHeight w:val="359"/>
          <w:tblHeader/>
        </w:trPr>
        <w:tc>
          <w:tcPr>
            <w:tcW w:w="708" w:type="pct"/>
            <w:shd w:val="clear" w:color="auto" w:fill="auto"/>
            <w:vAlign w:val="bottom"/>
          </w:tcPr>
          <w:p w14:paraId="3F5808F2" w14:textId="257E84C8" w:rsidR="0047313F" w:rsidRPr="00781112" w:rsidRDefault="0047313F" w:rsidP="0047313F">
            <w:pPr>
              <w:jc w:val="center"/>
              <w:rPr>
                <w:rFonts w:cs="Arial"/>
                <w:b/>
                <w:color w:val="000000" w:themeColor="text1"/>
                <w:szCs w:val="16"/>
              </w:rPr>
            </w:pPr>
            <w:r w:rsidRPr="00781112">
              <w:rPr>
                <w:rFonts w:cs="Arial"/>
                <w:b/>
                <w:color w:val="000000" w:themeColor="text1"/>
                <w:szCs w:val="16"/>
              </w:rPr>
              <w:lastRenderedPageBreak/>
              <w:t>Number of youth with IEPs (ages 14-21) who exited special education due to dropping out</w:t>
            </w:r>
          </w:p>
        </w:tc>
        <w:tc>
          <w:tcPr>
            <w:tcW w:w="698" w:type="pct"/>
            <w:shd w:val="clear" w:color="auto" w:fill="auto"/>
            <w:vAlign w:val="bottom"/>
          </w:tcPr>
          <w:p w14:paraId="2F5BF81E" w14:textId="25314F83" w:rsidR="0047313F" w:rsidRPr="00781112" w:rsidRDefault="0047313F" w:rsidP="0047313F">
            <w:pPr>
              <w:jc w:val="center"/>
              <w:rPr>
                <w:rFonts w:cs="Arial"/>
                <w:color w:val="000000" w:themeColor="text1"/>
                <w:szCs w:val="16"/>
              </w:rPr>
            </w:pPr>
            <w:r w:rsidRPr="008137CC">
              <w:rPr>
                <w:rFonts w:cs="Arial"/>
                <w:b/>
                <w:color w:val="000000" w:themeColor="text1"/>
                <w:szCs w:val="16"/>
              </w:rPr>
              <w:t xml:space="preserve">Number of all youth with IEPs who exited special education (ages 14-21)  </w:t>
            </w:r>
          </w:p>
        </w:tc>
        <w:tc>
          <w:tcPr>
            <w:tcW w:w="633" w:type="pct"/>
            <w:shd w:val="clear" w:color="auto" w:fill="auto"/>
            <w:vAlign w:val="bottom"/>
          </w:tcPr>
          <w:p w14:paraId="764A6652" w14:textId="25DC1F8E" w:rsidR="0047313F" w:rsidRPr="00073BD7" w:rsidRDefault="0047313F" w:rsidP="0047313F">
            <w:pPr>
              <w:jc w:val="center"/>
              <w:rPr>
                <w:rFonts w:cs="Arial"/>
                <w:b/>
                <w:bCs/>
                <w:color w:val="000000" w:themeColor="text1"/>
                <w:szCs w:val="16"/>
              </w:rPr>
            </w:pPr>
            <w:r w:rsidRPr="00073BD7">
              <w:rPr>
                <w:b/>
                <w:bCs/>
              </w:rPr>
              <w:t>FFY 2021 Data</w:t>
            </w:r>
          </w:p>
        </w:tc>
        <w:tc>
          <w:tcPr>
            <w:tcW w:w="967" w:type="pct"/>
            <w:shd w:val="clear" w:color="auto" w:fill="auto"/>
            <w:vAlign w:val="bottom"/>
          </w:tcPr>
          <w:p w14:paraId="1F444650" w14:textId="08B345C8" w:rsidR="0047313F" w:rsidRPr="00073BD7" w:rsidRDefault="0047313F" w:rsidP="0047313F">
            <w:pPr>
              <w:jc w:val="center"/>
              <w:rPr>
                <w:rFonts w:cs="Arial"/>
                <w:b/>
                <w:bCs/>
                <w:color w:val="000000" w:themeColor="text1"/>
                <w:szCs w:val="16"/>
              </w:rPr>
            </w:pPr>
            <w:r w:rsidRPr="00073BD7">
              <w:rPr>
                <w:b/>
                <w:bCs/>
              </w:rPr>
              <w:t>FFY 2022 Target</w:t>
            </w:r>
          </w:p>
        </w:tc>
        <w:tc>
          <w:tcPr>
            <w:tcW w:w="569" w:type="pct"/>
            <w:shd w:val="clear" w:color="auto" w:fill="auto"/>
            <w:vAlign w:val="bottom"/>
          </w:tcPr>
          <w:p w14:paraId="194A1B8B" w14:textId="6088D02A" w:rsidR="0047313F" w:rsidRPr="00073BD7" w:rsidRDefault="0047313F" w:rsidP="0047313F">
            <w:pPr>
              <w:jc w:val="center"/>
              <w:rPr>
                <w:rFonts w:cs="Arial"/>
                <w:b/>
                <w:bCs/>
                <w:color w:val="000000" w:themeColor="text1"/>
                <w:szCs w:val="16"/>
              </w:rPr>
            </w:pPr>
            <w:r w:rsidRPr="00073BD7">
              <w:rPr>
                <w:b/>
                <w:bCs/>
              </w:rPr>
              <w:t>FFY 2022 Data</w:t>
            </w:r>
          </w:p>
        </w:tc>
        <w:tc>
          <w:tcPr>
            <w:tcW w:w="724" w:type="pct"/>
            <w:shd w:val="clear" w:color="auto" w:fill="auto"/>
            <w:vAlign w:val="bottom"/>
          </w:tcPr>
          <w:p w14:paraId="4B0F6AFA" w14:textId="77777777" w:rsidR="0047313F" w:rsidRPr="00781112" w:rsidRDefault="0047313F" w:rsidP="0047313F">
            <w:pPr>
              <w:jc w:val="center"/>
              <w:rPr>
                <w:rFonts w:cs="Arial"/>
                <w:b/>
                <w:color w:val="000000" w:themeColor="text1"/>
                <w:szCs w:val="16"/>
              </w:rPr>
            </w:pPr>
            <w:r w:rsidRPr="00781112">
              <w:rPr>
                <w:rFonts w:cs="Arial"/>
                <w:b/>
                <w:color w:val="000000" w:themeColor="text1"/>
                <w:szCs w:val="16"/>
              </w:rPr>
              <w:t>Status</w:t>
            </w:r>
          </w:p>
        </w:tc>
        <w:tc>
          <w:tcPr>
            <w:tcW w:w="701" w:type="pct"/>
            <w:shd w:val="clear" w:color="auto" w:fill="auto"/>
            <w:vAlign w:val="bottom"/>
          </w:tcPr>
          <w:p w14:paraId="2987DD9A" w14:textId="77777777" w:rsidR="0047313F" w:rsidRPr="00781112" w:rsidRDefault="0047313F" w:rsidP="0047313F">
            <w:pPr>
              <w:jc w:val="center"/>
              <w:rPr>
                <w:rFonts w:cs="Arial"/>
                <w:b/>
                <w:color w:val="000000" w:themeColor="text1"/>
                <w:szCs w:val="16"/>
              </w:rPr>
            </w:pPr>
            <w:r w:rsidRPr="00781112">
              <w:rPr>
                <w:rFonts w:cs="Arial"/>
                <w:b/>
                <w:color w:val="000000" w:themeColor="text1"/>
                <w:szCs w:val="16"/>
              </w:rPr>
              <w:t>Slippage</w:t>
            </w:r>
          </w:p>
        </w:tc>
      </w:tr>
      <w:tr w:rsidR="005C29F8" w:rsidRPr="00781112" w14:paraId="2928907F" w14:textId="77777777" w:rsidTr="004D0044">
        <w:trPr>
          <w:trHeight w:val="366"/>
        </w:trPr>
        <w:tc>
          <w:tcPr>
            <w:tcW w:w="708" w:type="pct"/>
            <w:shd w:val="clear" w:color="auto" w:fill="auto"/>
            <w:vAlign w:val="center"/>
          </w:tcPr>
          <w:p w14:paraId="153F1C9B" w14:textId="5227014D" w:rsidR="00C96339" w:rsidRPr="00781112" w:rsidRDefault="002B7490" w:rsidP="00A018D4">
            <w:pPr>
              <w:jc w:val="center"/>
              <w:rPr>
                <w:rFonts w:cs="Arial"/>
                <w:color w:val="000000" w:themeColor="text1"/>
                <w:szCs w:val="16"/>
              </w:rPr>
            </w:pPr>
            <w:r w:rsidRPr="00781112">
              <w:rPr>
                <w:rFonts w:cs="Arial"/>
                <w:color w:val="000000" w:themeColor="text1"/>
                <w:szCs w:val="16"/>
              </w:rPr>
              <w:t>794</w:t>
            </w:r>
          </w:p>
        </w:tc>
        <w:tc>
          <w:tcPr>
            <w:tcW w:w="698" w:type="pct"/>
            <w:shd w:val="clear" w:color="auto" w:fill="auto"/>
            <w:vAlign w:val="center"/>
          </w:tcPr>
          <w:p w14:paraId="31391E82" w14:textId="0E0F2A0A" w:rsidR="00C96339" w:rsidRPr="00781112" w:rsidRDefault="002B7490" w:rsidP="00A018D4">
            <w:pPr>
              <w:jc w:val="center"/>
              <w:rPr>
                <w:rFonts w:cs="Arial"/>
                <w:color w:val="000000" w:themeColor="text1"/>
                <w:szCs w:val="16"/>
              </w:rPr>
            </w:pPr>
            <w:r w:rsidRPr="00781112">
              <w:rPr>
                <w:rFonts w:cs="Arial"/>
                <w:color w:val="000000" w:themeColor="text1"/>
                <w:szCs w:val="16"/>
              </w:rPr>
              <w:t>2,827</w:t>
            </w:r>
          </w:p>
        </w:tc>
        <w:tc>
          <w:tcPr>
            <w:tcW w:w="633" w:type="pct"/>
            <w:shd w:val="clear" w:color="auto" w:fill="auto"/>
          </w:tcPr>
          <w:p w14:paraId="77541D8A" w14:textId="254EC6F2" w:rsidR="00C96339" w:rsidRPr="00781112" w:rsidRDefault="002B7490" w:rsidP="00A018D4">
            <w:pPr>
              <w:jc w:val="center"/>
              <w:rPr>
                <w:rFonts w:cs="Arial"/>
                <w:color w:val="000000" w:themeColor="text1"/>
                <w:szCs w:val="16"/>
              </w:rPr>
            </w:pPr>
            <w:r w:rsidRPr="00781112">
              <w:rPr>
                <w:rFonts w:cs="Arial"/>
                <w:color w:val="000000" w:themeColor="text1"/>
                <w:szCs w:val="16"/>
              </w:rPr>
              <w:t>7.21%</w:t>
            </w:r>
          </w:p>
        </w:tc>
        <w:tc>
          <w:tcPr>
            <w:tcW w:w="967" w:type="pct"/>
            <w:shd w:val="clear" w:color="auto" w:fill="auto"/>
          </w:tcPr>
          <w:p w14:paraId="70FE3FCD" w14:textId="1A7F9FE0" w:rsidR="00C96339" w:rsidRPr="00781112" w:rsidRDefault="002B7490" w:rsidP="00A018D4">
            <w:pPr>
              <w:jc w:val="center"/>
              <w:rPr>
                <w:rFonts w:cs="Arial"/>
                <w:color w:val="000000" w:themeColor="text1"/>
                <w:szCs w:val="16"/>
              </w:rPr>
            </w:pPr>
            <w:r w:rsidRPr="00781112">
              <w:rPr>
                <w:rFonts w:cs="Arial"/>
                <w:color w:val="000000" w:themeColor="text1"/>
                <w:szCs w:val="16"/>
              </w:rPr>
              <w:t>21.75%</w:t>
            </w:r>
          </w:p>
        </w:tc>
        <w:tc>
          <w:tcPr>
            <w:tcW w:w="569" w:type="pct"/>
            <w:shd w:val="clear" w:color="auto" w:fill="auto"/>
          </w:tcPr>
          <w:p w14:paraId="64E2814C" w14:textId="135DB5EE" w:rsidR="00C96339" w:rsidRPr="00781112" w:rsidRDefault="002B7490" w:rsidP="00A018D4">
            <w:pPr>
              <w:jc w:val="center"/>
              <w:rPr>
                <w:rFonts w:cs="Arial"/>
                <w:color w:val="000000" w:themeColor="text1"/>
                <w:szCs w:val="16"/>
              </w:rPr>
            </w:pPr>
            <w:r w:rsidRPr="00781112">
              <w:rPr>
                <w:rFonts w:cs="Arial"/>
                <w:color w:val="000000" w:themeColor="text1"/>
                <w:szCs w:val="16"/>
              </w:rPr>
              <w:t>28.09%</w:t>
            </w:r>
          </w:p>
        </w:tc>
        <w:tc>
          <w:tcPr>
            <w:tcW w:w="724" w:type="pct"/>
            <w:shd w:val="clear" w:color="auto" w:fill="auto"/>
          </w:tcPr>
          <w:p w14:paraId="60873B1E" w14:textId="3A0A0AC5" w:rsidR="00C96339"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701" w:type="pct"/>
            <w:shd w:val="clear" w:color="auto" w:fill="auto"/>
          </w:tcPr>
          <w:p w14:paraId="3EF3C710" w14:textId="04969BC1" w:rsidR="00C96339" w:rsidRPr="00781112" w:rsidRDefault="002B7490" w:rsidP="00A018D4">
            <w:pPr>
              <w:jc w:val="center"/>
              <w:rPr>
                <w:rFonts w:cs="Arial"/>
                <w:color w:val="000000" w:themeColor="text1"/>
                <w:szCs w:val="16"/>
              </w:rPr>
            </w:pPr>
            <w:r w:rsidRPr="00781112">
              <w:rPr>
                <w:rFonts w:cs="Arial"/>
                <w:color w:val="000000" w:themeColor="text1"/>
                <w:szCs w:val="16"/>
              </w:rPr>
              <w:t>Slippage</w:t>
            </w:r>
          </w:p>
        </w:tc>
      </w:tr>
    </w:tbl>
    <w:p w14:paraId="58B37962" w14:textId="5B766A62" w:rsidR="000336AC" w:rsidRPr="00781112" w:rsidRDefault="00A869E9" w:rsidP="004369B2">
      <w:pPr>
        <w:rPr>
          <w:b/>
          <w:color w:val="000000" w:themeColor="text1"/>
        </w:rPr>
      </w:pPr>
      <w:r w:rsidRPr="00781112">
        <w:rPr>
          <w:b/>
          <w:color w:val="000000" w:themeColor="text1"/>
        </w:rPr>
        <w:t>Provide reasons for slippage, if applicable</w:t>
      </w:r>
    </w:p>
    <w:p w14:paraId="28607D64" w14:textId="1BA39541" w:rsidR="00A869E9" w:rsidRPr="00781112" w:rsidRDefault="002B7490" w:rsidP="000E33D0">
      <w:pPr>
        <w:rPr>
          <w:rFonts w:cs="Arial"/>
          <w:color w:val="000000" w:themeColor="text1"/>
          <w:szCs w:val="16"/>
          <w:shd w:val="clear" w:color="auto" w:fill="FFFFFF"/>
        </w:rPr>
      </w:pPr>
      <w:r w:rsidRPr="00781112">
        <w:rPr>
          <w:rFonts w:cs="Arial"/>
          <w:color w:val="000000" w:themeColor="text1"/>
          <w:szCs w:val="16"/>
          <w:shd w:val="clear" w:color="auto" w:fill="FFFFFF"/>
        </w:rPr>
        <w:t>Following the COVID-19 pandemic, LEAs experienced difficulties in getting students to return back to school.  In addition, many families choose to homeschool their students instead of immediately returning to the classroom.  As a result, LEAs reported students who did not return as dropouts. Therefore, the State experienced a large increase in the total number of students reported as dropouts.</w:t>
      </w:r>
    </w:p>
    <w:p w14:paraId="27A2EAFB" w14:textId="5DAAB5B0" w:rsidR="00A87A9D" w:rsidRPr="00781112" w:rsidRDefault="0083500D" w:rsidP="00552927">
      <w:pPr>
        <w:rPr>
          <w:rFonts w:cs="Arial"/>
          <w:b/>
          <w:color w:val="000000" w:themeColor="text1"/>
          <w:szCs w:val="16"/>
        </w:rPr>
      </w:pPr>
      <w:r w:rsidRPr="00781112">
        <w:rPr>
          <w:rFonts w:cs="Arial"/>
          <w:b/>
          <w:color w:val="000000" w:themeColor="text1"/>
          <w:szCs w:val="16"/>
        </w:rPr>
        <w:t>Provide a narrative that describes what counts as dropping out for all youth</w:t>
      </w:r>
    </w:p>
    <w:p w14:paraId="32A15CDA" w14:textId="3CA05678" w:rsidR="00A869E9" w:rsidRPr="00781112" w:rsidRDefault="002B7490" w:rsidP="000E33D0">
      <w:pPr>
        <w:rPr>
          <w:rFonts w:cs="Arial"/>
          <w:color w:val="000000" w:themeColor="text1"/>
          <w:szCs w:val="16"/>
          <w:shd w:val="clear" w:color="auto" w:fill="FFFFFF"/>
        </w:rPr>
      </w:pPr>
      <w:r w:rsidRPr="00781112">
        <w:rPr>
          <w:rFonts w:cs="Arial"/>
          <w:color w:val="000000" w:themeColor="text1"/>
          <w:szCs w:val="16"/>
          <w:shd w:val="clear" w:color="auto" w:fill="FFFFFF"/>
        </w:rPr>
        <w:t>The New Mexico Administrative Code (NMAC), 6.29.1.9(K)(13)(j), Procedural Requirements defines a dropout as a student who does not return to complete the program of study.</w:t>
        <w:br/>
        <w:t/>
        <w:br/>
        <w:t>For data collection purposes, the state includes students in the following categories as a dropout: dropouts, runaways, GED recipients (in New Mexico students are required to drop out of the secondary educational program in order to pursue the GED certificate), expulsions, status unknown, students who moved and are not known to be continuing in another educational program, and other students who exited from special education without a valid exit reason.</w:t>
      </w:r>
    </w:p>
    <w:p w14:paraId="6E220BF0" w14:textId="157218DF" w:rsidR="00DD051F" w:rsidRPr="00781112" w:rsidRDefault="00DD051F" w:rsidP="000E33D0">
      <w:pPr>
        <w:rPr>
          <w:rFonts w:cs="Arial"/>
          <w:b/>
          <w:color w:val="000000" w:themeColor="text1"/>
          <w:szCs w:val="16"/>
        </w:rPr>
      </w:pPr>
      <w:r w:rsidRPr="00781112">
        <w:rPr>
          <w:rFonts w:cs="Arial"/>
          <w:b/>
          <w:color w:val="000000" w:themeColor="text1"/>
          <w:szCs w:val="16"/>
        </w:rPr>
        <w:t>Is there a difference in what counts as dropping out for youth with IEPs? (yes/no)</w:t>
      </w:r>
    </w:p>
    <w:p w14:paraId="5530CE18" w14:textId="2E8B8BC5" w:rsidR="00DD051F" w:rsidRPr="00781112" w:rsidRDefault="00DD051F" w:rsidP="000E33D0">
      <w:pPr>
        <w:rPr>
          <w:rFonts w:cs="Arial"/>
          <w:color w:val="000000" w:themeColor="text1"/>
          <w:szCs w:val="16"/>
        </w:rPr>
      </w:pPr>
      <w:r w:rsidRPr="00781112">
        <w:rPr>
          <w:rFonts w:cs="Arial"/>
          <w:color w:val="000000" w:themeColor="text1"/>
          <w:szCs w:val="16"/>
        </w:rPr>
        <w:t>NO</w:t>
      </w:r>
    </w:p>
    <w:p w14:paraId="4903B3F9" w14:textId="50D12777" w:rsidR="00E418E6" w:rsidRPr="00781112" w:rsidRDefault="00B7068F" w:rsidP="004369B2">
      <w:pPr>
        <w:rPr>
          <w:b/>
          <w:color w:val="000000" w:themeColor="text1"/>
        </w:rPr>
      </w:pPr>
      <w:r w:rsidRPr="00781112">
        <w:rPr>
          <w:b/>
          <w:color w:val="000000" w:themeColor="text1"/>
        </w:rPr>
        <w:t>If yes, explain the difference in what counts as dropping out for youth with IEPs.</w:t>
      </w:r>
    </w:p>
    <w:p w14:paraId="79A7C25A" w14:textId="1EDF1407" w:rsidR="00A869E9" w:rsidRPr="00781112" w:rsidRDefault="002B7490" w:rsidP="000E33D0">
      <w:pPr>
        <w:rPr>
          <w:rFonts w:cs="Arial"/>
          <w:color w:val="000000" w:themeColor="text1"/>
          <w:szCs w:val="16"/>
          <w:shd w:val="clear" w:color="auto" w:fill="FFFFFF"/>
        </w:rPr>
      </w:pPr>
      <w:r w:rsidRPr="00781112">
        <w:rPr>
          <w:rFonts w:cs="Arial"/>
          <w:color w:val="000000" w:themeColor="text1"/>
          <w:szCs w:val="16"/>
          <w:shd w:val="clear" w:color="auto" w:fill="FFFFFF"/>
        </w:rPr>
        <w:t/>
      </w:r>
    </w:p>
    <w:p w14:paraId="44F7B282" w14:textId="77777777" w:rsidR="00F56834" w:rsidRPr="00781112" w:rsidRDefault="00F56834" w:rsidP="004369B2">
      <w:pPr>
        <w:rPr>
          <w:b/>
          <w:color w:val="000000" w:themeColor="text1"/>
        </w:rPr>
      </w:pPr>
      <w:bookmarkStart w:id="13" w:name="_Toc382082362"/>
      <w:bookmarkStart w:id="14" w:name="_Toc392159270"/>
      <w:bookmarkStart w:id="15" w:name="_Toc365403651"/>
      <w:r w:rsidRPr="00781112">
        <w:rPr>
          <w:b/>
          <w:color w:val="000000" w:themeColor="text1"/>
        </w:rPr>
        <w:t>Provide additional information about this indicator (optional)</w:t>
      </w:r>
    </w:p>
    <w:p w14:paraId="4492AB5A" w14:textId="63C5DA7E" w:rsidR="00A869E9" w:rsidRPr="00781112" w:rsidRDefault="002B7490" w:rsidP="000E33D0">
      <w:pPr>
        <w:rPr>
          <w:rFonts w:cs="Arial"/>
          <w:color w:val="000000" w:themeColor="text1"/>
          <w:szCs w:val="16"/>
        </w:rPr>
      </w:pPr>
      <w:r w:rsidRPr="00781112">
        <w:rPr>
          <w:rFonts w:cs="Arial"/>
          <w:color w:val="000000" w:themeColor="text1"/>
          <w:szCs w:val="16"/>
          <w:shd w:val="clear" w:color="auto" w:fill="FFFFFF"/>
        </w:rPr>
        <w:t/>
      </w:r>
    </w:p>
    <w:p w14:paraId="6E187388" w14:textId="724EF642" w:rsidR="000A2C83" w:rsidRPr="00781112" w:rsidRDefault="00F914B4" w:rsidP="008645AD">
      <w:pPr>
        <w:pStyle w:val="Heading2"/>
      </w:pPr>
      <w:r w:rsidRPr="00781112">
        <w:t>2</w:t>
      </w:r>
      <w:r w:rsidR="00684B51" w:rsidRPr="00781112">
        <w:t xml:space="preserve"> </w:t>
      </w:r>
      <w:r w:rsidRPr="00781112">
        <w:t xml:space="preserve">- </w:t>
      </w:r>
      <w:r w:rsidR="000A2C83" w:rsidRPr="00781112">
        <w:t>Prior FFY Required Actions</w:t>
      </w:r>
    </w:p>
    <w:p w14:paraId="3B152B02" w14:textId="0A6719CC" w:rsidR="000A2C83" w:rsidRPr="00781112" w:rsidRDefault="002B7490" w:rsidP="000A2C83">
      <w:pPr>
        <w:rPr>
          <w:rFonts w:cs="Arial"/>
          <w:color w:val="000000" w:themeColor="text1"/>
          <w:szCs w:val="16"/>
        </w:rPr>
      </w:pPr>
      <w:r w:rsidRPr="00781112">
        <w:rPr>
          <w:rFonts w:cs="Arial"/>
          <w:color w:val="000000" w:themeColor="text1"/>
          <w:szCs w:val="16"/>
        </w:rPr>
        <w:t>None</w:t>
      </w:r>
    </w:p>
    <w:p w14:paraId="7896DD52" w14:textId="585814D8" w:rsidR="00DD051F" w:rsidRPr="00781112" w:rsidRDefault="00DD051F" w:rsidP="000A2C83">
      <w:pPr>
        <w:rPr>
          <w:rFonts w:cs="Arial"/>
          <w:color w:val="000000" w:themeColor="text1"/>
          <w:szCs w:val="16"/>
        </w:rPr>
      </w:pPr>
    </w:p>
    <w:p w14:paraId="306FF021" w14:textId="5A4A312B" w:rsidR="00F56834" w:rsidRPr="00781112" w:rsidRDefault="000D2287" w:rsidP="008645AD">
      <w:pPr>
        <w:pStyle w:val="Heading2"/>
      </w:pPr>
      <w:r w:rsidRPr="00781112">
        <w:t>2</w:t>
      </w:r>
      <w:r w:rsidR="00684B51" w:rsidRPr="00781112">
        <w:t xml:space="preserve"> </w:t>
      </w:r>
      <w:r w:rsidRPr="00781112">
        <w:t xml:space="preserve">- </w:t>
      </w:r>
      <w:r w:rsidR="00F56834" w:rsidRPr="00781112">
        <w:t>OSEP Response</w:t>
      </w:r>
    </w:p>
    <w:p w14:paraId="079F48D0" w14:textId="5CDDFF24" w:rsidR="00A869E9" w:rsidRPr="00781112" w:rsidRDefault="002B7490" w:rsidP="001F692C">
      <w:pPr>
        <w:rPr>
          <w:rFonts w:cs="Arial"/>
          <w:color w:val="000000" w:themeColor="text1"/>
          <w:szCs w:val="16"/>
        </w:rPr>
      </w:pPr>
      <w:r w:rsidRPr="00781112">
        <w:rPr>
          <w:rFonts w:cs="Arial"/>
          <w:color w:val="000000" w:themeColor="text1"/>
          <w:szCs w:val="16"/>
          <w:shd w:val="clear" w:color="auto" w:fill="FFFFFF"/>
        </w:rPr>
        <w:t/>
      </w:r>
    </w:p>
    <w:p w14:paraId="6A1E3D87" w14:textId="6B4D2DBD" w:rsidR="00F56834" w:rsidRPr="00781112" w:rsidRDefault="000105C5" w:rsidP="008645AD">
      <w:pPr>
        <w:pStyle w:val="Heading2"/>
      </w:pPr>
      <w:r w:rsidRPr="00781112">
        <w:t>2 - Required Actions</w:t>
      </w:r>
    </w:p>
    <w:p w14:paraId="6C7960E7" w14:textId="06463459" w:rsidR="00A869E9" w:rsidRPr="00781112" w:rsidRDefault="002B7490" w:rsidP="001F692C">
      <w:pPr>
        <w:rPr>
          <w:rFonts w:cs="Arial"/>
          <w:color w:val="000000" w:themeColor="text1"/>
          <w:szCs w:val="16"/>
        </w:rPr>
      </w:pPr>
      <w:r w:rsidRPr="00781112">
        <w:rPr>
          <w:rFonts w:cs="Arial"/>
          <w:color w:val="000000" w:themeColor="text1"/>
          <w:szCs w:val="16"/>
          <w:shd w:val="clear" w:color="auto" w:fill="FFFFFF"/>
        </w:rPr>
        <w:t/>
      </w:r>
    </w:p>
    <w:p w14:paraId="735D3BB6" w14:textId="20B8192A" w:rsidR="00553A47" w:rsidRPr="00781112" w:rsidRDefault="00D37BF0" w:rsidP="00553A47">
      <w:pPr>
        <w:pStyle w:val="Heading1"/>
        <w:rPr>
          <w:color w:val="000000" w:themeColor="text1"/>
          <w:sz w:val="22"/>
        </w:rPr>
      </w:pPr>
      <w:r w:rsidRPr="00781112">
        <w:rPr>
          <w:color w:val="000000" w:themeColor="text1"/>
          <w:szCs w:val="16"/>
        </w:rPr>
        <w:br w:type="page"/>
      </w:r>
      <w:r w:rsidR="00553A47" w:rsidRPr="00781112">
        <w:rPr>
          <w:color w:val="000000" w:themeColor="text1"/>
          <w:sz w:val="22"/>
        </w:rPr>
        <w:lastRenderedPageBreak/>
        <w:t>Indicator 3A: Participation for Children with IEPs</w:t>
      </w:r>
    </w:p>
    <w:p w14:paraId="5AC89D57" w14:textId="77777777" w:rsidR="00553A47" w:rsidRPr="00781112" w:rsidRDefault="00553A47" w:rsidP="00553A47">
      <w:pPr>
        <w:rPr>
          <w:color w:val="000000" w:themeColor="text1"/>
          <w:szCs w:val="20"/>
        </w:rPr>
      </w:pPr>
      <w:r w:rsidRPr="00781112">
        <w:rPr>
          <w:b/>
          <w:color w:val="000000" w:themeColor="text1"/>
          <w:sz w:val="20"/>
          <w:szCs w:val="20"/>
        </w:rPr>
        <w:t>Instructions and Measurement</w:t>
      </w:r>
    </w:p>
    <w:p w14:paraId="5D4905EB" w14:textId="77777777" w:rsidR="00553A47" w:rsidRPr="00781112" w:rsidRDefault="00553A47" w:rsidP="00553A47">
      <w:pPr>
        <w:rPr>
          <w:color w:val="000000" w:themeColor="text1"/>
        </w:rPr>
      </w:pPr>
      <w:r w:rsidRPr="00781112">
        <w:rPr>
          <w:b/>
          <w:color w:val="000000" w:themeColor="text1"/>
        </w:rPr>
        <w:t>Monitoring Priority:</w:t>
      </w:r>
      <w:r w:rsidRPr="00781112">
        <w:rPr>
          <w:color w:val="000000" w:themeColor="text1"/>
        </w:rPr>
        <w:t xml:space="preserve"> FAPE in the LRE</w:t>
      </w:r>
    </w:p>
    <w:p w14:paraId="5574F71D" w14:textId="77777777" w:rsidR="00553A47" w:rsidRPr="00781112" w:rsidRDefault="00553A47" w:rsidP="00553A47">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Participation and performance of children with IEPs on statewide assessments:</w:t>
      </w:r>
    </w:p>
    <w:p w14:paraId="0338FF36" w14:textId="39B31752" w:rsidR="00553A47" w:rsidRPr="00781112" w:rsidRDefault="00553A47" w:rsidP="00553A47">
      <w:pPr>
        <w:ind w:firstLine="720"/>
        <w:rPr>
          <w:rFonts w:cs="Arial"/>
          <w:color w:val="000000" w:themeColor="text1"/>
          <w:szCs w:val="16"/>
        </w:rPr>
      </w:pPr>
      <w:r w:rsidRPr="00781112">
        <w:rPr>
          <w:rFonts w:cs="Arial"/>
          <w:color w:val="000000" w:themeColor="text1"/>
          <w:szCs w:val="16"/>
        </w:rPr>
        <w:t>A. Participation rate for children with IEPs.</w:t>
      </w:r>
    </w:p>
    <w:p w14:paraId="3CA36EC5" w14:textId="078762D9" w:rsidR="00553A47" w:rsidRPr="00781112" w:rsidRDefault="00553A47" w:rsidP="00553A47">
      <w:pPr>
        <w:ind w:firstLine="720"/>
        <w:rPr>
          <w:rFonts w:cs="Arial"/>
          <w:color w:val="000000" w:themeColor="text1"/>
          <w:szCs w:val="16"/>
        </w:rPr>
      </w:pPr>
      <w:r w:rsidRPr="00781112">
        <w:rPr>
          <w:rFonts w:cs="Arial"/>
          <w:color w:val="000000" w:themeColor="text1"/>
          <w:szCs w:val="16"/>
        </w:rPr>
        <w:t xml:space="preserve">B. </w:t>
      </w:r>
      <w:r w:rsidR="001A2D6A" w:rsidRPr="00781112">
        <w:rPr>
          <w:rFonts w:cs="Arial"/>
          <w:szCs w:val="16"/>
        </w:rPr>
        <w:t>Proficiency rate for children with IEPs against grade level academic achievement standards.</w:t>
      </w:r>
    </w:p>
    <w:p w14:paraId="64DD3F3A" w14:textId="04853D07" w:rsidR="00553A47" w:rsidRPr="00781112" w:rsidRDefault="00553A47" w:rsidP="00553A47">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14:paraId="0682F204" w14:textId="1717FB60" w:rsidR="00EB7555" w:rsidRPr="00781112" w:rsidRDefault="00EB7555" w:rsidP="00553A47">
      <w:pPr>
        <w:ind w:firstLine="720"/>
        <w:rPr>
          <w:rFonts w:cs="Arial"/>
          <w:color w:val="000000" w:themeColor="text1"/>
          <w:szCs w:val="16"/>
        </w:rPr>
      </w:pPr>
      <w:r w:rsidRPr="00781112">
        <w:rPr>
          <w:rFonts w:cs="Arial"/>
          <w:color w:val="000000" w:themeColor="text1"/>
          <w:szCs w:val="16"/>
        </w:rPr>
        <w:t>D.</w:t>
      </w:r>
      <w:r w:rsidR="00943CE1" w:rsidRPr="00781112">
        <w:rPr>
          <w:rFonts w:cs="Arial"/>
          <w:szCs w:val="16"/>
        </w:rPr>
        <w:t xml:space="preserve"> Gap in proficiency rates for children with IEPs and all students against grade level academic achievement standards.</w:t>
      </w:r>
    </w:p>
    <w:p w14:paraId="16CF85BD" w14:textId="77777777" w:rsidR="00553A47" w:rsidRPr="00781112" w:rsidRDefault="00553A47" w:rsidP="00553A47">
      <w:pPr>
        <w:rPr>
          <w:rFonts w:cs="Arial"/>
          <w:color w:val="000000" w:themeColor="text1"/>
          <w:szCs w:val="16"/>
        </w:rPr>
      </w:pPr>
      <w:r w:rsidRPr="00781112">
        <w:rPr>
          <w:rFonts w:cs="Arial"/>
          <w:color w:val="000000" w:themeColor="text1"/>
          <w:szCs w:val="16"/>
        </w:rPr>
        <w:t>(20 U.S.C. 1416 (a)(3)(A))</w:t>
      </w:r>
    </w:p>
    <w:p w14:paraId="324A6C31" w14:textId="77777777" w:rsidR="00553A47" w:rsidRPr="00781112" w:rsidRDefault="00553A47" w:rsidP="00553A47">
      <w:pPr>
        <w:rPr>
          <w:color w:val="000000" w:themeColor="text1"/>
        </w:rPr>
      </w:pPr>
      <w:r w:rsidRPr="00781112">
        <w:rPr>
          <w:b/>
          <w:color w:val="000000" w:themeColor="text1"/>
        </w:rPr>
        <w:t>Data Source</w:t>
      </w:r>
    </w:p>
    <w:p w14:paraId="6C25670B" w14:textId="158BF188" w:rsidR="00553A47" w:rsidRPr="00781112" w:rsidRDefault="00553A47" w:rsidP="00553A47">
      <w:pPr>
        <w:rPr>
          <w:rFonts w:cs="Arial"/>
          <w:color w:val="000000" w:themeColor="text1"/>
          <w:szCs w:val="16"/>
        </w:rPr>
      </w:pPr>
      <w:r w:rsidRPr="00781112">
        <w:rPr>
          <w:rFonts w:cs="Arial"/>
          <w:color w:val="000000" w:themeColor="text1"/>
          <w:szCs w:val="16"/>
        </w:rPr>
        <w:t xml:space="preserve">3A. Same data as used for reporting to the Department under Title I of the ESEA, using </w:t>
      </w:r>
      <w:proofErr w:type="spellStart"/>
      <w:r w:rsidRPr="00781112">
        <w:rPr>
          <w:rFonts w:cs="Arial"/>
          <w:color w:val="000000" w:themeColor="text1"/>
          <w:szCs w:val="16"/>
        </w:rPr>
        <w:t>ED</w:t>
      </w:r>
      <w:r w:rsidRPr="00BA3DBE">
        <w:rPr>
          <w:rFonts w:cs="Arial"/>
          <w:i/>
          <w:iCs/>
          <w:color w:val="000000" w:themeColor="text1"/>
          <w:szCs w:val="16"/>
        </w:rPr>
        <w:t>Facts</w:t>
      </w:r>
      <w:proofErr w:type="spellEnd"/>
      <w:r w:rsidRPr="00781112">
        <w:rPr>
          <w:rFonts w:cs="Arial"/>
          <w:color w:val="000000" w:themeColor="text1"/>
          <w:szCs w:val="16"/>
        </w:rPr>
        <w:t xml:space="preserve"> file specifications FS185 and 188.</w:t>
      </w:r>
    </w:p>
    <w:p w14:paraId="71EF09A1" w14:textId="77777777" w:rsidR="00553A47" w:rsidRPr="00781112" w:rsidRDefault="00553A47" w:rsidP="00553A47">
      <w:pPr>
        <w:rPr>
          <w:color w:val="000000" w:themeColor="text1"/>
        </w:rPr>
      </w:pPr>
      <w:r w:rsidRPr="00781112">
        <w:rPr>
          <w:b/>
          <w:color w:val="000000" w:themeColor="text1"/>
        </w:rPr>
        <w:t>Measurement</w:t>
      </w:r>
    </w:p>
    <w:p w14:paraId="7A515068" w14:textId="2DA214AF" w:rsidR="00553A47" w:rsidRPr="00781112" w:rsidRDefault="00943CE1" w:rsidP="00553A47">
      <w:pPr>
        <w:rPr>
          <w:rFonts w:cs="Arial"/>
          <w:color w:val="000000" w:themeColor="text1"/>
          <w:szCs w:val="16"/>
        </w:rPr>
      </w:pPr>
      <w:r w:rsidRPr="00781112">
        <w:rPr>
          <w:rFonts w:cs="Arial"/>
          <w:color w:val="000000" w:themeColor="text1"/>
          <w:szCs w:val="16"/>
        </w:rPr>
        <w:t>A. Participation rate percent = [(# of children with IEPs participating in an assessment) divided by the (total # of children with IEPs enrolled during the testing window)]. Calculate separately for reading and math. Calculate separately for grades 4, 8, and high school. The participation rate is based on all children with IEPs, including both children with IEPs enrolled for a full academic year and those not enrolled for a full academic year.</w:t>
      </w:r>
    </w:p>
    <w:p w14:paraId="1C86ADC7" w14:textId="77777777" w:rsidR="00553A47" w:rsidRPr="00781112" w:rsidRDefault="00553A47" w:rsidP="00553A47">
      <w:pPr>
        <w:rPr>
          <w:color w:val="000000" w:themeColor="text1"/>
        </w:rPr>
      </w:pPr>
      <w:r w:rsidRPr="00781112">
        <w:rPr>
          <w:b/>
          <w:color w:val="000000" w:themeColor="text1"/>
        </w:rPr>
        <w:t>Instructions</w:t>
      </w:r>
    </w:p>
    <w:p w14:paraId="2E7C9B5C" w14:textId="77777777" w:rsidR="001B75FD" w:rsidRPr="00781112" w:rsidRDefault="001B75FD" w:rsidP="001B75FD">
      <w:pPr>
        <w:pStyle w:val="Subhed"/>
        <w:rPr>
          <w:b w:val="0"/>
          <w:bCs/>
        </w:rPr>
      </w:pPr>
      <w:r w:rsidRPr="00781112">
        <w:rPr>
          <w:b w:val="0"/>
          <w:bCs/>
        </w:rPr>
        <w:t>Describe the results of the calculations and compare the results to the targets.  Provide the actual numbers used in the calculation.</w:t>
      </w:r>
    </w:p>
    <w:p w14:paraId="7D60E85E" w14:textId="77777777" w:rsidR="001B75FD" w:rsidRPr="00781112" w:rsidRDefault="001B75FD" w:rsidP="001B75FD">
      <w:pPr>
        <w:pStyle w:val="Subhed"/>
        <w:rPr>
          <w:b w:val="0"/>
          <w:bCs/>
        </w:rPr>
      </w:pPr>
      <w:r w:rsidRPr="00781112">
        <w:rPr>
          <w:b w:val="0"/>
          <w:bCs/>
        </w:rPr>
        <w:t xml:space="preserve">Include information regarding where to find public reports of assessment participation and performance results, as required by 34 CFR §300.160(f), </w:t>
      </w:r>
      <w:r w:rsidRPr="00BA3DBE">
        <w:rPr>
          <w:b w:val="0"/>
          <w:bCs/>
          <w:iCs/>
        </w:rPr>
        <w:t>i.e.</w:t>
      </w:r>
      <w:r w:rsidRPr="006F6E8E">
        <w:rPr>
          <w:b w:val="0"/>
          <w:bCs/>
          <w:iCs/>
        </w:rPr>
        <w:t>,</w:t>
      </w:r>
      <w:r w:rsidRPr="00781112">
        <w:rPr>
          <w:b w:val="0"/>
          <w:bCs/>
        </w:rPr>
        <w:t xml:space="preserve"> a link to the Web site where these data are reported.</w:t>
      </w:r>
    </w:p>
    <w:p w14:paraId="7A7658A6" w14:textId="09BF5716" w:rsidR="00553A47" w:rsidRPr="00781112" w:rsidRDefault="001B75FD" w:rsidP="001B75FD">
      <w:pPr>
        <w:rPr>
          <w:rFonts w:cs="Arial"/>
          <w:color w:val="000000" w:themeColor="text1"/>
          <w:szCs w:val="16"/>
        </w:rPr>
      </w:pPr>
      <w:r w:rsidRPr="00781112">
        <w:rPr>
          <w:bCs/>
        </w:rPr>
        <w:t>Indicator 3A: Provide separate reading/language arts and mathematics participation rates for children with IEPs for each of the following grades: 4, 8, &amp; high school.  Account for ALL children with IEPs, in grades 4, 8, and high school, including children not participating in assessments and those not enrolled for a full academic year. Only include children with disabilities who had an IEP at the time of testing</w:t>
      </w:r>
      <w:r w:rsidR="00553A47" w:rsidRPr="00781112">
        <w:rPr>
          <w:rFonts w:cs="Arial"/>
          <w:color w:val="000000" w:themeColor="text1"/>
          <w:szCs w:val="16"/>
        </w:rPr>
        <w:t>.</w:t>
      </w:r>
    </w:p>
    <w:p w14:paraId="2933C3C1" w14:textId="76D8DB4D" w:rsidR="00553A47" w:rsidRPr="00781112" w:rsidRDefault="00553A47" w:rsidP="00553A47">
      <w:pPr>
        <w:pStyle w:val="Heading2"/>
      </w:pPr>
      <w:r w:rsidRPr="00781112">
        <w:t>3A - Indicator Data</w:t>
      </w:r>
    </w:p>
    <w:p w14:paraId="1E2CE8D4" w14:textId="48F23E39" w:rsidR="00361CFA" w:rsidRPr="00781112" w:rsidRDefault="00CB348D" w:rsidP="00360DD6">
      <w:pPr>
        <w:rPr>
          <w:b/>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AHISTDATA"/>
      </w:tblPr>
      <w:tblGrid>
        <w:gridCol w:w="1588"/>
        <w:gridCol w:w="1588"/>
        <w:gridCol w:w="2538"/>
        <w:gridCol w:w="2538"/>
        <w:gridCol w:w="2538"/>
      </w:tblGrid>
      <w:tr w:rsidR="0050331E" w:rsidRPr="00781112" w14:paraId="640BEE62" w14:textId="0ABABB4E" w:rsidTr="009725F4">
        <w:trPr>
          <w:trHeight w:val="368"/>
          <w:tblHeader/>
        </w:trPr>
        <w:tc>
          <w:tcPr>
            <w:tcW w:w="736" w:type="pct"/>
            <w:tcBorders>
              <w:top w:val="single" w:sz="4" w:space="0" w:color="auto"/>
            </w:tcBorders>
            <w:vAlign w:val="center"/>
          </w:tcPr>
          <w:p w14:paraId="41D9612B" w14:textId="31CE748B" w:rsidR="00E5212B" w:rsidRPr="00781112" w:rsidRDefault="00E5212B" w:rsidP="00827FF4">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sz="4" w:space="0" w:color="auto"/>
            </w:tcBorders>
            <w:shd w:val="clear" w:color="auto" w:fill="auto"/>
            <w:vAlign w:val="center"/>
          </w:tcPr>
          <w:p w14:paraId="7F27E97C" w14:textId="557342E0" w:rsidR="00E5212B" w:rsidRPr="00781112" w:rsidRDefault="00E5212B" w:rsidP="00827FF4">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sz="4" w:space="0" w:color="auto"/>
            </w:tcBorders>
            <w:shd w:val="clear" w:color="auto" w:fill="auto"/>
            <w:vAlign w:val="center"/>
          </w:tcPr>
          <w:p w14:paraId="39353288" w14:textId="77777777" w:rsidR="00E5212B" w:rsidRPr="00781112" w:rsidRDefault="00E5212B" w:rsidP="00827FF4">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sz="4" w:space="0" w:color="auto"/>
            </w:tcBorders>
            <w:shd w:val="clear" w:color="auto" w:fill="auto"/>
            <w:vAlign w:val="center"/>
          </w:tcPr>
          <w:p w14:paraId="48E0683E" w14:textId="7AFDFE4C" w:rsidR="00E5212B" w:rsidRPr="00781112" w:rsidRDefault="00E5212B" w:rsidP="00827FF4">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sz="4" w:space="0" w:color="auto"/>
            </w:tcBorders>
            <w:vAlign w:val="center"/>
          </w:tcPr>
          <w:p w14:paraId="38B04ED7" w14:textId="46EC1601" w:rsidR="00E5212B" w:rsidRPr="00781112" w:rsidRDefault="00E5212B" w:rsidP="00827FF4">
            <w:pPr>
              <w:jc w:val="center"/>
              <w:rPr>
                <w:rFonts w:cs="Arial"/>
                <w:b/>
                <w:color w:val="000000" w:themeColor="text1"/>
                <w:szCs w:val="16"/>
              </w:rPr>
            </w:pPr>
            <w:r w:rsidRPr="00781112">
              <w:rPr>
                <w:rFonts w:cs="Arial"/>
                <w:b/>
                <w:color w:val="000000" w:themeColor="text1"/>
                <w:szCs w:val="16"/>
              </w:rPr>
              <w:t>Baseline Data</w:t>
            </w:r>
          </w:p>
        </w:tc>
      </w:tr>
      <w:tr w:rsidR="0050331E" w:rsidRPr="00781112" w14:paraId="24FC0173" w14:textId="04F4BEEC" w:rsidTr="00360DD6">
        <w:trPr>
          <w:trHeight w:val="368"/>
        </w:trPr>
        <w:tc>
          <w:tcPr>
            <w:tcW w:w="736" w:type="pct"/>
            <w:vAlign w:val="center"/>
          </w:tcPr>
          <w:p w14:paraId="5EFBA3AC" w14:textId="71314A80" w:rsidR="0044716A" w:rsidRPr="00781112" w:rsidRDefault="0044716A" w:rsidP="0044716A">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38C519F7" w14:textId="44BB42BA" w:rsidR="0044716A" w:rsidRPr="00781112" w:rsidRDefault="0044716A" w:rsidP="0044716A">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7C81F5F0" w14:textId="67FBA765" w:rsidR="0044716A" w:rsidRPr="00781112" w:rsidRDefault="0044716A" w:rsidP="0044716A">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3F4068A9" w14:textId="08EF8DB7" w:rsidR="0044716A" w:rsidRPr="00781112" w:rsidRDefault="0044716A" w:rsidP="00360DD6">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3C4D03F4" w14:textId="691C6AA3" w:rsidR="0044716A" w:rsidRPr="00781112" w:rsidRDefault="0044716A" w:rsidP="0044716A">
            <w:pPr>
              <w:spacing w:before="0" w:after="0"/>
              <w:jc w:val="center"/>
              <w:rPr>
                <w:color w:val="000000" w:themeColor="text1"/>
              </w:rPr>
            </w:pPr>
            <w:r w:rsidRPr="00781112">
              <w:rPr>
                <w:rFonts w:cs="Arial"/>
                <w:color w:val="000000" w:themeColor="text1"/>
                <w:szCs w:val="16"/>
              </w:rPr>
              <w:t>6.50%</w:t>
            </w:r>
          </w:p>
        </w:tc>
      </w:tr>
      <w:tr w:rsidR="0050331E" w:rsidRPr="00781112" w14:paraId="4F9BC9D4" w14:textId="17B65B8C" w:rsidTr="00360DD6">
        <w:trPr>
          <w:trHeight w:val="368"/>
        </w:trPr>
        <w:tc>
          <w:tcPr>
            <w:tcW w:w="736" w:type="pct"/>
            <w:vAlign w:val="center"/>
          </w:tcPr>
          <w:p w14:paraId="7AB33ACC" w14:textId="0B04094A" w:rsidR="005246CC" w:rsidRPr="00781112" w:rsidRDefault="005246CC" w:rsidP="005246CC">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72D05B63" w14:textId="45D6CED5"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3E4ED129" w14:textId="1B77E470"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70BAF6D2" w14:textId="6183503D" w:rsidR="005246CC" w:rsidRPr="00781112" w:rsidRDefault="005246CC" w:rsidP="00360DD6">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49E2C5F4" w14:textId="05AA23CF"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6.17%</w:t>
            </w:r>
          </w:p>
        </w:tc>
      </w:tr>
      <w:tr w:rsidR="0050331E" w:rsidRPr="00781112" w14:paraId="0B899335" w14:textId="7CB02598" w:rsidTr="00360DD6">
        <w:trPr>
          <w:trHeight w:val="368"/>
        </w:trPr>
        <w:tc>
          <w:tcPr>
            <w:tcW w:w="736" w:type="pct"/>
            <w:vAlign w:val="center"/>
          </w:tcPr>
          <w:p w14:paraId="6148FD1E" w14:textId="34E507DE" w:rsidR="005246CC" w:rsidRPr="00781112" w:rsidRDefault="005246CC" w:rsidP="005246CC">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269AA774" w14:textId="3B2C9DD9"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1616D407" w14:textId="20B9E90F" w:rsidR="005246CC" w:rsidRPr="00781112" w:rsidRDefault="005246CC" w:rsidP="005246CC">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5705909C" w14:textId="172EAC9C" w:rsidR="005246CC" w:rsidRPr="00781112" w:rsidRDefault="005246CC" w:rsidP="00360DD6">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0C9F3B59" w14:textId="74A08D13"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4.06%</w:t>
            </w:r>
          </w:p>
        </w:tc>
      </w:tr>
      <w:tr w:rsidR="00312480" w:rsidRPr="00781112" w14:paraId="3D1AAF73" w14:textId="678EC166" w:rsidTr="00360DD6">
        <w:trPr>
          <w:trHeight w:val="368"/>
        </w:trPr>
        <w:tc>
          <w:tcPr>
            <w:tcW w:w="736" w:type="pct"/>
            <w:vAlign w:val="center"/>
          </w:tcPr>
          <w:p w14:paraId="49AF9334" w14:textId="516B9B07" w:rsidR="00312480" w:rsidRPr="00781112" w:rsidRDefault="00312480" w:rsidP="00312480">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37E10643" w14:textId="3D4CDCC3"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4EBA000C" w14:textId="1E09C3E7"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50A09FAE" w14:textId="4A9CE939" w:rsidR="00312480" w:rsidRPr="00781112" w:rsidRDefault="00312480" w:rsidP="00360DD6">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6A9E42AA" w14:textId="63810B52"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7.71%</w:t>
            </w:r>
          </w:p>
        </w:tc>
      </w:tr>
      <w:tr w:rsidR="00312480" w:rsidRPr="00781112" w14:paraId="4B0C895C" w14:textId="6CF5FA93" w:rsidTr="00360DD6">
        <w:trPr>
          <w:trHeight w:val="368"/>
        </w:trPr>
        <w:tc>
          <w:tcPr>
            <w:tcW w:w="736" w:type="pct"/>
            <w:vAlign w:val="center"/>
          </w:tcPr>
          <w:p w14:paraId="6ED5896C" w14:textId="28272B0B" w:rsidR="00312480" w:rsidRPr="00781112" w:rsidRDefault="00312480" w:rsidP="00312480">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43C9B56E" w14:textId="3D5B99D0"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2C4210F5" w14:textId="3BFF9BEC" w:rsidR="00312480" w:rsidRPr="00781112" w:rsidRDefault="00312480" w:rsidP="00312480">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7D91523A" w14:textId="169DAD5C" w:rsidR="00312480" w:rsidRPr="00781112" w:rsidRDefault="00312480" w:rsidP="00360DD6">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339ABC62" w14:textId="1E7FF874"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6.23%</w:t>
            </w:r>
          </w:p>
        </w:tc>
      </w:tr>
      <w:tr w:rsidR="00312480" w:rsidRPr="00781112" w14:paraId="43BF7697" w14:textId="58F9CE70" w:rsidTr="00360DD6">
        <w:trPr>
          <w:trHeight w:val="368"/>
        </w:trPr>
        <w:tc>
          <w:tcPr>
            <w:tcW w:w="736" w:type="pct"/>
            <w:vAlign w:val="center"/>
          </w:tcPr>
          <w:p w14:paraId="10E5C656" w14:textId="01AB1420" w:rsidR="00312480" w:rsidRPr="00781112" w:rsidRDefault="00312480" w:rsidP="00312480">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3AFE65DD" w14:textId="56799213"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4C96A826" w14:textId="656222C9"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6848966B" w14:textId="49F3A33A" w:rsidR="00312480" w:rsidRPr="00781112" w:rsidRDefault="00312480" w:rsidP="00360DD6">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0271898A" w14:textId="300CF132"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4.07%</w:t>
            </w:r>
          </w:p>
        </w:tc>
      </w:tr>
    </w:tbl>
    <w:p w14:paraId="1049ED79" w14:textId="19F4A63B" w:rsidR="00E023E6" w:rsidRPr="00781112" w:rsidRDefault="00E023E6">
      <w:pPr>
        <w:spacing w:before="0" w:after="200" w:line="276" w:lineRule="auto"/>
        <w:rPr>
          <w:b/>
          <w:color w:val="000000" w:themeColor="text1"/>
        </w:rPr>
      </w:pPr>
    </w:p>
    <w:p w14:paraId="7F4B46FE" w14:textId="3489D438" w:rsidR="0034094E" w:rsidRPr="00781112" w:rsidRDefault="0034094E" w:rsidP="0034094E">
      <w:pPr>
        <w:rPr>
          <w:b/>
          <w:color w:val="000000" w:themeColor="text1"/>
        </w:rPr>
      </w:pPr>
      <w:r w:rsidRPr="00781112">
        <w:rPr>
          <w:b/>
          <w:color w:val="000000" w:themeColor="text1"/>
        </w:rPr>
        <w:t>Targets</w:t>
      </w:r>
    </w:p>
    <w:tbl>
      <w:tblPr>
        <w:tblW w:w="37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ATARGETS"/>
      </w:tblPr>
      <w:tblGrid>
        <w:gridCol w:w="897"/>
        <w:gridCol w:w="721"/>
        <w:gridCol w:w="1171"/>
        <w:gridCol w:w="1334"/>
        <w:gridCol w:w="1334"/>
        <w:gridCol w:w="1334"/>
        <w:gridCol w:w="1332"/>
      </w:tblGrid>
      <w:tr w:rsidR="00BE7AF0" w:rsidRPr="00781112" w14:paraId="61B13027" w14:textId="7E8C0770" w:rsidTr="001A31FD">
        <w:tc>
          <w:tcPr>
            <w:tcW w:w="552" w:type="pct"/>
            <w:tcBorders>
              <w:bottom w:val="single" w:sz="4" w:space="0" w:color="auto"/>
            </w:tcBorders>
            <w:shd w:val="clear" w:color="auto" w:fill="auto"/>
            <w:vAlign w:val="center"/>
          </w:tcPr>
          <w:p w14:paraId="41C1EDA8" w14:textId="77777777" w:rsidR="00BE7AF0" w:rsidRPr="00781112" w:rsidRDefault="00BE7AF0" w:rsidP="00FD5357">
            <w:pPr>
              <w:jc w:val="center"/>
              <w:rPr>
                <w:b/>
                <w:color w:val="000000" w:themeColor="text1"/>
              </w:rPr>
            </w:pPr>
            <w:r w:rsidRPr="00781112">
              <w:rPr>
                <w:b/>
                <w:color w:val="000000" w:themeColor="text1"/>
              </w:rPr>
              <w:t>Subject</w:t>
            </w:r>
          </w:p>
        </w:tc>
        <w:tc>
          <w:tcPr>
            <w:tcW w:w="444" w:type="pct"/>
            <w:tcBorders>
              <w:bottom w:val="single" w:sz="4" w:space="0" w:color="auto"/>
            </w:tcBorders>
            <w:shd w:val="clear" w:color="auto" w:fill="auto"/>
            <w:vAlign w:val="center"/>
          </w:tcPr>
          <w:p w14:paraId="47C72AA9" w14:textId="77777777" w:rsidR="00BE7AF0" w:rsidRPr="00781112" w:rsidRDefault="00BE7AF0" w:rsidP="00FD5357">
            <w:pPr>
              <w:jc w:val="center"/>
              <w:rPr>
                <w:b/>
                <w:color w:val="000000" w:themeColor="text1"/>
              </w:rPr>
            </w:pPr>
            <w:r w:rsidRPr="00781112">
              <w:rPr>
                <w:b/>
                <w:color w:val="000000" w:themeColor="text1"/>
              </w:rPr>
              <w:t>Group</w:t>
            </w:r>
          </w:p>
        </w:tc>
        <w:tc>
          <w:tcPr>
            <w:tcW w:w="721" w:type="pct"/>
            <w:shd w:val="clear" w:color="auto" w:fill="auto"/>
            <w:vAlign w:val="center"/>
          </w:tcPr>
          <w:p w14:paraId="3EBC6D10" w14:textId="77777777" w:rsidR="00BE7AF0" w:rsidRPr="00781112" w:rsidDel="008E7B87" w:rsidRDefault="00BE7AF0" w:rsidP="00FD5357">
            <w:pPr>
              <w:jc w:val="center"/>
              <w:rPr>
                <w:b/>
                <w:color w:val="000000" w:themeColor="text1"/>
              </w:rPr>
            </w:pPr>
            <w:r w:rsidRPr="00781112">
              <w:rPr>
                <w:b/>
                <w:color w:val="000000" w:themeColor="text1"/>
              </w:rPr>
              <w:t>Group Name</w:t>
            </w:r>
          </w:p>
        </w:tc>
        <w:tc>
          <w:tcPr>
            <w:tcW w:w="821" w:type="pct"/>
            <w:shd w:val="clear" w:color="auto" w:fill="auto"/>
            <w:vAlign w:val="center"/>
          </w:tcPr>
          <w:p w14:paraId="5DB0C638" w14:textId="77777777" w:rsidR="00BE7AF0" w:rsidRPr="00781112" w:rsidRDefault="00BE7AF0" w:rsidP="00FD5357">
            <w:pPr>
              <w:jc w:val="center"/>
              <w:rPr>
                <w:b/>
                <w:color w:val="000000" w:themeColor="text1"/>
              </w:rPr>
            </w:pPr>
            <w:r w:rsidRPr="00781112">
              <w:rPr>
                <w:b/>
                <w:color w:val="000000" w:themeColor="text1"/>
              </w:rPr>
              <w:t>2022</w:t>
            </w:r>
          </w:p>
        </w:tc>
        <w:tc>
          <w:tcPr>
            <w:tcW w:w="821" w:type="pct"/>
            <w:vAlign w:val="center"/>
          </w:tcPr>
          <w:p w14:paraId="2BCE0486" w14:textId="3C221AF8" w:rsidR="00BE7AF0" w:rsidRPr="00781112" w:rsidRDefault="00BE7AF0" w:rsidP="00FD5357">
            <w:pPr>
              <w:jc w:val="center"/>
              <w:rPr>
                <w:b/>
                <w:color w:val="000000" w:themeColor="text1"/>
              </w:rPr>
            </w:pPr>
            <w:r w:rsidRPr="00781112">
              <w:rPr>
                <w:rFonts w:cs="Arial"/>
                <w:b/>
                <w:color w:val="000000" w:themeColor="text1"/>
                <w:szCs w:val="16"/>
              </w:rPr>
              <w:t>2023</w:t>
            </w:r>
          </w:p>
        </w:tc>
        <w:tc>
          <w:tcPr>
            <w:tcW w:w="821" w:type="pct"/>
            <w:vAlign w:val="center"/>
          </w:tcPr>
          <w:p w14:paraId="1990502A" w14:textId="03716A79" w:rsidR="00BE7AF0" w:rsidRPr="00781112" w:rsidRDefault="00BE7AF0" w:rsidP="00FD5357">
            <w:pPr>
              <w:jc w:val="center"/>
              <w:rPr>
                <w:b/>
                <w:color w:val="000000" w:themeColor="text1"/>
              </w:rPr>
            </w:pPr>
            <w:r w:rsidRPr="00781112">
              <w:rPr>
                <w:rFonts w:cs="Arial"/>
                <w:b/>
                <w:color w:val="000000" w:themeColor="text1"/>
                <w:szCs w:val="16"/>
              </w:rPr>
              <w:t>2024</w:t>
            </w:r>
          </w:p>
        </w:tc>
        <w:tc>
          <w:tcPr>
            <w:tcW w:w="821" w:type="pct"/>
            <w:vAlign w:val="center"/>
          </w:tcPr>
          <w:p w14:paraId="72DB4D15" w14:textId="310E5749" w:rsidR="00BE7AF0" w:rsidRPr="00781112" w:rsidRDefault="00BE7AF0" w:rsidP="00FD5357">
            <w:pPr>
              <w:jc w:val="center"/>
              <w:rPr>
                <w:b/>
                <w:color w:val="000000" w:themeColor="text1"/>
              </w:rPr>
            </w:pPr>
            <w:r w:rsidRPr="00781112">
              <w:rPr>
                <w:rFonts w:cs="Arial"/>
                <w:b/>
                <w:color w:val="000000" w:themeColor="text1"/>
                <w:szCs w:val="16"/>
              </w:rPr>
              <w:t>2025</w:t>
            </w:r>
          </w:p>
        </w:tc>
      </w:tr>
      <w:tr w:rsidR="00BE7AF0" w:rsidRPr="00781112" w14:paraId="5EF23A8E" w14:textId="333536B2" w:rsidTr="001A31FD">
        <w:tc>
          <w:tcPr>
            <w:tcW w:w="552" w:type="pct"/>
            <w:shd w:val="clear" w:color="auto" w:fill="auto"/>
            <w:vAlign w:val="center"/>
          </w:tcPr>
          <w:p w14:paraId="659131E4"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Reading</w:t>
            </w:r>
          </w:p>
        </w:tc>
        <w:tc>
          <w:tcPr>
            <w:tcW w:w="444" w:type="pct"/>
            <w:shd w:val="clear" w:color="auto" w:fill="auto"/>
            <w:vAlign w:val="center"/>
          </w:tcPr>
          <w:p w14:paraId="0E33DCFC"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A &gt;=</w:t>
            </w:r>
          </w:p>
        </w:tc>
        <w:tc>
          <w:tcPr>
            <w:tcW w:w="721" w:type="pct"/>
            <w:shd w:val="clear" w:color="auto" w:fill="auto"/>
            <w:vAlign w:val="center"/>
          </w:tcPr>
          <w:p w14:paraId="76B16B43" w14:textId="39FB8899" w:rsidR="00BE7AF0" w:rsidRPr="00781112" w:rsidDel="00DB0A73" w:rsidRDefault="00BE7AF0" w:rsidP="00C362C0">
            <w:pPr>
              <w:jc w:val="center"/>
              <w:rPr>
                <w:rFonts w:cs="Arial"/>
                <w:color w:val="000000" w:themeColor="text1"/>
                <w:szCs w:val="16"/>
              </w:rPr>
            </w:pPr>
            <w:r w:rsidRPr="00781112">
              <w:rPr>
                <w:rFonts w:cs="Arial"/>
                <w:color w:val="000000" w:themeColor="text1"/>
                <w:szCs w:val="16"/>
              </w:rPr>
              <w:t>Grade 4</w:t>
            </w:r>
          </w:p>
        </w:tc>
        <w:tc>
          <w:tcPr>
            <w:tcW w:w="821" w:type="pct"/>
            <w:shd w:val="clear" w:color="auto" w:fill="auto"/>
            <w:vAlign w:val="center"/>
          </w:tcPr>
          <w:p w14:paraId="0F6CE0A1" w14:textId="29A64BBD"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4A0A22E0" w14:textId="6BB46B0C" w:rsidR="00BE7AF0" w:rsidRPr="00781112" w:rsidRDefault="00BE7AF0" w:rsidP="00C362C0">
            <w:pPr>
              <w:jc w:val="center"/>
              <w:rPr>
                <w:rFonts w:cs="Arial"/>
                <w:color w:val="000000" w:themeColor="text1"/>
                <w:szCs w:val="16"/>
              </w:rPr>
            </w:pPr>
            <w:r w:rsidRPr="00781112">
              <w:rPr>
                <w:rFonts w:cs="Arial"/>
                <w:color w:val="000000" w:themeColor="text1"/>
                <w:szCs w:val="16"/>
              </w:rPr>
              <w:t>95.00%</w:t>
            </w:r>
            <w:r w:rsidRPr="00781112">
              <w:t xml:space="preserve"> </w:t>
            </w:r>
          </w:p>
        </w:tc>
        <w:tc>
          <w:tcPr>
            <w:tcW w:w="821" w:type="pct"/>
            <w:vAlign w:val="center"/>
          </w:tcPr>
          <w:p w14:paraId="01E8CE0F" w14:textId="037B9FF4"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384B0AD2" w14:textId="38B3F908"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r>
      <w:tr w:rsidR="00BE7AF0" w:rsidRPr="00781112" w14:paraId="0DC87485" w14:textId="7CEA602E" w:rsidTr="001A31FD">
        <w:tc>
          <w:tcPr>
            <w:tcW w:w="552" w:type="pct"/>
            <w:shd w:val="clear" w:color="auto" w:fill="auto"/>
            <w:vAlign w:val="center"/>
          </w:tcPr>
          <w:p w14:paraId="0DBD5106"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Reading</w:t>
            </w:r>
          </w:p>
        </w:tc>
        <w:tc>
          <w:tcPr>
            <w:tcW w:w="444" w:type="pct"/>
            <w:shd w:val="clear" w:color="auto" w:fill="auto"/>
            <w:vAlign w:val="center"/>
          </w:tcPr>
          <w:p w14:paraId="32DA1B30"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B &gt;=</w:t>
            </w:r>
          </w:p>
        </w:tc>
        <w:tc>
          <w:tcPr>
            <w:tcW w:w="721" w:type="pct"/>
            <w:shd w:val="clear" w:color="auto" w:fill="auto"/>
            <w:vAlign w:val="center"/>
          </w:tcPr>
          <w:p w14:paraId="7451C944" w14:textId="48D1DB42" w:rsidR="00BE7AF0" w:rsidRPr="00781112" w:rsidDel="00DB0A73" w:rsidRDefault="00BE7AF0" w:rsidP="00C362C0">
            <w:pPr>
              <w:jc w:val="center"/>
              <w:rPr>
                <w:rFonts w:cs="Arial"/>
                <w:color w:val="000000" w:themeColor="text1"/>
                <w:szCs w:val="16"/>
              </w:rPr>
            </w:pPr>
            <w:r w:rsidRPr="00781112">
              <w:rPr>
                <w:rFonts w:cs="Arial"/>
                <w:color w:val="000000" w:themeColor="text1"/>
                <w:szCs w:val="16"/>
              </w:rPr>
              <w:t>Grade 8</w:t>
            </w:r>
          </w:p>
        </w:tc>
        <w:tc>
          <w:tcPr>
            <w:tcW w:w="821" w:type="pct"/>
            <w:shd w:val="clear" w:color="auto" w:fill="auto"/>
            <w:vAlign w:val="center"/>
          </w:tcPr>
          <w:p w14:paraId="00A324D3" w14:textId="7CE00F34"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52AC2F70" w14:textId="3AB4351A"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32A4C051" w14:textId="2E65FFFC"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77CC4A95" w14:textId="1A1A42B6"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r>
      <w:tr w:rsidR="00BE7AF0" w:rsidRPr="00781112" w14:paraId="546837A9" w14:textId="0EC3B58A" w:rsidTr="001A31FD">
        <w:tc>
          <w:tcPr>
            <w:tcW w:w="552" w:type="pct"/>
            <w:shd w:val="clear" w:color="auto" w:fill="auto"/>
            <w:vAlign w:val="center"/>
          </w:tcPr>
          <w:p w14:paraId="5E2AB8D4"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Reading</w:t>
            </w:r>
          </w:p>
        </w:tc>
        <w:tc>
          <w:tcPr>
            <w:tcW w:w="444" w:type="pct"/>
            <w:shd w:val="clear" w:color="auto" w:fill="auto"/>
            <w:vAlign w:val="center"/>
          </w:tcPr>
          <w:p w14:paraId="2801904B"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C &gt;=</w:t>
            </w:r>
          </w:p>
        </w:tc>
        <w:tc>
          <w:tcPr>
            <w:tcW w:w="721" w:type="pct"/>
            <w:shd w:val="clear" w:color="auto" w:fill="auto"/>
            <w:vAlign w:val="center"/>
          </w:tcPr>
          <w:p w14:paraId="5F09655C" w14:textId="799E5EE7" w:rsidR="00BE7AF0" w:rsidRPr="00781112" w:rsidDel="00DB0A73" w:rsidRDefault="00BE7AF0" w:rsidP="00C362C0">
            <w:pPr>
              <w:jc w:val="center"/>
              <w:rPr>
                <w:rFonts w:cs="Arial"/>
                <w:color w:val="000000" w:themeColor="text1"/>
                <w:szCs w:val="16"/>
              </w:rPr>
            </w:pPr>
            <w:r w:rsidRPr="00781112">
              <w:rPr>
                <w:rFonts w:cs="Arial"/>
                <w:color w:val="000000" w:themeColor="text1"/>
                <w:szCs w:val="16"/>
              </w:rPr>
              <w:t>Grade HS</w:t>
            </w:r>
          </w:p>
        </w:tc>
        <w:tc>
          <w:tcPr>
            <w:tcW w:w="821" w:type="pct"/>
            <w:shd w:val="clear" w:color="auto" w:fill="auto"/>
            <w:vAlign w:val="center"/>
          </w:tcPr>
          <w:p w14:paraId="06826BA4" w14:textId="5829FE90"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14B1D7EC" w14:textId="5E17D245"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05B53368" w14:textId="52EA99DA"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55D2A6D2" w14:textId="0D1D128C"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r>
      <w:tr w:rsidR="00BE7AF0" w:rsidRPr="00781112" w14:paraId="42FB4D55" w14:textId="70E04CC1" w:rsidTr="001A31FD">
        <w:tc>
          <w:tcPr>
            <w:tcW w:w="552" w:type="pct"/>
            <w:shd w:val="clear" w:color="auto" w:fill="auto"/>
            <w:vAlign w:val="center"/>
          </w:tcPr>
          <w:p w14:paraId="5003C653"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Math</w:t>
            </w:r>
          </w:p>
        </w:tc>
        <w:tc>
          <w:tcPr>
            <w:tcW w:w="444" w:type="pct"/>
            <w:shd w:val="clear" w:color="auto" w:fill="auto"/>
            <w:vAlign w:val="center"/>
          </w:tcPr>
          <w:p w14:paraId="3BDC476D"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A &gt;=</w:t>
            </w:r>
          </w:p>
        </w:tc>
        <w:tc>
          <w:tcPr>
            <w:tcW w:w="721" w:type="pct"/>
            <w:shd w:val="clear" w:color="auto" w:fill="auto"/>
            <w:vAlign w:val="center"/>
          </w:tcPr>
          <w:p w14:paraId="0CAD024F" w14:textId="139788C5" w:rsidR="00BE7AF0" w:rsidRPr="00781112" w:rsidDel="00DB0A73" w:rsidRDefault="00BE7AF0" w:rsidP="00C362C0">
            <w:pPr>
              <w:jc w:val="center"/>
              <w:rPr>
                <w:rFonts w:cs="Arial"/>
                <w:color w:val="000000" w:themeColor="text1"/>
                <w:szCs w:val="16"/>
              </w:rPr>
            </w:pPr>
            <w:r w:rsidRPr="00781112">
              <w:rPr>
                <w:rFonts w:cs="Arial"/>
                <w:color w:val="000000" w:themeColor="text1"/>
                <w:szCs w:val="16"/>
              </w:rPr>
              <w:t>Grade 4</w:t>
            </w:r>
          </w:p>
        </w:tc>
        <w:tc>
          <w:tcPr>
            <w:tcW w:w="821" w:type="pct"/>
            <w:shd w:val="clear" w:color="auto" w:fill="auto"/>
            <w:vAlign w:val="center"/>
          </w:tcPr>
          <w:p w14:paraId="643E3EC7" w14:textId="5E734881"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5C17E435" w14:textId="07B15AE7"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1B9AA205" w14:textId="39F901D2"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4966A75F" w14:textId="20C7AE15"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r>
      <w:tr w:rsidR="00BE7AF0" w:rsidRPr="00781112" w14:paraId="36D735AC" w14:textId="5C55C170" w:rsidTr="001A31FD">
        <w:tc>
          <w:tcPr>
            <w:tcW w:w="552" w:type="pct"/>
            <w:shd w:val="clear" w:color="auto" w:fill="auto"/>
            <w:vAlign w:val="center"/>
          </w:tcPr>
          <w:p w14:paraId="3DD28514"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Math</w:t>
            </w:r>
          </w:p>
        </w:tc>
        <w:tc>
          <w:tcPr>
            <w:tcW w:w="444" w:type="pct"/>
            <w:shd w:val="clear" w:color="auto" w:fill="auto"/>
            <w:vAlign w:val="center"/>
          </w:tcPr>
          <w:p w14:paraId="504829E1"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B &gt;=</w:t>
            </w:r>
          </w:p>
        </w:tc>
        <w:tc>
          <w:tcPr>
            <w:tcW w:w="721" w:type="pct"/>
            <w:shd w:val="clear" w:color="auto" w:fill="auto"/>
            <w:vAlign w:val="center"/>
          </w:tcPr>
          <w:p w14:paraId="7B7B7FDD" w14:textId="4EABA9DD" w:rsidR="00BE7AF0" w:rsidRPr="00781112" w:rsidDel="00DB0A73" w:rsidRDefault="00BE7AF0" w:rsidP="00C362C0">
            <w:pPr>
              <w:jc w:val="center"/>
              <w:rPr>
                <w:rFonts w:cs="Arial"/>
                <w:color w:val="000000" w:themeColor="text1"/>
                <w:szCs w:val="16"/>
              </w:rPr>
            </w:pPr>
            <w:r w:rsidRPr="00781112">
              <w:rPr>
                <w:rFonts w:cs="Arial"/>
                <w:color w:val="000000" w:themeColor="text1"/>
                <w:szCs w:val="16"/>
              </w:rPr>
              <w:t>Grade 8</w:t>
            </w:r>
          </w:p>
        </w:tc>
        <w:tc>
          <w:tcPr>
            <w:tcW w:w="821" w:type="pct"/>
            <w:shd w:val="clear" w:color="auto" w:fill="auto"/>
            <w:vAlign w:val="center"/>
          </w:tcPr>
          <w:p w14:paraId="4BE54D67" w14:textId="13C82F03"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1113A8B0" w14:textId="01C04123"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3A3B0FBA" w14:textId="478F9449"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789FBACE" w14:textId="6A3893AE"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r>
      <w:tr w:rsidR="00BE7AF0" w:rsidRPr="00781112" w14:paraId="6D5345B6" w14:textId="77468A6F" w:rsidTr="001A31FD">
        <w:tc>
          <w:tcPr>
            <w:tcW w:w="552" w:type="pct"/>
            <w:shd w:val="clear" w:color="auto" w:fill="auto"/>
            <w:vAlign w:val="center"/>
          </w:tcPr>
          <w:p w14:paraId="7932C55F"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Math</w:t>
            </w:r>
          </w:p>
        </w:tc>
        <w:tc>
          <w:tcPr>
            <w:tcW w:w="444" w:type="pct"/>
            <w:shd w:val="clear" w:color="auto" w:fill="auto"/>
            <w:vAlign w:val="center"/>
          </w:tcPr>
          <w:p w14:paraId="2BCACF10"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C &gt;=</w:t>
            </w:r>
          </w:p>
        </w:tc>
        <w:tc>
          <w:tcPr>
            <w:tcW w:w="721" w:type="pct"/>
            <w:shd w:val="clear" w:color="auto" w:fill="auto"/>
            <w:vAlign w:val="center"/>
          </w:tcPr>
          <w:p w14:paraId="1E7674E7" w14:textId="620A24D0" w:rsidR="00BE7AF0" w:rsidRPr="00781112" w:rsidDel="00DB0A73" w:rsidRDefault="00BE7AF0" w:rsidP="00C362C0">
            <w:pPr>
              <w:jc w:val="center"/>
              <w:rPr>
                <w:rFonts w:cs="Arial"/>
                <w:color w:val="000000" w:themeColor="text1"/>
                <w:szCs w:val="16"/>
              </w:rPr>
            </w:pPr>
            <w:r w:rsidRPr="00781112">
              <w:rPr>
                <w:rFonts w:cs="Arial"/>
                <w:color w:val="000000" w:themeColor="text1"/>
                <w:szCs w:val="16"/>
              </w:rPr>
              <w:t>Grade HS</w:t>
            </w:r>
          </w:p>
        </w:tc>
        <w:tc>
          <w:tcPr>
            <w:tcW w:w="821" w:type="pct"/>
            <w:shd w:val="clear" w:color="auto" w:fill="auto"/>
            <w:vAlign w:val="center"/>
          </w:tcPr>
          <w:p w14:paraId="416F7E76" w14:textId="5B460752"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7ADA18AC" w14:textId="2893C149"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1BF168BC" w14:textId="476AE7F5"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3BB5329F" w14:textId="6B51850F"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r>
    </w:tbl>
    <w:p w14:paraId="4FED9CA8" w14:textId="44F264E8" w:rsidR="007765EF" w:rsidRDefault="007765EF" w:rsidP="00480083">
      <w:pPr>
        <w:rPr>
          <w:b/>
          <w:color w:val="000000" w:themeColor="text1"/>
        </w:rPr>
      </w:pPr>
    </w:p>
    <w:p w14:paraId="2215E695" w14:textId="77777777" w:rsidR="007765EF" w:rsidRDefault="007765EF">
      <w:pPr>
        <w:spacing w:before="0" w:after="200" w:line="276" w:lineRule="auto"/>
        <w:rPr>
          <w:b/>
          <w:color w:val="000000" w:themeColor="text1"/>
        </w:rPr>
      </w:pPr>
      <w:r>
        <w:rPr>
          <w:b/>
          <w:color w:val="000000" w:themeColor="text1"/>
        </w:rPr>
        <w:br w:type="page"/>
      </w:r>
    </w:p>
    <w:p w14:paraId="504D6A43" w14:textId="77777777" w:rsidR="00480083" w:rsidRPr="00781112" w:rsidRDefault="00480083" w:rsidP="00480083">
      <w:pPr>
        <w:rPr>
          <w:b/>
          <w:color w:val="000000" w:themeColor="text1"/>
        </w:rPr>
      </w:pPr>
    </w:p>
    <w:p w14:paraId="3F503660" w14:textId="72C6CE84" w:rsidR="00480083" w:rsidRPr="00781112" w:rsidRDefault="00480083" w:rsidP="00480083">
      <w:pPr>
        <w:rPr>
          <w:b/>
          <w:color w:val="000000" w:themeColor="text1"/>
        </w:rPr>
      </w:pPr>
      <w:r w:rsidRPr="00781112">
        <w:rPr>
          <w:b/>
          <w:color w:val="000000" w:themeColor="text1"/>
        </w:rPr>
        <w:t xml:space="preserve">Targets: Description of Stakeholder Input </w:t>
      </w:r>
    </w:p>
    <w:p w14:paraId="361B382C" w14:textId="77777777" w:rsidR="00480083" w:rsidRPr="00781112" w:rsidRDefault="00480083" w:rsidP="00480083">
      <w:pPr>
        <w:rPr>
          <w:rFonts w:cs="Arial"/>
          <w:color w:val="000000" w:themeColor="text1"/>
          <w:szCs w:val="16"/>
        </w:rPr>
      </w:pPr>
      <w:r w:rsidRPr="00781112">
        <w:rPr>
          <w:rFonts w:cs="Arial"/>
          <w:color w:val="000000" w:themeColor="text1"/>
          <w:szCs w:val="16"/>
        </w:rPr>
        <w:t>Mechanism for Broad Stakeholder Input:</w:t>
        <w:br/>
        <w:t xml:space="preserve">During FFY2022, the State held stakeholder meetings as the mechanism for soliciting broad stakeholder input on the State’s targets in the SPP/APR and any subsequent revisions. The meetings were held in-person for the first time following the COVID-19 pandemic. An online option was available for stakeholders that were not able to meet in person. In the meetings, Stakeholder groups reviewed the FFY2021 data, and the baselines and targets established for FFY 2020-2025. The groups analyzed the data to determine if established baselines and targets established in the prior year, were still an accurate depiction of the state’s performance trajectory. The meetings also allowed time for stakeholders to provide input on improvement strategies and progress for the SPP/APR indicators. The State also revised its methodology for Indicators 4a and 4b in which the information was shared with stakeholders and input was sought. In addition, the State also proposed a revised LEA annual determination rubric to include target indicators. The revised rubric will be used with FFY2023 LEA annual determinations and is consistent with the information in the OSEP Question and Answer document QA 23-01. </w:t>
        <w:br/>
        <w:t/>
        <w:br/>
        <w:t xml:space="preserve">Stakeholder meeting information including meeting logistics and presentations are available on the Special Education Division (SED) website for the public and any interested individual to access. Flyers were created and LEAs were asked to disseminate the information to their staff, parents, and students. The Parent Training Centers (PTCs) were asked to share the meeting information with parents including through social media. Other groups such as tribes, IDEA panel members, the State Special Education Ombud, and other parent advocacy groups were sent invitations to each of the meetings. </w:t>
        <w:br/>
        <w:t/>
        <w:br/>
        <w:t>Any stakeholder that wanted to provide feedback but could not attend the meetings, had an opportunity to do so. On the State’s stakeholder page, individuals can click on the link and share their input with the state staff by completing an input form. The feedback received from the website is also considered when making revisions and establishing targets.</w:t>
        <w:br/>
        <w:t/>
        <w:br/>
        <w:t>Feedback Summary:</w:t>
        <w:br/>
        <w:t>For Indicators 4a and 4b, the State’s methodology was proposed to be changed to meet OSEP requirements as indicated in the FFY2021, SPP/APR OSEP Responses and Required Actions. Stakeholders were presented with the new proposed methodology in which the cell size of 10 requirement was removed, the N size was reduced to 10 and a rate ratio of 3.0 was introduced. In comparison to the previous methodology, where a cell size and N size of 10 were required as well as a risk ratio of 1 percentage point above the state rate. Stakeholders had no objections or concerns with the new methodology. The State will use the new methodology to apply to the Indicator 4 data reported in this FFY2022 State Performance Plan/Annual Performance Report (SPP/APR).</w:t>
        <w:br/>
        <w:t/>
        <w:br/>
        <w:t>Indicator 17, State Systemic Improvement Plan:</w:t>
        <w:br/>
        <w:t xml:space="preserve">1. ECLIPSE program coordinators presented data and program updates to the state IDEA Panel (members include parents, advocates, state staff, and educators) during the 2022-2023 school year. IDEA panel members were engaged in the ECLIPSE program presentation on Indicator 17 and updates. An ECLIPSE panel committee provided qualitative feedback via a Google Form survey. The panel members conveyed the program is making progress in improving literacy outcomes forward for students with disabilities. Recommendations included increasing parental involvement and increased awareness of the program's successes. </w:t>
        <w:br/>
        <w:t>2. A virtual ECLIPSE stakeholder meeting was held during the 2022-2023 school year. Stakeholders in attendance included the ECLIPSE staff, Regional Education Cooperative (REC) coordinators, Special Education Directors, and ECLIPSE school principals. Stakeholders in attendance were provided with ECLIPSE program details for the upcoming school year and verbal feedback about the ECLIPSE Program at the end of the meeting.</w:t>
        <w:br/>
        <w:t xml:space="preserve">3. Parent engagement stakeholder meetings were held in-person and through online platforms where they were provided direct literacy training via hands-on activities. If the meeting was online, materials were provided to the schools prior to the meeting. The Regional Education Cooperative (REC) contractors provided materials, activities, and training to parents in-person. The REC initiated Google Pre and Post surveys following the trainings and it indicated that the level of understanding to support reading at home increased. Parental understanding of what the predicator of reading success was increased dramatically between pre and post surveys. A summary of parent comments included that the engagement sessions provided a lot of great information, it was a fun learning experience, and they looked forward to future meetings. </w:t>
        <w:br/>
        <w:t xml:space="preserve">4. The ECLIPSE staff initiated surveys during 2022-2023 to principals and teachers through Google Forms survey. Teachers showed dramatic increases in their knowledge of the incorporation of engagement strategies with their students due to their coaches. In a pre-survey, administrators listed that professional development on literacy is one of the greatest needs of the teachers they support. They also stated that time and equitable feedback were areas of administrative need. </w:t>
        <w:br/>
        <w:t>5. An online end of year survey was sent to all ECLIPSE stakeholders as the 2022-2023 school year ended. The main consensus from the survey supported the ongoing development of the program to illustrate its impact so adjustments can be made to better inform ourselves and our stakeholders of progress.</w:t>
      </w:r>
    </w:p>
    <w:p w14:paraId="2DB4239B" w14:textId="2F83DC57" w:rsidR="00480083" w:rsidRPr="00781112" w:rsidRDefault="00480083" w:rsidP="00480083">
      <w:pPr>
        <w:rPr>
          <w:rFonts w:cs="Arial"/>
          <w:color w:val="000000" w:themeColor="text1"/>
          <w:szCs w:val="16"/>
        </w:rPr>
      </w:pPr>
      <w:r w:rsidRPr="00781112">
        <w:rPr>
          <w:rFonts w:cs="Arial"/>
          <w:color w:val="000000" w:themeColor="text1"/>
          <w:szCs w:val="16"/>
        </w:rPr>
        <w:t/>
      </w:r>
    </w:p>
    <w:p w14:paraId="4B8B8032" w14:textId="4731FBE7" w:rsidR="0034094E" w:rsidRPr="00781112" w:rsidRDefault="0034094E">
      <w:pPr>
        <w:spacing w:before="0" w:after="200" w:line="276" w:lineRule="auto"/>
        <w:rPr>
          <w:b/>
          <w:color w:val="000000" w:themeColor="text1"/>
        </w:rPr>
      </w:pPr>
    </w:p>
    <w:p w14:paraId="185A3541" w14:textId="450E36CC" w:rsidR="004F4016" w:rsidRPr="00781112" w:rsidRDefault="00FA33C9" w:rsidP="004F4016">
      <w:pPr>
        <w:rPr>
          <w:b/>
          <w:color w:val="000000" w:themeColor="text1"/>
        </w:rPr>
      </w:pPr>
      <w:r>
        <w:rPr>
          <w:b/>
          <w:color w:val="000000" w:themeColor="text1"/>
        </w:rPr>
        <w:t xml:space="preserve">FFY 2022 Data Disaggregation from </w:t>
      </w:r>
      <w:proofErr w:type="spellStart"/>
      <w:r>
        <w:rPr>
          <w:b/>
          <w:color w:val="000000" w:themeColor="text1"/>
        </w:rPr>
        <w:t>ED</w:t>
      </w:r>
      <w:r w:rsidRPr="00BA3DBE">
        <w:rPr>
          <w:b/>
          <w:i/>
          <w:iCs/>
          <w:color w:val="000000" w:themeColor="text1"/>
        </w:rPr>
        <w:t>Facts</w:t>
      </w:r>
      <w:proofErr w:type="spellEnd"/>
    </w:p>
    <w:p w14:paraId="0D09503A" w14:textId="77777777" w:rsidR="004F4016" w:rsidRPr="00781112" w:rsidRDefault="004F4016" w:rsidP="004F4016">
      <w:pPr>
        <w:rPr>
          <w:rFonts w:cs="Arial"/>
          <w:b/>
          <w:color w:val="000000" w:themeColor="text1"/>
          <w:szCs w:val="16"/>
        </w:rPr>
      </w:pPr>
      <w:r w:rsidRPr="00781112">
        <w:rPr>
          <w:rFonts w:cs="Arial"/>
          <w:b/>
          <w:color w:val="000000" w:themeColor="text1"/>
          <w:szCs w:val="16"/>
        </w:rPr>
        <w:t xml:space="preserve">Data Source:  </w:t>
      </w:r>
    </w:p>
    <w:p w14:paraId="395788DA" w14:textId="4855F4A0" w:rsidR="004F4016" w:rsidRPr="00781112" w:rsidRDefault="004F4016" w:rsidP="004F4016">
      <w:pPr>
        <w:rPr>
          <w:rFonts w:cs="Arial"/>
          <w:color w:val="000000" w:themeColor="text1"/>
          <w:szCs w:val="16"/>
        </w:rPr>
      </w:pPr>
      <w:r w:rsidRPr="00781112">
        <w:rPr>
          <w:rFonts w:cs="Arial"/>
          <w:color w:val="000000" w:themeColor="text1"/>
          <w:szCs w:val="16"/>
        </w:rPr>
        <w:t>SY 2022-23 Assessment Data Groups - Reading  (EDFacts file spec FS188; Data Group: 589)</w:t>
      </w:r>
    </w:p>
    <w:p w14:paraId="6E29ED7B" w14:textId="77777777" w:rsidR="004F4016" w:rsidRPr="00781112" w:rsidRDefault="004F4016" w:rsidP="004F4016">
      <w:pPr>
        <w:rPr>
          <w:rFonts w:cs="Arial"/>
          <w:b/>
          <w:color w:val="000000" w:themeColor="text1"/>
          <w:szCs w:val="16"/>
        </w:rPr>
      </w:pPr>
      <w:r w:rsidRPr="00781112">
        <w:rPr>
          <w:rFonts w:cs="Arial"/>
          <w:b/>
          <w:color w:val="000000" w:themeColor="text1"/>
          <w:szCs w:val="16"/>
        </w:rPr>
        <w:t xml:space="preserve">Date: </w:t>
      </w:r>
    </w:p>
    <w:p w14:paraId="5988832A" w14:textId="77777777" w:rsidR="004F4016" w:rsidRPr="00781112" w:rsidRDefault="004F4016" w:rsidP="004F4016">
      <w:pPr>
        <w:rPr>
          <w:rFonts w:cs="Arial"/>
          <w:color w:val="000000" w:themeColor="text1"/>
          <w:szCs w:val="16"/>
        </w:rPr>
      </w:pPr>
      <w:r w:rsidRPr="00781112">
        <w:rPr>
          <w:rFonts w:cs="Arial"/>
          <w:color w:val="000000" w:themeColor="text1"/>
          <w:szCs w:val="16"/>
        </w:rPr>
        <w:t>01/10/2024</w:t>
      </w:r>
    </w:p>
    <w:p w14:paraId="651CC948" w14:textId="7845CFDF" w:rsidR="004F4016" w:rsidRPr="00781112" w:rsidRDefault="004F4016" w:rsidP="004F4016">
      <w:pPr>
        <w:rPr>
          <w:b/>
          <w:color w:val="000000" w:themeColor="text1"/>
        </w:rPr>
      </w:pPr>
      <w:r w:rsidRPr="00781112">
        <w:rPr>
          <w:b/>
          <w:color w:val="000000" w:themeColor="text1"/>
        </w:rPr>
        <w:t>Reading Assessment Participation Data by Grade</w:t>
      </w:r>
      <w:r w:rsidR="00993B32">
        <w:rPr>
          <w:b/>
          <w:color w:val="000000" w:themeColor="text1"/>
        </w:rPr>
        <w:t xml:space="preserve"> (1)</w:t>
      </w:r>
    </w:p>
    <w:tbl>
      <w:tblPr>
        <w:tblStyle w:val="TableGrid"/>
        <w:tblW w:w="5000" w:type="pct"/>
        <w:tblLayout w:type="fixed"/>
        <w:tblLook w:val="04A0" w:firstRow="1" w:lastRow="0" w:firstColumn="1" w:lastColumn="0" w:noHBand="0" w:noVBand="1"/>
        <w:tblCaption w:val="B03ASSPARTDATABYGRDRLA"/>
      </w:tblPr>
      <w:tblGrid>
        <w:gridCol w:w="3326"/>
        <w:gridCol w:w="2488"/>
        <w:gridCol w:w="2488"/>
        <w:gridCol w:w="2488"/>
      </w:tblGrid>
      <w:tr w:rsidR="00DD7CEF" w:rsidRPr="00781112" w14:paraId="403AD72A" w14:textId="77777777" w:rsidTr="009E026B">
        <w:tc>
          <w:tcPr>
            <w:tcW w:w="1541" w:type="pct"/>
            <w:shd w:val="clear" w:color="auto" w:fill="auto"/>
            <w:vAlign w:val="center"/>
          </w:tcPr>
          <w:p w14:paraId="1C62C5FF" w14:textId="603ACFA1" w:rsidR="00DD7CEF" w:rsidRPr="00781112" w:rsidRDefault="00DD7CEF" w:rsidP="00827FF4">
            <w:pPr>
              <w:jc w:val="center"/>
              <w:rPr>
                <w:rFonts w:cs="Arial"/>
                <w:b/>
                <w:bCs/>
                <w:color w:val="000000" w:themeColor="text1"/>
                <w:szCs w:val="16"/>
              </w:rPr>
            </w:pPr>
            <w:r w:rsidRPr="00781112">
              <w:rPr>
                <w:rFonts w:cs="Arial"/>
                <w:b/>
                <w:bCs/>
                <w:color w:val="000000" w:themeColor="text1"/>
                <w:szCs w:val="16"/>
              </w:rPr>
              <w:t>Group</w:t>
            </w:r>
          </w:p>
        </w:tc>
        <w:tc>
          <w:tcPr>
            <w:tcW w:w="1153" w:type="pct"/>
            <w:shd w:val="clear" w:color="auto" w:fill="auto"/>
            <w:vAlign w:val="center"/>
          </w:tcPr>
          <w:p w14:paraId="3BC293C7" w14:textId="23FBE050" w:rsidR="00DD7CEF" w:rsidRPr="00781112" w:rsidRDefault="0014778D">
            <w:pPr>
              <w:jc w:val="center"/>
              <w:rPr>
                <w:rFonts w:cs="Arial"/>
                <w:b/>
                <w:bCs/>
                <w:color w:val="000000" w:themeColor="text1"/>
                <w:szCs w:val="16"/>
              </w:rPr>
            </w:pPr>
            <w:r w:rsidRPr="00781112">
              <w:rPr>
                <w:rFonts w:cs="Arial"/>
                <w:b/>
                <w:bCs/>
                <w:color w:val="000000" w:themeColor="text1"/>
                <w:szCs w:val="16"/>
              </w:rPr>
              <w:t>Grade 4</w:t>
            </w:r>
          </w:p>
        </w:tc>
        <w:tc>
          <w:tcPr>
            <w:tcW w:w="1153" w:type="pct"/>
            <w:shd w:val="clear" w:color="auto" w:fill="auto"/>
            <w:vAlign w:val="center"/>
          </w:tcPr>
          <w:p w14:paraId="2B9E34ED" w14:textId="748CD695" w:rsidR="00DD7CEF" w:rsidRPr="00781112" w:rsidRDefault="009A58F2">
            <w:pPr>
              <w:jc w:val="center"/>
              <w:rPr>
                <w:rFonts w:cs="Arial"/>
                <w:b/>
                <w:bCs/>
                <w:color w:val="000000" w:themeColor="text1"/>
                <w:szCs w:val="16"/>
              </w:rPr>
            </w:pPr>
            <w:r w:rsidRPr="00781112">
              <w:rPr>
                <w:rFonts w:cs="Arial"/>
                <w:b/>
                <w:bCs/>
                <w:color w:val="000000" w:themeColor="text1"/>
                <w:szCs w:val="16"/>
              </w:rPr>
              <w:t>Grade 8</w:t>
            </w:r>
          </w:p>
        </w:tc>
        <w:tc>
          <w:tcPr>
            <w:tcW w:w="1153" w:type="pct"/>
            <w:shd w:val="clear" w:color="auto" w:fill="auto"/>
            <w:vAlign w:val="center"/>
          </w:tcPr>
          <w:p w14:paraId="1C889EA5" w14:textId="5C3575D5" w:rsidR="00DD7CEF" w:rsidRPr="00781112" w:rsidRDefault="00641893">
            <w:pPr>
              <w:jc w:val="center"/>
              <w:rPr>
                <w:rFonts w:cs="Arial"/>
                <w:b/>
                <w:bCs/>
                <w:color w:val="000000" w:themeColor="text1"/>
                <w:szCs w:val="16"/>
              </w:rPr>
            </w:pPr>
            <w:r w:rsidRPr="00781112">
              <w:rPr>
                <w:rFonts w:cs="Arial"/>
                <w:b/>
                <w:bCs/>
                <w:color w:val="000000" w:themeColor="text1"/>
                <w:szCs w:val="16"/>
              </w:rPr>
              <w:t>Grade HS</w:t>
            </w:r>
          </w:p>
        </w:tc>
      </w:tr>
      <w:tr w:rsidR="00DD7CEF" w:rsidRPr="00781112" w14:paraId="384D4241" w14:textId="77777777" w:rsidTr="009E026B">
        <w:tc>
          <w:tcPr>
            <w:tcW w:w="1541" w:type="pct"/>
            <w:shd w:val="clear" w:color="auto" w:fill="auto"/>
            <w:vAlign w:val="center"/>
          </w:tcPr>
          <w:p w14:paraId="2C5D3B14" w14:textId="4D5910D7" w:rsidR="00DD7CEF" w:rsidRPr="00781112" w:rsidRDefault="00DD7CEF" w:rsidP="00827FF4">
            <w:pPr>
              <w:rPr>
                <w:rFonts w:cs="Arial"/>
                <w:color w:val="000000" w:themeColor="text1"/>
                <w:szCs w:val="16"/>
              </w:rPr>
            </w:pPr>
            <w:r w:rsidRPr="00781112">
              <w:rPr>
                <w:rFonts w:cs="Arial"/>
                <w:color w:val="000000" w:themeColor="text1"/>
                <w:szCs w:val="16"/>
              </w:rPr>
              <w:t>a. Children with IEPs (2)</w:t>
            </w:r>
          </w:p>
        </w:tc>
        <w:tc>
          <w:tcPr>
            <w:tcW w:w="1153" w:type="pct"/>
            <w:shd w:val="clear" w:color="auto" w:fill="auto"/>
            <w:vAlign w:val="center"/>
          </w:tcPr>
          <w:p w14:paraId="76979ED3" w14:textId="29C55693" w:rsidR="00DD7CEF" w:rsidRPr="00781112" w:rsidRDefault="00DD7CEF" w:rsidP="00360DD6">
            <w:pPr>
              <w:jc w:val="center"/>
              <w:rPr>
                <w:rFonts w:cs="Arial"/>
                <w:color w:val="000000" w:themeColor="text1"/>
                <w:szCs w:val="16"/>
              </w:rPr>
            </w:pPr>
            <w:r w:rsidRPr="00781112">
              <w:rPr>
                <w:rFonts w:cs="Arial"/>
                <w:color w:val="000000" w:themeColor="text1"/>
                <w:szCs w:val="16"/>
              </w:rPr>
              <w:t>4,632</w:t>
            </w:r>
          </w:p>
        </w:tc>
        <w:tc>
          <w:tcPr>
            <w:tcW w:w="1153" w:type="pct"/>
            <w:shd w:val="clear" w:color="auto" w:fill="auto"/>
            <w:vAlign w:val="center"/>
          </w:tcPr>
          <w:p w14:paraId="35D7BA3B" w14:textId="1A0E2FBE" w:rsidR="00DD7CEF" w:rsidRPr="00781112" w:rsidRDefault="00DD7CEF" w:rsidP="00360DD6">
            <w:pPr>
              <w:jc w:val="center"/>
              <w:rPr>
                <w:rFonts w:cs="Arial"/>
                <w:color w:val="000000" w:themeColor="text1"/>
                <w:szCs w:val="16"/>
              </w:rPr>
            </w:pPr>
            <w:r w:rsidRPr="00781112">
              <w:rPr>
                <w:rFonts w:cs="Arial"/>
                <w:color w:val="000000" w:themeColor="text1"/>
                <w:szCs w:val="16"/>
              </w:rPr>
              <w:t>4,517</w:t>
            </w:r>
          </w:p>
        </w:tc>
        <w:tc>
          <w:tcPr>
            <w:tcW w:w="1153" w:type="pct"/>
            <w:shd w:val="clear" w:color="auto" w:fill="auto"/>
            <w:vAlign w:val="center"/>
          </w:tcPr>
          <w:p w14:paraId="052A06A3" w14:textId="4AC6D010" w:rsidR="00DD7CEF" w:rsidRPr="00781112" w:rsidRDefault="00DD7CEF" w:rsidP="00360DD6">
            <w:pPr>
              <w:jc w:val="center"/>
              <w:rPr>
                <w:rFonts w:cs="Arial"/>
                <w:color w:val="000000" w:themeColor="text1"/>
                <w:szCs w:val="16"/>
              </w:rPr>
            </w:pPr>
            <w:r w:rsidRPr="00781112">
              <w:rPr>
                <w:rFonts w:cs="Arial"/>
                <w:color w:val="000000" w:themeColor="text1"/>
                <w:szCs w:val="16"/>
              </w:rPr>
              <w:t>3,310</w:t>
            </w:r>
          </w:p>
        </w:tc>
      </w:tr>
      <w:tr w:rsidR="00DD7CEF" w:rsidRPr="00781112" w14:paraId="7B6E221D" w14:textId="77777777" w:rsidTr="009E026B">
        <w:tc>
          <w:tcPr>
            <w:tcW w:w="1541" w:type="pct"/>
            <w:shd w:val="clear" w:color="auto" w:fill="auto"/>
            <w:vAlign w:val="center"/>
          </w:tcPr>
          <w:p w14:paraId="06F38372" w14:textId="6CFF7C17" w:rsidR="00DD7CEF" w:rsidRPr="00781112" w:rsidRDefault="00DD7CEF" w:rsidP="00827FF4">
            <w:pPr>
              <w:rPr>
                <w:rFonts w:cs="Arial"/>
                <w:color w:val="000000" w:themeColor="text1"/>
                <w:szCs w:val="16"/>
              </w:rPr>
            </w:pPr>
            <w:r w:rsidRPr="00781112">
              <w:rPr>
                <w:rFonts w:cs="Arial"/>
                <w:color w:val="000000" w:themeColor="text1"/>
                <w:szCs w:val="16"/>
              </w:rPr>
              <w:t>b. Children with IEPs in regular assessment with no accommodations (3)</w:t>
            </w:r>
          </w:p>
        </w:tc>
        <w:tc>
          <w:tcPr>
            <w:tcW w:w="1153" w:type="pct"/>
            <w:shd w:val="clear" w:color="auto" w:fill="auto"/>
            <w:vAlign w:val="center"/>
          </w:tcPr>
          <w:p w14:paraId="59910B66" w14:textId="372C2375" w:rsidR="00DD7CEF" w:rsidRPr="00781112" w:rsidRDefault="00DD7CEF" w:rsidP="00360DD6">
            <w:pPr>
              <w:jc w:val="center"/>
              <w:rPr>
                <w:rFonts w:cs="Arial"/>
                <w:color w:val="000000" w:themeColor="text1"/>
                <w:szCs w:val="16"/>
              </w:rPr>
            </w:pPr>
            <w:r w:rsidRPr="00781112">
              <w:rPr>
                <w:rFonts w:cs="Arial"/>
                <w:color w:val="000000" w:themeColor="text1"/>
                <w:szCs w:val="16"/>
              </w:rPr>
              <w:t>1,194</w:t>
            </w:r>
          </w:p>
        </w:tc>
        <w:tc>
          <w:tcPr>
            <w:tcW w:w="1153" w:type="pct"/>
            <w:shd w:val="clear" w:color="auto" w:fill="auto"/>
            <w:vAlign w:val="center"/>
          </w:tcPr>
          <w:p w14:paraId="58E61FB0" w14:textId="02C429C4" w:rsidR="00DD7CEF" w:rsidRPr="00781112" w:rsidRDefault="00DD7CEF" w:rsidP="00360DD6">
            <w:pPr>
              <w:jc w:val="center"/>
              <w:rPr>
                <w:rFonts w:cs="Arial"/>
                <w:color w:val="000000" w:themeColor="text1"/>
                <w:szCs w:val="16"/>
              </w:rPr>
            </w:pPr>
            <w:r w:rsidRPr="00781112">
              <w:rPr>
                <w:rFonts w:cs="Arial"/>
                <w:color w:val="000000" w:themeColor="text1"/>
                <w:szCs w:val="16"/>
              </w:rPr>
              <w:t>1,242</w:t>
            </w:r>
          </w:p>
        </w:tc>
        <w:tc>
          <w:tcPr>
            <w:tcW w:w="1153" w:type="pct"/>
            <w:shd w:val="clear" w:color="auto" w:fill="auto"/>
            <w:vAlign w:val="center"/>
          </w:tcPr>
          <w:p w14:paraId="60320EC9" w14:textId="6D87AECE" w:rsidR="00DD7CEF" w:rsidRPr="00781112" w:rsidRDefault="00DD7CEF" w:rsidP="00360DD6">
            <w:pPr>
              <w:jc w:val="center"/>
              <w:rPr>
                <w:rFonts w:cs="Arial"/>
                <w:color w:val="000000" w:themeColor="text1"/>
                <w:szCs w:val="16"/>
              </w:rPr>
            </w:pPr>
            <w:r w:rsidRPr="00781112">
              <w:rPr>
                <w:rFonts w:cs="Arial"/>
                <w:color w:val="000000" w:themeColor="text1"/>
                <w:szCs w:val="16"/>
              </w:rPr>
              <w:t>732</w:t>
            </w:r>
          </w:p>
        </w:tc>
      </w:tr>
      <w:tr w:rsidR="00DD7CEF" w:rsidRPr="00781112" w14:paraId="764B5297" w14:textId="77777777" w:rsidTr="009E026B">
        <w:tc>
          <w:tcPr>
            <w:tcW w:w="1541" w:type="pct"/>
            <w:shd w:val="clear" w:color="auto" w:fill="auto"/>
            <w:vAlign w:val="center"/>
          </w:tcPr>
          <w:p w14:paraId="4B1F9E5B" w14:textId="10333647" w:rsidR="00DD7CEF" w:rsidRPr="00781112" w:rsidRDefault="00DD7CEF" w:rsidP="00827FF4">
            <w:pPr>
              <w:rPr>
                <w:rFonts w:cs="Arial"/>
                <w:color w:val="000000" w:themeColor="text1"/>
                <w:szCs w:val="16"/>
              </w:rPr>
            </w:pPr>
            <w:r w:rsidRPr="00781112">
              <w:rPr>
                <w:rFonts w:cs="Arial"/>
                <w:color w:val="000000" w:themeColor="text1"/>
                <w:szCs w:val="16"/>
              </w:rPr>
              <w:t>c. Children with IEPs in regular assessment with accommodations (3)</w:t>
            </w:r>
          </w:p>
        </w:tc>
        <w:tc>
          <w:tcPr>
            <w:tcW w:w="1153" w:type="pct"/>
            <w:shd w:val="clear" w:color="auto" w:fill="auto"/>
            <w:vAlign w:val="center"/>
          </w:tcPr>
          <w:p w14:paraId="19E2C9E2" w14:textId="62074AB9" w:rsidR="00DD7CEF" w:rsidRPr="00781112" w:rsidRDefault="00DD7CEF" w:rsidP="00360DD6">
            <w:pPr>
              <w:jc w:val="center"/>
              <w:rPr>
                <w:rFonts w:cs="Arial"/>
                <w:color w:val="000000" w:themeColor="text1"/>
                <w:szCs w:val="16"/>
              </w:rPr>
            </w:pPr>
            <w:r w:rsidRPr="00781112">
              <w:rPr>
                <w:rFonts w:cs="Arial"/>
                <w:color w:val="000000" w:themeColor="text1"/>
                <w:szCs w:val="16"/>
              </w:rPr>
              <w:t>3,027</w:t>
            </w:r>
          </w:p>
        </w:tc>
        <w:tc>
          <w:tcPr>
            <w:tcW w:w="1153" w:type="pct"/>
            <w:shd w:val="clear" w:color="auto" w:fill="auto"/>
            <w:vAlign w:val="center"/>
          </w:tcPr>
          <w:p w14:paraId="3DB02599" w14:textId="2A0B712D" w:rsidR="00DD7CEF" w:rsidRPr="00781112" w:rsidRDefault="00DD7CEF" w:rsidP="00360DD6">
            <w:pPr>
              <w:jc w:val="center"/>
              <w:rPr>
                <w:rFonts w:cs="Arial"/>
                <w:color w:val="000000" w:themeColor="text1"/>
                <w:szCs w:val="16"/>
              </w:rPr>
            </w:pPr>
            <w:r w:rsidRPr="00781112">
              <w:rPr>
                <w:rFonts w:cs="Arial"/>
                <w:color w:val="000000" w:themeColor="text1"/>
                <w:szCs w:val="16"/>
              </w:rPr>
              <w:t>2,705</w:t>
            </w:r>
          </w:p>
        </w:tc>
        <w:tc>
          <w:tcPr>
            <w:tcW w:w="1153" w:type="pct"/>
            <w:shd w:val="clear" w:color="auto" w:fill="auto"/>
            <w:vAlign w:val="center"/>
          </w:tcPr>
          <w:p w14:paraId="4B5AD287" w14:textId="21E448FD" w:rsidR="00DD7CEF" w:rsidRPr="00781112" w:rsidRDefault="00DD7CEF" w:rsidP="00360DD6">
            <w:pPr>
              <w:jc w:val="center"/>
              <w:rPr>
                <w:rFonts w:cs="Arial"/>
                <w:color w:val="000000" w:themeColor="text1"/>
                <w:szCs w:val="16"/>
              </w:rPr>
            </w:pPr>
            <w:r w:rsidRPr="00781112">
              <w:rPr>
                <w:rFonts w:cs="Arial"/>
                <w:color w:val="000000" w:themeColor="text1"/>
                <w:szCs w:val="16"/>
              </w:rPr>
              <w:t>1,913</w:t>
            </w:r>
          </w:p>
        </w:tc>
      </w:tr>
      <w:tr w:rsidR="00DD7CEF" w:rsidRPr="00781112" w14:paraId="2174424F" w14:textId="77777777" w:rsidTr="009E026B">
        <w:tc>
          <w:tcPr>
            <w:tcW w:w="1541" w:type="pct"/>
            <w:shd w:val="clear" w:color="auto" w:fill="auto"/>
            <w:vAlign w:val="center"/>
          </w:tcPr>
          <w:p w14:paraId="42AC6AFC" w14:textId="1F1C0A89" w:rsidR="00DD7CEF" w:rsidRPr="00781112" w:rsidRDefault="00E67387" w:rsidP="00827FF4">
            <w:pPr>
              <w:rPr>
                <w:rFonts w:cs="Arial"/>
                <w:color w:val="000000" w:themeColor="text1"/>
                <w:szCs w:val="16"/>
              </w:rPr>
            </w:pPr>
            <w:r w:rsidRPr="00781112">
              <w:rPr>
                <w:rFonts w:cs="Arial"/>
                <w:color w:val="000000" w:themeColor="text1"/>
                <w:szCs w:val="16"/>
              </w:rPr>
              <w:t xml:space="preserve">d. Children with IEPs in alternate assessment against alternate standards </w:t>
            </w:r>
          </w:p>
        </w:tc>
        <w:tc>
          <w:tcPr>
            <w:tcW w:w="1153" w:type="pct"/>
            <w:shd w:val="clear" w:color="auto" w:fill="auto"/>
            <w:vAlign w:val="center"/>
          </w:tcPr>
          <w:p w14:paraId="372F0481" w14:textId="200584A1" w:rsidR="00DD7CEF" w:rsidRPr="00781112" w:rsidRDefault="00DD7CEF" w:rsidP="00360DD6">
            <w:pPr>
              <w:jc w:val="center"/>
              <w:rPr>
                <w:rFonts w:cs="Arial"/>
                <w:color w:val="000000" w:themeColor="text1"/>
                <w:szCs w:val="16"/>
              </w:rPr>
            </w:pPr>
            <w:r w:rsidRPr="00781112">
              <w:rPr>
                <w:rFonts w:cs="Arial"/>
                <w:color w:val="000000" w:themeColor="text1"/>
                <w:szCs w:val="16"/>
              </w:rPr>
              <w:t>296</w:t>
            </w:r>
          </w:p>
        </w:tc>
        <w:tc>
          <w:tcPr>
            <w:tcW w:w="1153" w:type="pct"/>
            <w:shd w:val="clear" w:color="auto" w:fill="auto"/>
            <w:vAlign w:val="center"/>
          </w:tcPr>
          <w:p w14:paraId="74C112C5" w14:textId="5B153323" w:rsidR="00DD7CEF" w:rsidRPr="00781112" w:rsidRDefault="00DD7CEF" w:rsidP="00360DD6">
            <w:pPr>
              <w:jc w:val="center"/>
              <w:rPr>
                <w:rFonts w:cs="Arial"/>
                <w:color w:val="000000" w:themeColor="text1"/>
                <w:szCs w:val="16"/>
              </w:rPr>
            </w:pPr>
            <w:r w:rsidRPr="00781112">
              <w:rPr>
                <w:rFonts w:cs="Arial"/>
                <w:color w:val="000000" w:themeColor="text1"/>
                <w:szCs w:val="16"/>
              </w:rPr>
              <w:t>316</w:t>
            </w:r>
          </w:p>
        </w:tc>
        <w:tc>
          <w:tcPr>
            <w:tcW w:w="1153" w:type="pct"/>
            <w:shd w:val="clear" w:color="auto" w:fill="auto"/>
            <w:vAlign w:val="center"/>
          </w:tcPr>
          <w:p w14:paraId="37AA75C1" w14:textId="6F75A72A" w:rsidR="00DD7CEF" w:rsidRPr="00781112" w:rsidRDefault="00DD7CEF" w:rsidP="00360DD6">
            <w:pPr>
              <w:jc w:val="center"/>
              <w:rPr>
                <w:rFonts w:cs="Arial"/>
                <w:color w:val="000000" w:themeColor="text1"/>
                <w:szCs w:val="16"/>
              </w:rPr>
            </w:pPr>
            <w:r w:rsidRPr="00781112">
              <w:rPr>
                <w:rFonts w:cs="Arial"/>
                <w:color w:val="000000" w:themeColor="text1"/>
                <w:szCs w:val="16"/>
              </w:rPr>
              <w:t>254</w:t>
            </w:r>
          </w:p>
        </w:tc>
      </w:tr>
    </w:tbl>
    <w:p w14:paraId="2BFA9082" w14:textId="77777777" w:rsidR="003C0975" w:rsidRPr="00781112" w:rsidRDefault="003C0975" w:rsidP="004F4016">
      <w:pPr>
        <w:rPr>
          <w:b/>
          <w:color w:val="000000" w:themeColor="text1"/>
        </w:rPr>
      </w:pPr>
    </w:p>
    <w:p w14:paraId="7180C13A" w14:textId="77777777" w:rsidR="004F4016" w:rsidRPr="00781112" w:rsidRDefault="004F4016" w:rsidP="004F4016">
      <w:pPr>
        <w:rPr>
          <w:rFonts w:cs="Arial"/>
          <w:b/>
          <w:color w:val="000000" w:themeColor="text1"/>
          <w:szCs w:val="16"/>
        </w:rPr>
      </w:pPr>
      <w:r w:rsidRPr="00781112">
        <w:rPr>
          <w:rFonts w:cs="Arial"/>
          <w:b/>
          <w:color w:val="000000" w:themeColor="text1"/>
          <w:szCs w:val="16"/>
        </w:rPr>
        <w:t xml:space="preserve">Data Source: </w:t>
      </w:r>
    </w:p>
    <w:p w14:paraId="7381D1CB" w14:textId="5EA62270" w:rsidR="004F4016" w:rsidRPr="00781112" w:rsidRDefault="004F4016" w:rsidP="004F4016">
      <w:pPr>
        <w:rPr>
          <w:rFonts w:cs="Arial"/>
          <w:color w:val="000000" w:themeColor="text1"/>
          <w:szCs w:val="16"/>
        </w:rPr>
      </w:pPr>
      <w:r w:rsidRPr="00781112">
        <w:rPr>
          <w:rFonts w:cs="Arial"/>
          <w:color w:val="000000" w:themeColor="text1"/>
          <w:szCs w:val="16"/>
        </w:rPr>
        <w:t>SY 2022-23 Assessment Data Groups - Math  (EDFacts file spec FS185; Data Group: 588)</w:t>
      </w:r>
    </w:p>
    <w:p w14:paraId="565A3F2C" w14:textId="77777777" w:rsidR="004F4016" w:rsidRPr="00781112" w:rsidRDefault="004F4016" w:rsidP="004F4016">
      <w:pPr>
        <w:rPr>
          <w:rFonts w:cs="Arial"/>
          <w:b/>
          <w:color w:val="000000" w:themeColor="text1"/>
          <w:szCs w:val="16"/>
        </w:rPr>
      </w:pPr>
      <w:r w:rsidRPr="00781112">
        <w:rPr>
          <w:rFonts w:cs="Arial"/>
          <w:b/>
          <w:color w:val="000000" w:themeColor="text1"/>
          <w:szCs w:val="16"/>
        </w:rPr>
        <w:t xml:space="preserve">Date: </w:t>
      </w:r>
    </w:p>
    <w:p w14:paraId="44216026" w14:textId="00B372B9" w:rsidR="004F4016" w:rsidRPr="00781112" w:rsidRDefault="004F4016" w:rsidP="004F4016">
      <w:pPr>
        <w:rPr>
          <w:rFonts w:cs="Arial"/>
          <w:color w:val="000000" w:themeColor="text1"/>
          <w:szCs w:val="16"/>
        </w:rPr>
      </w:pPr>
      <w:r w:rsidRPr="00781112">
        <w:rPr>
          <w:rFonts w:cs="Arial"/>
          <w:color w:val="000000" w:themeColor="text1"/>
          <w:szCs w:val="16"/>
        </w:rPr>
        <w:t>01/10/2024</w:t>
      </w:r>
    </w:p>
    <w:p w14:paraId="4F72747C" w14:textId="77777777" w:rsidR="004F4016" w:rsidRPr="00781112" w:rsidRDefault="004F4016" w:rsidP="004F4016">
      <w:pPr>
        <w:rPr>
          <w:b/>
          <w:color w:val="000000" w:themeColor="text1"/>
        </w:rPr>
      </w:pPr>
      <w:r w:rsidRPr="00781112">
        <w:rPr>
          <w:b/>
          <w:color w:val="000000" w:themeColor="text1"/>
        </w:rPr>
        <w:t>Math Assessment Participation Data by Grade</w:t>
      </w:r>
    </w:p>
    <w:tbl>
      <w:tblPr>
        <w:tblStyle w:val="TableGrid"/>
        <w:tblW w:w="5000" w:type="pct"/>
        <w:tblLayout w:type="fixed"/>
        <w:tblLook w:val="04A0" w:firstRow="1" w:lastRow="0" w:firstColumn="1" w:lastColumn="0" w:noHBand="0" w:noVBand="1"/>
        <w:tblCaption w:val="B03ASSPARTDATABYGRDMATH"/>
      </w:tblPr>
      <w:tblGrid>
        <w:gridCol w:w="3326"/>
        <w:gridCol w:w="2488"/>
        <w:gridCol w:w="2488"/>
        <w:gridCol w:w="2488"/>
      </w:tblGrid>
      <w:tr w:rsidR="00227E23" w:rsidRPr="00781112" w14:paraId="765286EB" w14:textId="77777777" w:rsidTr="009E026B">
        <w:tc>
          <w:tcPr>
            <w:tcW w:w="1541" w:type="pct"/>
            <w:shd w:val="clear" w:color="auto" w:fill="auto"/>
            <w:vAlign w:val="center"/>
          </w:tcPr>
          <w:p w14:paraId="74EB9B5A" w14:textId="0F9AEAED" w:rsidR="00227E23" w:rsidRPr="00781112" w:rsidRDefault="00835EAD" w:rsidP="00227E23">
            <w:pPr>
              <w:jc w:val="center"/>
              <w:rPr>
                <w:rFonts w:cs="Arial"/>
                <w:b/>
                <w:bCs/>
                <w:color w:val="000000" w:themeColor="text1"/>
                <w:szCs w:val="16"/>
              </w:rPr>
            </w:pPr>
            <w:r w:rsidRPr="00781112">
              <w:rPr>
                <w:rFonts w:cs="Arial"/>
                <w:b/>
                <w:bCs/>
                <w:color w:val="000000" w:themeColor="text1"/>
                <w:szCs w:val="16"/>
              </w:rPr>
              <w:t>Group</w:t>
            </w:r>
          </w:p>
        </w:tc>
        <w:tc>
          <w:tcPr>
            <w:tcW w:w="1153" w:type="pct"/>
            <w:shd w:val="clear" w:color="auto" w:fill="auto"/>
            <w:vAlign w:val="center"/>
          </w:tcPr>
          <w:p w14:paraId="0DB3B187" w14:textId="58265A3B" w:rsidR="00227E23" w:rsidRPr="00781112" w:rsidRDefault="00227E23">
            <w:pPr>
              <w:jc w:val="center"/>
              <w:rPr>
                <w:rFonts w:cs="Arial"/>
                <w:b/>
                <w:bCs/>
                <w:color w:val="000000" w:themeColor="text1"/>
                <w:szCs w:val="16"/>
              </w:rPr>
            </w:pPr>
            <w:r w:rsidRPr="00781112">
              <w:rPr>
                <w:rFonts w:cs="Arial"/>
                <w:b/>
                <w:bCs/>
                <w:color w:val="000000" w:themeColor="text1"/>
                <w:szCs w:val="16"/>
              </w:rPr>
              <w:t>Grade 4</w:t>
            </w:r>
          </w:p>
        </w:tc>
        <w:tc>
          <w:tcPr>
            <w:tcW w:w="1153" w:type="pct"/>
            <w:shd w:val="clear" w:color="auto" w:fill="auto"/>
            <w:vAlign w:val="center"/>
          </w:tcPr>
          <w:p w14:paraId="41AE35D3" w14:textId="574BC069" w:rsidR="00227E23" w:rsidRPr="00781112" w:rsidRDefault="00227E23">
            <w:pPr>
              <w:jc w:val="center"/>
              <w:rPr>
                <w:rFonts w:cs="Arial"/>
                <w:b/>
                <w:bCs/>
                <w:color w:val="000000" w:themeColor="text1"/>
                <w:szCs w:val="16"/>
              </w:rPr>
            </w:pPr>
            <w:r w:rsidRPr="00781112">
              <w:rPr>
                <w:rFonts w:cs="Arial"/>
                <w:b/>
                <w:bCs/>
                <w:color w:val="000000" w:themeColor="text1"/>
                <w:szCs w:val="16"/>
              </w:rPr>
              <w:t>Grade 8</w:t>
            </w:r>
          </w:p>
        </w:tc>
        <w:tc>
          <w:tcPr>
            <w:tcW w:w="1153" w:type="pct"/>
            <w:shd w:val="clear" w:color="auto" w:fill="auto"/>
            <w:vAlign w:val="center"/>
          </w:tcPr>
          <w:p w14:paraId="5353B8D1" w14:textId="6B6DA4E3" w:rsidR="00227E23" w:rsidRPr="00781112" w:rsidRDefault="00227E23">
            <w:pPr>
              <w:jc w:val="center"/>
              <w:rPr>
                <w:rFonts w:cs="Arial"/>
                <w:b/>
                <w:bCs/>
                <w:color w:val="000000" w:themeColor="text1"/>
                <w:szCs w:val="16"/>
              </w:rPr>
            </w:pPr>
            <w:r w:rsidRPr="00781112">
              <w:rPr>
                <w:rFonts w:cs="Arial"/>
                <w:b/>
                <w:bCs/>
                <w:color w:val="000000" w:themeColor="text1"/>
                <w:szCs w:val="16"/>
              </w:rPr>
              <w:t>Grade HS</w:t>
            </w:r>
          </w:p>
        </w:tc>
      </w:tr>
      <w:tr w:rsidR="00BA0CFF" w:rsidRPr="00781112" w14:paraId="3F5839E5" w14:textId="77777777" w:rsidTr="009E026B">
        <w:tc>
          <w:tcPr>
            <w:tcW w:w="1541" w:type="pct"/>
            <w:shd w:val="clear" w:color="auto" w:fill="auto"/>
            <w:vAlign w:val="center"/>
          </w:tcPr>
          <w:p w14:paraId="570ED876" w14:textId="6CE7F50C" w:rsidR="00BA0CFF" w:rsidRPr="00781112" w:rsidRDefault="00BA0CFF" w:rsidP="00BA0CFF">
            <w:pPr>
              <w:rPr>
                <w:rFonts w:cs="Arial"/>
                <w:color w:val="000000" w:themeColor="text1"/>
                <w:szCs w:val="16"/>
              </w:rPr>
            </w:pPr>
            <w:r w:rsidRPr="00781112">
              <w:rPr>
                <w:rFonts w:cs="Arial"/>
                <w:color w:val="000000" w:themeColor="text1"/>
                <w:szCs w:val="16"/>
              </w:rPr>
              <w:t>a. Children with IEPs (2)</w:t>
            </w:r>
          </w:p>
        </w:tc>
        <w:tc>
          <w:tcPr>
            <w:tcW w:w="1153" w:type="pct"/>
            <w:shd w:val="clear" w:color="auto" w:fill="auto"/>
            <w:vAlign w:val="center"/>
          </w:tcPr>
          <w:p w14:paraId="6F9300B4" w14:textId="685B8914" w:rsidR="00BA0CFF" w:rsidRPr="00781112" w:rsidRDefault="00BA0CFF" w:rsidP="00360DD6">
            <w:pPr>
              <w:jc w:val="center"/>
              <w:rPr>
                <w:rFonts w:cs="Arial"/>
                <w:color w:val="000000" w:themeColor="text1"/>
                <w:szCs w:val="16"/>
              </w:rPr>
            </w:pPr>
            <w:r w:rsidRPr="00781112">
              <w:rPr>
                <w:rFonts w:cs="Arial"/>
                <w:color w:val="000000" w:themeColor="text1"/>
                <w:szCs w:val="16"/>
              </w:rPr>
              <w:t>4,632</w:t>
            </w:r>
          </w:p>
        </w:tc>
        <w:tc>
          <w:tcPr>
            <w:tcW w:w="1153" w:type="pct"/>
            <w:shd w:val="clear" w:color="auto" w:fill="auto"/>
            <w:vAlign w:val="center"/>
          </w:tcPr>
          <w:p w14:paraId="758EF16C" w14:textId="1AA6C4C5" w:rsidR="00BA0CFF" w:rsidRPr="00781112" w:rsidRDefault="00BA0CFF" w:rsidP="00360DD6">
            <w:pPr>
              <w:jc w:val="center"/>
              <w:rPr>
                <w:rFonts w:cs="Arial"/>
                <w:color w:val="000000" w:themeColor="text1"/>
                <w:szCs w:val="16"/>
              </w:rPr>
            </w:pPr>
            <w:r w:rsidRPr="00781112">
              <w:rPr>
                <w:rFonts w:cs="Arial"/>
                <w:color w:val="000000" w:themeColor="text1"/>
                <w:szCs w:val="16"/>
              </w:rPr>
              <w:t>4,517</w:t>
            </w:r>
          </w:p>
        </w:tc>
        <w:tc>
          <w:tcPr>
            <w:tcW w:w="1153" w:type="pct"/>
            <w:shd w:val="clear" w:color="auto" w:fill="auto"/>
            <w:vAlign w:val="center"/>
          </w:tcPr>
          <w:p w14:paraId="07D0BC24" w14:textId="0AD780C0" w:rsidR="00BA0CFF" w:rsidRPr="00781112" w:rsidRDefault="00BA0CFF" w:rsidP="00360DD6">
            <w:pPr>
              <w:jc w:val="center"/>
              <w:rPr>
                <w:rFonts w:cs="Arial"/>
                <w:color w:val="000000" w:themeColor="text1"/>
                <w:szCs w:val="16"/>
              </w:rPr>
            </w:pPr>
            <w:r w:rsidRPr="00781112">
              <w:rPr>
                <w:rFonts w:cs="Arial"/>
                <w:color w:val="000000" w:themeColor="text1"/>
                <w:szCs w:val="16"/>
              </w:rPr>
              <w:t>3,310</w:t>
            </w:r>
          </w:p>
        </w:tc>
      </w:tr>
      <w:tr w:rsidR="003A67B1" w:rsidRPr="00781112" w14:paraId="1B3F669C" w14:textId="77777777" w:rsidTr="009E026B">
        <w:tc>
          <w:tcPr>
            <w:tcW w:w="1541" w:type="pct"/>
            <w:shd w:val="clear" w:color="auto" w:fill="auto"/>
            <w:vAlign w:val="center"/>
          </w:tcPr>
          <w:p w14:paraId="36B1CD39" w14:textId="0D04D4C9" w:rsidR="003A67B1" w:rsidRPr="00781112" w:rsidRDefault="003A67B1" w:rsidP="003A67B1">
            <w:pPr>
              <w:rPr>
                <w:rFonts w:cs="Arial"/>
                <w:color w:val="000000" w:themeColor="text1"/>
                <w:szCs w:val="16"/>
              </w:rPr>
            </w:pPr>
            <w:r w:rsidRPr="00781112">
              <w:rPr>
                <w:rFonts w:cs="Arial"/>
                <w:color w:val="000000" w:themeColor="text1"/>
                <w:szCs w:val="16"/>
              </w:rPr>
              <w:t>b. Children with IEPs in regular assessment with no accommodations (3)</w:t>
            </w:r>
          </w:p>
        </w:tc>
        <w:tc>
          <w:tcPr>
            <w:tcW w:w="1153" w:type="pct"/>
            <w:shd w:val="clear" w:color="auto" w:fill="auto"/>
            <w:vAlign w:val="center"/>
          </w:tcPr>
          <w:p w14:paraId="5E1AE50A" w14:textId="410612C1" w:rsidR="003A67B1" w:rsidRPr="00781112" w:rsidRDefault="003A67B1" w:rsidP="003A67B1">
            <w:pPr>
              <w:jc w:val="center"/>
              <w:rPr>
                <w:rFonts w:cs="Arial"/>
                <w:color w:val="000000" w:themeColor="text1"/>
                <w:szCs w:val="16"/>
              </w:rPr>
            </w:pPr>
            <w:r w:rsidRPr="00781112">
              <w:rPr>
                <w:rFonts w:cs="Arial"/>
                <w:color w:val="000000" w:themeColor="text1"/>
                <w:szCs w:val="16"/>
              </w:rPr>
              <w:t>1,170</w:t>
            </w:r>
          </w:p>
        </w:tc>
        <w:tc>
          <w:tcPr>
            <w:tcW w:w="1153" w:type="pct"/>
            <w:shd w:val="clear" w:color="auto" w:fill="auto"/>
            <w:vAlign w:val="center"/>
          </w:tcPr>
          <w:p w14:paraId="48D18899" w14:textId="210A5A25" w:rsidR="003A67B1" w:rsidRPr="00781112" w:rsidRDefault="003A67B1" w:rsidP="003A67B1">
            <w:pPr>
              <w:jc w:val="center"/>
              <w:rPr>
                <w:rFonts w:cs="Arial"/>
                <w:color w:val="000000" w:themeColor="text1"/>
                <w:szCs w:val="16"/>
              </w:rPr>
            </w:pPr>
            <w:r w:rsidRPr="00781112">
              <w:rPr>
                <w:rFonts w:cs="Arial"/>
                <w:color w:val="000000" w:themeColor="text1"/>
                <w:szCs w:val="16"/>
              </w:rPr>
              <w:t>1,241</w:t>
            </w:r>
          </w:p>
        </w:tc>
        <w:tc>
          <w:tcPr>
            <w:tcW w:w="1153" w:type="pct"/>
            <w:shd w:val="clear" w:color="auto" w:fill="auto"/>
            <w:vAlign w:val="center"/>
          </w:tcPr>
          <w:p w14:paraId="297238DD" w14:textId="253103BA" w:rsidR="003A67B1" w:rsidRPr="00781112" w:rsidRDefault="003A67B1" w:rsidP="003A67B1">
            <w:pPr>
              <w:jc w:val="center"/>
              <w:rPr>
                <w:rFonts w:cs="Arial"/>
                <w:color w:val="000000" w:themeColor="text1"/>
                <w:szCs w:val="16"/>
              </w:rPr>
            </w:pPr>
            <w:r w:rsidRPr="00781112">
              <w:rPr>
                <w:rFonts w:cs="Arial"/>
                <w:color w:val="000000" w:themeColor="text1"/>
                <w:szCs w:val="16"/>
              </w:rPr>
              <w:t>730</w:t>
            </w:r>
          </w:p>
        </w:tc>
      </w:tr>
      <w:tr w:rsidR="003A67B1" w:rsidRPr="00781112" w14:paraId="206D39D6" w14:textId="77777777" w:rsidTr="009E026B">
        <w:tc>
          <w:tcPr>
            <w:tcW w:w="1541" w:type="pct"/>
            <w:shd w:val="clear" w:color="auto" w:fill="auto"/>
            <w:vAlign w:val="center"/>
          </w:tcPr>
          <w:p w14:paraId="6A501FD3" w14:textId="1E096187" w:rsidR="003A67B1" w:rsidRPr="00781112" w:rsidRDefault="003A67B1" w:rsidP="003A67B1">
            <w:pPr>
              <w:rPr>
                <w:rFonts w:cs="Arial"/>
                <w:color w:val="000000" w:themeColor="text1"/>
                <w:szCs w:val="16"/>
              </w:rPr>
            </w:pPr>
            <w:r w:rsidRPr="00781112">
              <w:rPr>
                <w:rFonts w:cs="Arial"/>
                <w:color w:val="000000" w:themeColor="text1"/>
                <w:szCs w:val="16"/>
              </w:rPr>
              <w:t>c. Children with IEPs in regular assessment with accommodations (3)</w:t>
            </w:r>
          </w:p>
        </w:tc>
        <w:tc>
          <w:tcPr>
            <w:tcW w:w="1153" w:type="pct"/>
            <w:shd w:val="clear" w:color="auto" w:fill="auto"/>
            <w:vAlign w:val="center"/>
          </w:tcPr>
          <w:p w14:paraId="1EE1C17D" w14:textId="207E06F2" w:rsidR="003A67B1" w:rsidRPr="00781112" w:rsidRDefault="003A67B1" w:rsidP="003A67B1">
            <w:pPr>
              <w:jc w:val="center"/>
              <w:rPr>
                <w:rFonts w:cs="Arial"/>
                <w:color w:val="000000" w:themeColor="text1"/>
                <w:szCs w:val="16"/>
              </w:rPr>
            </w:pPr>
            <w:r w:rsidRPr="00781112">
              <w:rPr>
                <w:rFonts w:cs="Arial"/>
                <w:color w:val="000000" w:themeColor="text1"/>
                <w:szCs w:val="16"/>
              </w:rPr>
              <w:t>3,030</w:t>
            </w:r>
          </w:p>
        </w:tc>
        <w:tc>
          <w:tcPr>
            <w:tcW w:w="1153" w:type="pct"/>
            <w:shd w:val="clear" w:color="auto" w:fill="auto"/>
            <w:vAlign w:val="center"/>
          </w:tcPr>
          <w:p w14:paraId="55C89819" w14:textId="1DDD2B16" w:rsidR="003A67B1" w:rsidRPr="00781112" w:rsidRDefault="003A67B1" w:rsidP="003A67B1">
            <w:pPr>
              <w:jc w:val="center"/>
              <w:rPr>
                <w:rFonts w:cs="Arial"/>
                <w:color w:val="000000" w:themeColor="text1"/>
                <w:szCs w:val="16"/>
              </w:rPr>
            </w:pPr>
            <w:r w:rsidRPr="00781112">
              <w:rPr>
                <w:rFonts w:cs="Arial"/>
                <w:color w:val="000000" w:themeColor="text1"/>
                <w:szCs w:val="16"/>
              </w:rPr>
              <w:t>2,718</w:t>
            </w:r>
          </w:p>
        </w:tc>
        <w:tc>
          <w:tcPr>
            <w:tcW w:w="1153" w:type="pct"/>
            <w:shd w:val="clear" w:color="auto" w:fill="auto"/>
            <w:vAlign w:val="center"/>
          </w:tcPr>
          <w:p w14:paraId="0B7FE00F" w14:textId="48CAB52C" w:rsidR="003A67B1" w:rsidRPr="00781112" w:rsidRDefault="003A67B1" w:rsidP="003A67B1">
            <w:pPr>
              <w:jc w:val="center"/>
              <w:rPr>
                <w:rFonts w:cs="Arial"/>
                <w:color w:val="000000" w:themeColor="text1"/>
                <w:szCs w:val="16"/>
              </w:rPr>
            </w:pPr>
            <w:r w:rsidRPr="00781112">
              <w:rPr>
                <w:rFonts w:cs="Arial"/>
                <w:color w:val="000000" w:themeColor="text1"/>
                <w:szCs w:val="16"/>
              </w:rPr>
              <w:t>1,914</w:t>
            </w:r>
          </w:p>
        </w:tc>
      </w:tr>
      <w:tr w:rsidR="003A67B1" w:rsidRPr="00781112" w14:paraId="7C657E3A" w14:textId="77777777" w:rsidTr="009E026B">
        <w:tc>
          <w:tcPr>
            <w:tcW w:w="1541" w:type="pct"/>
            <w:shd w:val="clear" w:color="auto" w:fill="auto"/>
            <w:vAlign w:val="center"/>
          </w:tcPr>
          <w:p w14:paraId="19508B28" w14:textId="5DE1D8D0" w:rsidR="003A67B1" w:rsidRPr="00781112" w:rsidRDefault="003A67B1" w:rsidP="003A67B1">
            <w:pPr>
              <w:rPr>
                <w:rFonts w:cs="Arial"/>
                <w:color w:val="000000" w:themeColor="text1"/>
                <w:szCs w:val="16"/>
              </w:rPr>
            </w:pPr>
            <w:r w:rsidRPr="00781112">
              <w:rPr>
                <w:rFonts w:cs="Arial"/>
                <w:color w:val="000000" w:themeColor="text1"/>
                <w:szCs w:val="16"/>
              </w:rPr>
              <w:t xml:space="preserve">d. Children with IEPs in alternate assessment against alternate standards </w:t>
            </w:r>
          </w:p>
        </w:tc>
        <w:tc>
          <w:tcPr>
            <w:tcW w:w="1153" w:type="pct"/>
            <w:shd w:val="clear" w:color="auto" w:fill="auto"/>
            <w:vAlign w:val="center"/>
          </w:tcPr>
          <w:p w14:paraId="41F72ACA" w14:textId="2CC8E5F7" w:rsidR="003A67B1" w:rsidRPr="00781112" w:rsidRDefault="003A67B1" w:rsidP="003A67B1">
            <w:pPr>
              <w:jc w:val="center"/>
              <w:rPr>
                <w:rFonts w:cs="Arial"/>
                <w:color w:val="000000" w:themeColor="text1"/>
                <w:szCs w:val="16"/>
              </w:rPr>
            </w:pPr>
            <w:r w:rsidRPr="00781112">
              <w:rPr>
                <w:rFonts w:cs="Arial"/>
                <w:color w:val="000000" w:themeColor="text1"/>
                <w:szCs w:val="16"/>
              </w:rPr>
              <w:t>293</w:t>
            </w:r>
          </w:p>
        </w:tc>
        <w:tc>
          <w:tcPr>
            <w:tcW w:w="1153" w:type="pct"/>
            <w:shd w:val="clear" w:color="auto" w:fill="auto"/>
            <w:vAlign w:val="center"/>
          </w:tcPr>
          <w:p w14:paraId="42315622" w14:textId="322B0162" w:rsidR="003A67B1" w:rsidRPr="00781112" w:rsidRDefault="003A67B1" w:rsidP="003A67B1">
            <w:pPr>
              <w:jc w:val="center"/>
              <w:rPr>
                <w:rFonts w:cs="Arial"/>
                <w:color w:val="000000" w:themeColor="text1"/>
                <w:szCs w:val="16"/>
              </w:rPr>
            </w:pPr>
            <w:r w:rsidRPr="00781112">
              <w:rPr>
                <w:rFonts w:cs="Arial"/>
                <w:color w:val="000000" w:themeColor="text1"/>
                <w:szCs w:val="16"/>
              </w:rPr>
              <w:t>315</w:t>
            </w:r>
          </w:p>
        </w:tc>
        <w:tc>
          <w:tcPr>
            <w:tcW w:w="1153" w:type="pct"/>
            <w:shd w:val="clear" w:color="auto" w:fill="auto"/>
            <w:vAlign w:val="center"/>
          </w:tcPr>
          <w:p w14:paraId="79C22C84" w14:textId="36E0DF79" w:rsidR="003A67B1" w:rsidRPr="00781112" w:rsidRDefault="003A67B1" w:rsidP="003A67B1">
            <w:pPr>
              <w:jc w:val="center"/>
              <w:rPr>
                <w:rFonts w:cs="Arial"/>
                <w:color w:val="000000" w:themeColor="text1"/>
                <w:szCs w:val="16"/>
              </w:rPr>
            </w:pPr>
            <w:r w:rsidRPr="00781112">
              <w:rPr>
                <w:rFonts w:cs="Arial"/>
                <w:color w:val="000000" w:themeColor="text1"/>
                <w:szCs w:val="16"/>
              </w:rPr>
              <w:t>254</w:t>
            </w:r>
          </w:p>
        </w:tc>
      </w:tr>
    </w:tbl>
    <w:p w14:paraId="28134ACD" w14:textId="77777777" w:rsidR="004F2A22" w:rsidRDefault="004F2A22" w:rsidP="003E3AED"/>
    <w:p w14:paraId="042AB40E" w14:textId="7D37232C" w:rsidR="00AF1BC7" w:rsidRDefault="00AF1BC7" w:rsidP="006D1560">
      <w:r>
        <w:t>(1) The children with IEPs who are English learners and took the ELP in lieu of the regular reading/language arts assessment are not included in the prefilled data in this indicator.</w:t>
      </w:r>
    </w:p>
    <w:p w14:paraId="1074FBF7" w14:textId="19B0D19C" w:rsidR="003E3AED" w:rsidRDefault="006D1560" w:rsidP="006D1560">
      <w:r>
        <w:t>(</w:t>
      </w:r>
      <w:r w:rsidR="00AF1BC7">
        <w:t>2</w:t>
      </w:r>
      <w:r>
        <w:t xml:space="preserve">) </w:t>
      </w:r>
      <w:r w:rsidR="003C0975">
        <w:t xml:space="preserve">The children with IEPs count </w:t>
      </w:r>
      <w:r w:rsidR="003C0975" w:rsidRPr="007905E7">
        <w:t xml:space="preserve">excludes </w:t>
      </w:r>
      <w:r w:rsidR="003C0975">
        <w:t xml:space="preserve">children with disabilities </w:t>
      </w:r>
      <w:r w:rsidR="003C0975" w:rsidRPr="007905E7">
        <w:t>who were reported as exempt due to significant medical emergency</w:t>
      </w:r>
      <w:r w:rsidR="003E3AED">
        <w:t xml:space="preserve"> in row a for all the prefilled data in this indicator.</w:t>
      </w:r>
    </w:p>
    <w:p w14:paraId="06016F5B" w14:textId="5AE2AD96" w:rsidR="006D1560" w:rsidRPr="006D1560" w:rsidRDefault="006D1560" w:rsidP="006D1560">
      <w:r>
        <w:t>(</w:t>
      </w:r>
      <w:r w:rsidR="00AF1BC7">
        <w:t>3</w:t>
      </w:r>
      <w:r>
        <w:t xml:space="preserve">) </w:t>
      </w:r>
      <w:r w:rsidR="00502870" w:rsidRPr="00416CC6">
        <w:t>The term</w:t>
      </w:r>
      <w:r w:rsidR="00502870" w:rsidRPr="00580D24">
        <w:rPr>
          <w:bCs/>
        </w:rPr>
        <w:t xml:space="preserve"> “regular assessment” is an aggregation of the following types of assessments</w:t>
      </w:r>
      <w:r w:rsidR="00502870">
        <w:rPr>
          <w:bCs/>
        </w:rPr>
        <w:t>, as applicable for each grade/ grade group</w:t>
      </w:r>
      <w:r w:rsidR="00502870" w:rsidRPr="00580D24">
        <w:rPr>
          <w:bCs/>
        </w:rPr>
        <w:t>: regular assessment based on grade-level achievement standards, advanced assessment, Innovative Assessment Demonstration Authority (IADA) pilot assessment, high school regular assessment I, high school regular assessment II, high school regular assessment III and locally-selected nationally recognized high school assessment in the prefilled data in this indicator.</w:t>
      </w:r>
    </w:p>
    <w:p w14:paraId="3B88B048" w14:textId="77777777" w:rsidR="006D1560" w:rsidRPr="00781112" w:rsidRDefault="006D1560" w:rsidP="004F4016">
      <w:pPr>
        <w:rPr>
          <w:color w:val="000000" w:themeColor="text1"/>
        </w:rPr>
      </w:pPr>
    </w:p>
    <w:p w14:paraId="44A15970" w14:textId="2F661814" w:rsidR="004F4016" w:rsidRPr="00781112" w:rsidRDefault="0047313F" w:rsidP="004F4016">
      <w:pPr>
        <w:rPr>
          <w:b/>
          <w:color w:val="000000" w:themeColor="text1"/>
        </w:rPr>
      </w:pPr>
      <w:r>
        <w:rPr>
          <w:b/>
          <w:color w:val="000000" w:themeColor="text1"/>
        </w:rPr>
        <w:t>FFY 2022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AFFYAPRDATARLA"/>
      </w:tblPr>
      <w:tblGrid>
        <w:gridCol w:w="767"/>
        <w:gridCol w:w="1025"/>
        <w:gridCol w:w="1981"/>
        <w:gridCol w:w="1981"/>
        <w:gridCol w:w="1006"/>
        <w:gridCol w:w="1008"/>
        <w:gridCol w:w="1008"/>
        <w:gridCol w:w="1008"/>
        <w:gridCol w:w="1006"/>
      </w:tblGrid>
      <w:tr w:rsidR="00073BD7" w:rsidRPr="00781112" w14:paraId="3BAF6B00" w14:textId="77777777" w:rsidTr="0047313F">
        <w:trPr>
          <w:tblHeader/>
        </w:trPr>
        <w:tc>
          <w:tcPr>
            <w:tcW w:w="355" w:type="pct"/>
            <w:shd w:val="clear" w:color="auto" w:fill="auto"/>
            <w:vAlign w:val="bottom"/>
          </w:tcPr>
          <w:p w14:paraId="3F94C694" w14:textId="77777777" w:rsidR="00073BD7" w:rsidRPr="00781112" w:rsidRDefault="00073BD7" w:rsidP="00073BD7">
            <w:pPr>
              <w:jc w:val="center"/>
              <w:rPr>
                <w:b/>
                <w:color w:val="000000" w:themeColor="text1"/>
              </w:rPr>
            </w:pPr>
            <w:r w:rsidRPr="00781112">
              <w:rPr>
                <w:b/>
                <w:color w:val="000000" w:themeColor="text1"/>
              </w:rPr>
              <w:t>Group</w:t>
            </w:r>
          </w:p>
        </w:tc>
        <w:tc>
          <w:tcPr>
            <w:tcW w:w="475" w:type="pct"/>
            <w:shd w:val="clear" w:color="auto" w:fill="auto"/>
            <w:vAlign w:val="bottom"/>
          </w:tcPr>
          <w:p w14:paraId="4992F96D" w14:textId="77777777" w:rsidR="00073BD7" w:rsidRPr="00781112" w:rsidRDefault="00073BD7" w:rsidP="00073BD7">
            <w:pPr>
              <w:jc w:val="center"/>
              <w:rPr>
                <w:b/>
                <w:color w:val="000000" w:themeColor="text1"/>
              </w:rPr>
            </w:pPr>
            <w:r w:rsidRPr="00781112">
              <w:rPr>
                <w:b/>
                <w:color w:val="000000" w:themeColor="text1"/>
              </w:rPr>
              <w:t>Group Name</w:t>
            </w:r>
          </w:p>
        </w:tc>
        <w:tc>
          <w:tcPr>
            <w:tcW w:w="918" w:type="pct"/>
            <w:shd w:val="clear" w:color="auto" w:fill="auto"/>
            <w:vAlign w:val="bottom"/>
          </w:tcPr>
          <w:p w14:paraId="2677A663" w14:textId="57D25781" w:rsidR="00073BD7" w:rsidRPr="00781112" w:rsidRDefault="00073BD7" w:rsidP="00073BD7">
            <w:pPr>
              <w:jc w:val="center"/>
              <w:rPr>
                <w:b/>
                <w:color w:val="000000" w:themeColor="text1"/>
              </w:rPr>
            </w:pPr>
            <w:r w:rsidRPr="00781112">
              <w:rPr>
                <w:b/>
                <w:color w:val="000000" w:themeColor="text1"/>
              </w:rPr>
              <w:t>Number of Children with IEPs Participating</w:t>
            </w:r>
          </w:p>
        </w:tc>
        <w:tc>
          <w:tcPr>
            <w:tcW w:w="918" w:type="pct"/>
            <w:shd w:val="clear" w:color="auto" w:fill="auto"/>
            <w:vAlign w:val="bottom"/>
          </w:tcPr>
          <w:p w14:paraId="5736EAFF" w14:textId="26F0F47E" w:rsidR="00073BD7" w:rsidRPr="00781112" w:rsidRDefault="00073BD7" w:rsidP="00073BD7">
            <w:pPr>
              <w:jc w:val="center"/>
              <w:rPr>
                <w:b/>
                <w:color w:val="000000" w:themeColor="text1"/>
              </w:rPr>
            </w:pPr>
            <w:r w:rsidRPr="00781112">
              <w:rPr>
                <w:b/>
                <w:color w:val="000000" w:themeColor="text1"/>
              </w:rPr>
              <w:t>Number of Children with IEPs</w:t>
            </w:r>
          </w:p>
        </w:tc>
        <w:tc>
          <w:tcPr>
            <w:tcW w:w="466" w:type="pct"/>
            <w:shd w:val="clear" w:color="auto" w:fill="auto"/>
            <w:vAlign w:val="bottom"/>
          </w:tcPr>
          <w:p w14:paraId="70E219F7" w14:textId="7AB678E6" w:rsidR="00073BD7" w:rsidRPr="00781112" w:rsidRDefault="00073BD7" w:rsidP="00073BD7">
            <w:pPr>
              <w:jc w:val="center"/>
              <w:rPr>
                <w:b/>
                <w:color w:val="000000" w:themeColor="text1"/>
              </w:rPr>
            </w:pPr>
            <w:r w:rsidRPr="00073BD7">
              <w:rPr>
                <w:b/>
                <w:bCs/>
              </w:rPr>
              <w:t>FFY 2021 Data</w:t>
            </w:r>
          </w:p>
        </w:tc>
        <w:tc>
          <w:tcPr>
            <w:tcW w:w="467" w:type="pct"/>
            <w:shd w:val="clear" w:color="auto" w:fill="auto"/>
            <w:vAlign w:val="bottom"/>
          </w:tcPr>
          <w:p w14:paraId="2D0B1710" w14:textId="45491441" w:rsidR="00073BD7" w:rsidRPr="00781112" w:rsidRDefault="00073BD7" w:rsidP="00073BD7">
            <w:pPr>
              <w:jc w:val="center"/>
              <w:rPr>
                <w:b/>
                <w:color w:val="000000" w:themeColor="text1"/>
              </w:rPr>
            </w:pPr>
            <w:r w:rsidRPr="00073BD7">
              <w:rPr>
                <w:b/>
                <w:bCs/>
              </w:rPr>
              <w:t>FFY 2022 Target</w:t>
            </w:r>
          </w:p>
        </w:tc>
        <w:tc>
          <w:tcPr>
            <w:tcW w:w="467" w:type="pct"/>
            <w:shd w:val="clear" w:color="auto" w:fill="auto"/>
            <w:vAlign w:val="bottom"/>
          </w:tcPr>
          <w:p w14:paraId="1D807DE2" w14:textId="1F9ACF77" w:rsidR="00073BD7" w:rsidRPr="00781112" w:rsidRDefault="00073BD7" w:rsidP="00073BD7">
            <w:pPr>
              <w:jc w:val="center"/>
              <w:rPr>
                <w:b/>
                <w:color w:val="000000" w:themeColor="text1"/>
              </w:rPr>
            </w:pPr>
            <w:r w:rsidRPr="00073BD7">
              <w:rPr>
                <w:b/>
                <w:bCs/>
              </w:rPr>
              <w:t>FFY 2022 Data</w:t>
            </w:r>
          </w:p>
        </w:tc>
        <w:tc>
          <w:tcPr>
            <w:tcW w:w="467" w:type="pct"/>
            <w:shd w:val="clear" w:color="auto" w:fill="auto"/>
            <w:vAlign w:val="bottom"/>
          </w:tcPr>
          <w:p w14:paraId="6569FC00" w14:textId="77777777" w:rsidR="00073BD7" w:rsidRPr="00781112" w:rsidRDefault="00073BD7" w:rsidP="00073BD7">
            <w:pPr>
              <w:jc w:val="center"/>
              <w:rPr>
                <w:b/>
                <w:color w:val="000000" w:themeColor="text1"/>
              </w:rPr>
            </w:pPr>
            <w:r w:rsidRPr="00781112">
              <w:rPr>
                <w:b/>
                <w:color w:val="000000" w:themeColor="text1"/>
              </w:rPr>
              <w:t>Status</w:t>
            </w:r>
          </w:p>
        </w:tc>
        <w:tc>
          <w:tcPr>
            <w:tcW w:w="466" w:type="pct"/>
            <w:shd w:val="clear" w:color="auto" w:fill="auto"/>
            <w:vAlign w:val="bottom"/>
          </w:tcPr>
          <w:p w14:paraId="2DF56EFB" w14:textId="77777777" w:rsidR="00073BD7" w:rsidRPr="00781112" w:rsidRDefault="00073BD7" w:rsidP="00073BD7">
            <w:pPr>
              <w:jc w:val="center"/>
              <w:rPr>
                <w:b/>
                <w:color w:val="000000" w:themeColor="text1"/>
              </w:rPr>
            </w:pPr>
            <w:r w:rsidRPr="00781112">
              <w:rPr>
                <w:b/>
                <w:color w:val="000000" w:themeColor="text1"/>
              </w:rPr>
              <w:t>Slippage</w:t>
            </w:r>
          </w:p>
        </w:tc>
      </w:tr>
      <w:tr w:rsidR="00396BA3" w:rsidRPr="00781112" w14:paraId="376FC28A" w14:textId="77777777" w:rsidTr="0047313F">
        <w:tc>
          <w:tcPr>
            <w:tcW w:w="355" w:type="pct"/>
            <w:shd w:val="clear" w:color="auto" w:fill="auto"/>
            <w:vAlign w:val="center"/>
          </w:tcPr>
          <w:p w14:paraId="53A8B458" w14:textId="77777777" w:rsidR="00892DD7" w:rsidRPr="00781112" w:rsidRDefault="00892DD7" w:rsidP="00892DD7">
            <w:pPr>
              <w:pStyle w:val="Default"/>
              <w:jc w:val="center"/>
              <w:rPr>
                <w:rFonts w:eastAsiaTheme="minorHAnsi"/>
                <w:color w:val="000000" w:themeColor="text1"/>
                <w:sz w:val="16"/>
                <w:szCs w:val="16"/>
              </w:rPr>
            </w:pPr>
            <w:r w:rsidRPr="00781112">
              <w:rPr>
                <w:b/>
                <w:color w:val="000000" w:themeColor="text1"/>
                <w:sz w:val="16"/>
                <w:szCs w:val="16"/>
              </w:rPr>
              <w:t>A</w:t>
            </w:r>
          </w:p>
        </w:tc>
        <w:tc>
          <w:tcPr>
            <w:tcW w:w="475" w:type="pct"/>
            <w:shd w:val="clear" w:color="auto" w:fill="auto"/>
            <w:vAlign w:val="center"/>
          </w:tcPr>
          <w:p w14:paraId="0A1B698A" w14:textId="5AC06767" w:rsidR="00892DD7" w:rsidRPr="00781112" w:rsidDel="00DE5045" w:rsidRDefault="00892DD7" w:rsidP="00892DD7">
            <w:pPr>
              <w:jc w:val="center"/>
              <w:rPr>
                <w:rFonts w:cs="Arial"/>
                <w:color w:val="000000" w:themeColor="text1"/>
                <w:szCs w:val="16"/>
              </w:rPr>
            </w:pPr>
            <w:r w:rsidRPr="00781112">
              <w:rPr>
                <w:rFonts w:cs="Arial"/>
                <w:color w:val="000000" w:themeColor="text1"/>
                <w:szCs w:val="16"/>
              </w:rPr>
              <w:t>Grade 4</w:t>
            </w:r>
          </w:p>
        </w:tc>
        <w:tc>
          <w:tcPr>
            <w:tcW w:w="918" w:type="pct"/>
            <w:shd w:val="clear" w:color="auto" w:fill="auto"/>
            <w:vAlign w:val="center"/>
          </w:tcPr>
          <w:p w14:paraId="58AC973E" w14:textId="3ED347A2" w:rsidR="00892DD7" w:rsidRPr="00781112" w:rsidRDefault="00892DD7" w:rsidP="00892DD7">
            <w:pPr>
              <w:jc w:val="center"/>
              <w:rPr>
                <w:rFonts w:cs="Arial"/>
                <w:color w:val="000000" w:themeColor="text1"/>
                <w:szCs w:val="16"/>
              </w:rPr>
            </w:pPr>
            <w:r w:rsidRPr="00781112">
              <w:rPr>
                <w:rFonts w:cs="Arial"/>
                <w:color w:val="000000"/>
                <w:szCs w:val="16"/>
              </w:rPr>
              <w:t>4,517</w:t>
            </w:r>
          </w:p>
        </w:tc>
        <w:tc>
          <w:tcPr>
            <w:tcW w:w="918" w:type="pct"/>
            <w:shd w:val="clear" w:color="auto" w:fill="auto"/>
            <w:vAlign w:val="center"/>
          </w:tcPr>
          <w:p w14:paraId="703303A1" w14:textId="4183E48D" w:rsidR="00892DD7" w:rsidRPr="00781112" w:rsidRDefault="00892DD7" w:rsidP="00892DD7">
            <w:pPr>
              <w:jc w:val="center"/>
              <w:rPr>
                <w:rFonts w:cs="Arial"/>
                <w:color w:val="000000" w:themeColor="text1"/>
                <w:szCs w:val="16"/>
              </w:rPr>
            </w:pPr>
            <w:r w:rsidRPr="00781112">
              <w:rPr>
                <w:rFonts w:cs="Arial"/>
                <w:color w:val="000000" w:themeColor="text1"/>
                <w:szCs w:val="16"/>
              </w:rPr>
              <w:t>4,632</w:t>
            </w:r>
          </w:p>
        </w:tc>
        <w:tc>
          <w:tcPr>
            <w:tcW w:w="466" w:type="pct"/>
            <w:shd w:val="clear" w:color="auto" w:fill="auto"/>
            <w:vAlign w:val="center"/>
          </w:tcPr>
          <w:p w14:paraId="701F3D15" w14:textId="6F1538C4" w:rsidR="00892DD7" w:rsidRPr="00781112" w:rsidRDefault="00892DD7" w:rsidP="00892DD7">
            <w:pPr>
              <w:jc w:val="center"/>
              <w:rPr>
                <w:rFonts w:cs="Arial"/>
                <w:color w:val="000000" w:themeColor="text1"/>
                <w:szCs w:val="16"/>
              </w:rPr>
            </w:pPr>
            <w:r w:rsidRPr="00781112">
              <w:rPr>
                <w:rFonts w:cs="Arial"/>
                <w:color w:val="000000" w:themeColor="text1"/>
                <w:szCs w:val="16"/>
              </w:rPr>
              <w:t>92.47%</w:t>
            </w:r>
          </w:p>
        </w:tc>
        <w:tc>
          <w:tcPr>
            <w:tcW w:w="467" w:type="pct"/>
            <w:shd w:val="clear" w:color="auto" w:fill="auto"/>
            <w:vAlign w:val="center"/>
          </w:tcPr>
          <w:p w14:paraId="797749BC" w14:textId="696E92A3" w:rsidR="00892DD7" w:rsidRPr="00781112" w:rsidRDefault="00892DD7" w:rsidP="00892DD7">
            <w:pPr>
              <w:jc w:val="center"/>
              <w:rPr>
                <w:rFonts w:cs="Arial"/>
                <w:color w:val="000000" w:themeColor="text1"/>
                <w:szCs w:val="16"/>
              </w:rPr>
            </w:pPr>
            <w:r w:rsidRPr="00781112">
              <w:rPr>
                <w:rFonts w:cs="Arial"/>
                <w:color w:val="000000" w:themeColor="text1"/>
                <w:szCs w:val="16"/>
              </w:rPr>
              <w:t>95.00%</w:t>
            </w:r>
          </w:p>
        </w:tc>
        <w:tc>
          <w:tcPr>
            <w:tcW w:w="467" w:type="pct"/>
            <w:shd w:val="clear" w:color="auto" w:fill="auto"/>
            <w:vAlign w:val="center"/>
          </w:tcPr>
          <w:p w14:paraId="70549BEB" w14:textId="587EEF17" w:rsidR="00892DD7" w:rsidRPr="00781112" w:rsidRDefault="00892DD7" w:rsidP="00892DD7">
            <w:pPr>
              <w:jc w:val="center"/>
              <w:rPr>
                <w:rFonts w:cs="Arial"/>
                <w:color w:val="000000" w:themeColor="text1"/>
                <w:szCs w:val="16"/>
              </w:rPr>
            </w:pPr>
            <w:r w:rsidRPr="00781112">
              <w:rPr>
                <w:rFonts w:cs="Arial"/>
                <w:color w:val="000000" w:themeColor="text1"/>
                <w:szCs w:val="16"/>
              </w:rPr>
              <w:t>97.52%</w:t>
            </w:r>
          </w:p>
        </w:tc>
        <w:tc>
          <w:tcPr>
            <w:tcW w:w="467" w:type="pct"/>
            <w:shd w:val="clear" w:color="auto" w:fill="auto"/>
            <w:vAlign w:val="center"/>
          </w:tcPr>
          <w:p w14:paraId="78EE727D" w14:textId="62F0BE75" w:rsidR="00892DD7" w:rsidRPr="00781112" w:rsidRDefault="00892DD7" w:rsidP="00892DD7">
            <w:pPr>
              <w:jc w:val="center"/>
              <w:rPr>
                <w:rFonts w:cs="Arial"/>
                <w:color w:val="000000" w:themeColor="text1"/>
                <w:szCs w:val="16"/>
              </w:rPr>
            </w:pPr>
            <w:r w:rsidRPr="00781112">
              <w:rPr>
                <w:rFonts w:cs="Arial"/>
                <w:color w:val="000000" w:themeColor="text1"/>
                <w:szCs w:val="16"/>
              </w:rPr>
              <w:t>Met target</w:t>
            </w:r>
          </w:p>
        </w:tc>
        <w:tc>
          <w:tcPr>
            <w:tcW w:w="466" w:type="pct"/>
            <w:shd w:val="clear" w:color="auto" w:fill="auto"/>
            <w:vAlign w:val="center"/>
          </w:tcPr>
          <w:p w14:paraId="6EAB29CE" w14:textId="27C0C9B3" w:rsidR="00892DD7" w:rsidRPr="00781112" w:rsidRDefault="00892DD7" w:rsidP="00892DD7">
            <w:pPr>
              <w:jc w:val="center"/>
              <w:rPr>
                <w:rFonts w:cs="Arial"/>
                <w:color w:val="000000" w:themeColor="text1"/>
                <w:szCs w:val="16"/>
              </w:rPr>
            </w:pPr>
            <w:r w:rsidRPr="00781112">
              <w:rPr>
                <w:rFonts w:cs="Arial"/>
                <w:color w:val="000000" w:themeColor="text1"/>
                <w:szCs w:val="16"/>
              </w:rPr>
              <w:t>No Slippage</w:t>
            </w:r>
          </w:p>
        </w:tc>
      </w:tr>
      <w:tr w:rsidR="00396BA3" w:rsidRPr="00781112" w14:paraId="56F1A9B2" w14:textId="77777777" w:rsidTr="0047313F">
        <w:tc>
          <w:tcPr>
            <w:tcW w:w="355" w:type="pct"/>
            <w:shd w:val="clear" w:color="auto" w:fill="auto"/>
            <w:vAlign w:val="center"/>
          </w:tcPr>
          <w:p w14:paraId="558707F7" w14:textId="77777777" w:rsidR="00892DD7" w:rsidRPr="00781112" w:rsidRDefault="00892DD7" w:rsidP="00892DD7">
            <w:pPr>
              <w:pStyle w:val="Default"/>
              <w:jc w:val="center"/>
              <w:rPr>
                <w:rFonts w:eastAsiaTheme="minorHAnsi"/>
                <w:color w:val="000000" w:themeColor="text1"/>
                <w:sz w:val="16"/>
                <w:szCs w:val="16"/>
              </w:rPr>
            </w:pPr>
            <w:r w:rsidRPr="00781112">
              <w:rPr>
                <w:b/>
                <w:color w:val="000000" w:themeColor="text1"/>
                <w:sz w:val="16"/>
                <w:szCs w:val="16"/>
              </w:rPr>
              <w:t>B</w:t>
            </w:r>
          </w:p>
        </w:tc>
        <w:tc>
          <w:tcPr>
            <w:tcW w:w="475" w:type="pct"/>
            <w:shd w:val="clear" w:color="auto" w:fill="auto"/>
            <w:vAlign w:val="center"/>
          </w:tcPr>
          <w:p w14:paraId="384974C9" w14:textId="0A4570C5" w:rsidR="00892DD7" w:rsidRPr="00781112" w:rsidDel="00DE5045" w:rsidRDefault="00892DD7" w:rsidP="00892DD7">
            <w:pPr>
              <w:jc w:val="center"/>
              <w:rPr>
                <w:rFonts w:cs="Arial"/>
                <w:color w:val="000000" w:themeColor="text1"/>
                <w:szCs w:val="16"/>
              </w:rPr>
            </w:pPr>
            <w:r w:rsidRPr="00781112">
              <w:rPr>
                <w:rFonts w:cs="Arial"/>
                <w:color w:val="000000" w:themeColor="text1"/>
                <w:szCs w:val="16"/>
              </w:rPr>
              <w:t>Grade 8</w:t>
            </w:r>
          </w:p>
        </w:tc>
        <w:tc>
          <w:tcPr>
            <w:tcW w:w="918" w:type="pct"/>
            <w:shd w:val="clear" w:color="auto" w:fill="auto"/>
            <w:vAlign w:val="center"/>
          </w:tcPr>
          <w:p w14:paraId="751205A1" w14:textId="2503E0F4" w:rsidR="00892DD7" w:rsidRPr="00781112" w:rsidRDefault="00892DD7" w:rsidP="00892DD7">
            <w:pPr>
              <w:jc w:val="center"/>
              <w:rPr>
                <w:rFonts w:cs="Arial"/>
                <w:color w:val="000000" w:themeColor="text1"/>
                <w:szCs w:val="16"/>
              </w:rPr>
            </w:pPr>
            <w:r w:rsidRPr="00781112">
              <w:rPr>
                <w:rFonts w:cs="Arial"/>
                <w:color w:val="000000"/>
                <w:szCs w:val="16"/>
              </w:rPr>
              <w:t>4,263</w:t>
            </w:r>
          </w:p>
        </w:tc>
        <w:tc>
          <w:tcPr>
            <w:tcW w:w="918" w:type="pct"/>
            <w:shd w:val="clear" w:color="auto" w:fill="auto"/>
            <w:vAlign w:val="center"/>
          </w:tcPr>
          <w:p w14:paraId="4F6EDDAF" w14:textId="20D9AAA3" w:rsidR="00892DD7" w:rsidRPr="00781112" w:rsidRDefault="00892DD7" w:rsidP="00892DD7">
            <w:pPr>
              <w:jc w:val="center"/>
              <w:rPr>
                <w:rFonts w:cs="Arial"/>
                <w:color w:val="000000" w:themeColor="text1"/>
                <w:szCs w:val="16"/>
              </w:rPr>
            </w:pPr>
            <w:r w:rsidRPr="00781112">
              <w:rPr>
                <w:rFonts w:cs="Arial"/>
                <w:color w:val="000000" w:themeColor="text1"/>
                <w:szCs w:val="16"/>
              </w:rPr>
              <w:t>4,517</w:t>
            </w:r>
          </w:p>
        </w:tc>
        <w:tc>
          <w:tcPr>
            <w:tcW w:w="466" w:type="pct"/>
            <w:shd w:val="clear" w:color="auto" w:fill="auto"/>
            <w:vAlign w:val="center"/>
          </w:tcPr>
          <w:p w14:paraId="6B3B6780" w14:textId="51308AEA" w:rsidR="00892DD7" w:rsidRPr="00781112" w:rsidRDefault="00892DD7" w:rsidP="00892DD7">
            <w:pPr>
              <w:jc w:val="center"/>
              <w:rPr>
                <w:rFonts w:cs="Arial"/>
                <w:color w:val="000000" w:themeColor="text1"/>
                <w:szCs w:val="16"/>
              </w:rPr>
            </w:pPr>
            <w:r w:rsidRPr="00781112">
              <w:rPr>
                <w:rFonts w:cs="Arial"/>
                <w:color w:val="000000" w:themeColor="text1"/>
                <w:szCs w:val="16"/>
              </w:rPr>
              <w:t>89.38%</w:t>
            </w:r>
          </w:p>
        </w:tc>
        <w:tc>
          <w:tcPr>
            <w:tcW w:w="467" w:type="pct"/>
            <w:shd w:val="clear" w:color="auto" w:fill="auto"/>
            <w:vAlign w:val="center"/>
          </w:tcPr>
          <w:p w14:paraId="60FE8D0A" w14:textId="26748E4B" w:rsidR="00892DD7" w:rsidRPr="00781112" w:rsidRDefault="00892DD7" w:rsidP="00892DD7">
            <w:pPr>
              <w:jc w:val="center"/>
              <w:rPr>
                <w:rFonts w:cs="Arial"/>
                <w:color w:val="000000" w:themeColor="text1"/>
                <w:szCs w:val="16"/>
              </w:rPr>
            </w:pPr>
            <w:r w:rsidRPr="00781112">
              <w:rPr>
                <w:rFonts w:cs="Arial"/>
                <w:color w:val="000000" w:themeColor="text1"/>
                <w:szCs w:val="16"/>
              </w:rPr>
              <w:t>95.00%</w:t>
            </w:r>
          </w:p>
        </w:tc>
        <w:tc>
          <w:tcPr>
            <w:tcW w:w="467" w:type="pct"/>
            <w:shd w:val="clear" w:color="auto" w:fill="auto"/>
            <w:vAlign w:val="center"/>
          </w:tcPr>
          <w:p w14:paraId="20759612" w14:textId="360FBC9D" w:rsidR="00892DD7" w:rsidRPr="00781112" w:rsidRDefault="00892DD7" w:rsidP="00892DD7">
            <w:pPr>
              <w:jc w:val="center"/>
              <w:rPr>
                <w:rFonts w:cs="Arial"/>
                <w:color w:val="000000" w:themeColor="text1"/>
                <w:szCs w:val="16"/>
              </w:rPr>
            </w:pPr>
            <w:r w:rsidRPr="00781112">
              <w:rPr>
                <w:rFonts w:cs="Arial"/>
                <w:color w:val="000000" w:themeColor="text1"/>
                <w:szCs w:val="16"/>
              </w:rPr>
              <w:t>94.38%</w:t>
            </w:r>
          </w:p>
        </w:tc>
        <w:tc>
          <w:tcPr>
            <w:tcW w:w="467" w:type="pct"/>
            <w:shd w:val="clear" w:color="auto" w:fill="auto"/>
            <w:vAlign w:val="center"/>
          </w:tcPr>
          <w:p w14:paraId="5A0AF76C" w14:textId="316463B4" w:rsidR="00892DD7" w:rsidRPr="00781112" w:rsidRDefault="00892DD7" w:rsidP="00892DD7">
            <w:pPr>
              <w:jc w:val="center"/>
              <w:rPr>
                <w:rFonts w:cs="Arial"/>
                <w:color w:val="000000" w:themeColor="text1"/>
                <w:szCs w:val="16"/>
              </w:rPr>
            </w:pPr>
            <w:r w:rsidRPr="00781112">
              <w:rPr>
                <w:rFonts w:cs="Arial"/>
                <w:color w:val="000000" w:themeColor="text1"/>
                <w:szCs w:val="16"/>
              </w:rPr>
              <w:t>Did not meet target</w:t>
            </w:r>
          </w:p>
        </w:tc>
        <w:tc>
          <w:tcPr>
            <w:tcW w:w="466" w:type="pct"/>
            <w:shd w:val="clear" w:color="auto" w:fill="auto"/>
            <w:vAlign w:val="center"/>
          </w:tcPr>
          <w:p w14:paraId="71C2BDA0" w14:textId="22F354AD" w:rsidR="00892DD7" w:rsidRPr="00781112" w:rsidRDefault="00892DD7" w:rsidP="00892DD7">
            <w:pPr>
              <w:jc w:val="center"/>
              <w:rPr>
                <w:rFonts w:cs="Arial"/>
                <w:color w:val="000000" w:themeColor="text1"/>
                <w:szCs w:val="16"/>
              </w:rPr>
            </w:pPr>
            <w:r w:rsidRPr="00781112">
              <w:rPr>
                <w:rFonts w:cs="Arial"/>
                <w:color w:val="000000" w:themeColor="text1"/>
                <w:szCs w:val="16"/>
              </w:rPr>
              <w:t>No Slippage</w:t>
            </w:r>
          </w:p>
        </w:tc>
      </w:tr>
      <w:tr w:rsidR="00396BA3" w:rsidRPr="00781112" w14:paraId="7455692E" w14:textId="77777777" w:rsidTr="0047313F">
        <w:tc>
          <w:tcPr>
            <w:tcW w:w="355" w:type="pct"/>
            <w:shd w:val="clear" w:color="auto" w:fill="auto"/>
            <w:vAlign w:val="center"/>
          </w:tcPr>
          <w:p w14:paraId="1007F433" w14:textId="77777777" w:rsidR="00892DD7" w:rsidRPr="00781112" w:rsidRDefault="00892DD7" w:rsidP="00892DD7">
            <w:pPr>
              <w:pStyle w:val="Default"/>
              <w:jc w:val="center"/>
              <w:rPr>
                <w:rFonts w:eastAsiaTheme="minorHAnsi"/>
                <w:color w:val="000000" w:themeColor="text1"/>
                <w:sz w:val="16"/>
                <w:szCs w:val="16"/>
              </w:rPr>
            </w:pPr>
            <w:r w:rsidRPr="00781112">
              <w:rPr>
                <w:b/>
                <w:color w:val="000000" w:themeColor="text1"/>
                <w:sz w:val="16"/>
                <w:szCs w:val="16"/>
              </w:rPr>
              <w:lastRenderedPageBreak/>
              <w:t>C</w:t>
            </w:r>
          </w:p>
        </w:tc>
        <w:tc>
          <w:tcPr>
            <w:tcW w:w="475" w:type="pct"/>
            <w:shd w:val="clear" w:color="auto" w:fill="auto"/>
            <w:vAlign w:val="center"/>
          </w:tcPr>
          <w:p w14:paraId="1C2FF689" w14:textId="7B5617BF" w:rsidR="00892DD7" w:rsidRPr="00781112" w:rsidDel="00DE5045" w:rsidRDefault="00892DD7" w:rsidP="00892DD7">
            <w:pPr>
              <w:jc w:val="center"/>
              <w:rPr>
                <w:rFonts w:cs="Arial"/>
                <w:color w:val="000000" w:themeColor="text1"/>
                <w:szCs w:val="16"/>
              </w:rPr>
            </w:pPr>
            <w:r w:rsidRPr="00781112">
              <w:rPr>
                <w:rFonts w:cs="Arial"/>
                <w:color w:val="000000" w:themeColor="text1"/>
                <w:szCs w:val="16"/>
              </w:rPr>
              <w:t>Grade HS</w:t>
            </w:r>
          </w:p>
        </w:tc>
        <w:tc>
          <w:tcPr>
            <w:tcW w:w="918" w:type="pct"/>
            <w:shd w:val="clear" w:color="auto" w:fill="auto"/>
            <w:vAlign w:val="center"/>
          </w:tcPr>
          <w:p w14:paraId="7711AD79" w14:textId="30D9E4B6" w:rsidR="00892DD7" w:rsidRPr="00781112" w:rsidRDefault="00892DD7" w:rsidP="00892DD7">
            <w:pPr>
              <w:jc w:val="center"/>
              <w:rPr>
                <w:rFonts w:cs="Arial"/>
                <w:color w:val="000000" w:themeColor="text1"/>
                <w:szCs w:val="16"/>
              </w:rPr>
            </w:pPr>
            <w:r w:rsidRPr="00781112">
              <w:rPr>
                <w:rFonts w:cs="Arial"/>
                <w:color w:val="000000"/>
                <w:szCs w:val="16"/>
              </w:rPr>
              <w:t>2,899</w:t>
            </w:r>
          </w:p>
        </w:tc>
        <w:tc>
          <w:tcPr>
            <w:tcW w:w="918" w:type="pct"/>
            <w:shd w:val="clear" w:color="auto" w:fill="auto"/>
            <w:vAlign w:val="center"/>
          </w:tcPr>
          <w:p w14:paraId="7C38F4A3" w14:textId="3227EA5E" w:rsidR="00892DD7" w:rsidRPr="00781112" w:rsidRDefault="00892DD7" w:rsidP="00892DD7">
            <w:pPr>
              <w:jc w:val="center"/>
              <w:rPr>
                <w:rFonts w:cs="Arial"/>
                <w:color w:val="000000" w:themeColor="text1"/>
                <w:szCs w:val="16"/>
              </w:rPr>
            </w:pPr>
            <w:r w:rsidRPr="00781112">
              <w:rPr>
                <w:rFonts w:cs="Arial"/>
                <w:color w:val="000000" w:themeColor="text1"/>
                <w:szCs w:val="16"/>
              </w:rPr>
              <w:t>3,310</w:t>
            </w:r>
          </w:p>
        </w:tc>
        <w:tc>
          <w:tcPr>
            <w:tcW w:w="466" w:type="pct"/>
            <w:shd w:val="clear" w:color="auto" w:fill="auto"/>
            <w:vAlign w:val="center"/>
          </w:tcPr>
          <w:p w14:paraId="300E10D2" w14:textId="5FE5073B" w:rsidR="00892DD7" w:rsidRPr="00781112" w:rsidRDefault="00892DD7" w:rsidP="00892DD7">
            <w:pPr>
              <w:jc w:val="center"/>
              <w:rPr>
                <w:rFonts w:cs="Arial"/>
                <w:color w:val="000000" w:themeColor="text1"/>
                <w:szCs w:val="16"/>
              </w:rPr>
            </w:pPr>
            <w:r w:rsidRPr="00781112">
              <w:rPr>
                <w:rFonts w:cs="Arial"/>
                <w:color w:val="000000" w:themeColor="text1"/>
                <w:szCs w:val="16"/>
              </w:rPr>
              <w:t>75.45%</w:t>
            </w:r>
          </w:p>
        </w:tc>
        <w:tc>
          <w:tcPr>
            <w:tcW w:w="467" w:type="pct"/>
            <w:shd w:val="clear" w:color="auto" w:fill="auto"/>
            <w:vAlign w:val="center"/>
          </w:tcPr>
          <w:p w14:paraId="26A808A8" w14:textId="46CE5D7C" w:rsidR="00892DD7" w:rsidRPr="00781112" w:rsidRDefault="00892DD7" w:rsidP="00892DD7">
            <w:pPr>
              <w:jc w:val="center"/>
              <w:rPr>
                <w:rFonts w:cs="Arial"/>
                <w:color w:val="000000" w:themeColor="text1"/>
                <w:szCs w:val="16"/>
              </w:rPr>
            </w:pPr>
            <w:r w:rsidRPr="00781112">
              <w:rPr>
                <w:rFonts w:cs="Arial"/>
                <w:color w:val="000000" w:themeColor="text1"/>
                <w:szCs w:val="16"/>
              </w:rPr>
              <w:t>95.00%</w:t>
            </w:r>
          </w:p>
        </w:tc>
        <w:tc>
          <w:tcPr>
            <w:tcW w:w="467" w:type="pct"/>
            <w:shd w:val="clear" w:color="auto" w:fill="auto"/>
            <w:vAlign w:val="center"/>
          </w:tcPr>
          <w:p w14:paraId="1760C9A2" w14:textId="77DCB745" w:rsidR="00892DD7" w:rsidRPr="00781112" w:rsidRDefault="00892DD7" w:rsidP="00892DD7">
            <w:pPr>
              <w:jc w:val="center"/>
              <w:rPr>
                <w:rFonts w:cs="Arial"/>
                <w:color w:val="000000" w:themeColor="text1"/>
                <w:szCs w:val="16"/>
              </w:rPr>
            </w:pPr>
            <w:r w:rsidRPr="00781112">
              <w:rPr>
                <w:rFonts w:cs="Arial"/>
                <w:color w:val="000000" w:themeColor="text1"/>
                <w:szCs w:val="16"/>
              </w:rPr>
              <w:t>87.58%</w:t>
            </w:r>
          </w:p>
        </w:tc>
        <w:tc>
          <w:tcPr>
            <w:tcW w:w="467" w:type="pct"/>
            <w:shd w:val="clear" w:color="auto" w:fill="auto"/>
            <w:vAlign w:val="center"/>
          </w:tcPr>
          <w:p w14:paraId="772412F5" w14:textId="7F0E1366" w:rsidR="00892DD7" w:rsidRPr="00781112" w:rsidRDefault="00892DD7" w:rsidP="00892DD7">
            <w:pPr>
              <w:jc w:val="center"/>
              <w:rPr>
                <w:rFonts w:cs="Arial"/>
                <w:color w:val="000000" w:themeColor="text1"/>
                <w:szCs w:val="16"/>
              </w:rPr>
            </w:pPr>
            <w:r w:rsidRPr="00781112">
              <w:rPr>
                <w:rFonts w:cs="Arial"/>
                <w:color w:val="000000" w:themeColor="text1"/>
                <w:szCs w:val="16"/>
              </w:rPr>
              <w:t>Did not meet target</w:t>
            </w:r>
          </w:p>
        </w:tc>
        <w:tc>
          <w:tcPr>
            <w:tcW w:w="466" w:type="pct"/>
            <w:shd w:val="clear" w:color="auto" w:fill="auto"/>
            <w:vAlign w:val="center"/>
          </w:tcPr>
          <w:p w14:paraId="3DF8294E" w14:textId="7BA8B5E3" w:rsidR="00892DD7" w:rsidRPr="00781112" w:rsidRDefault="00892DD7" w:rsidP="00892DD7">
            <w:pPr>
              <w:jc w:val="center"/>
              <w:rPr>
                <w:rFonts w:cs="Arial"/>
                <w:color w:val="000000" w:themeColor="text1"/>
                <w:szCs w:val="16"/>
              </w:rPr>
            </w:pPr>
            <w:r w:rsidRPr="00781112">
              <w:rPr>
                <w:rFonts w:cs="Arial"/>
                <w:color w:val="000000" w:themeColor="text1"/>
                <w:szCs w:val="16"/>
              </w:rPr>
              <w:t>No Slippage</w:t>
            </w:r>
          </w:p>
        </w:tc>
      </w:tr>
    </w:tbl>
    <w:p w14:paraId="6C09A01C" w14:textId="77777777" w:rsidR="007765EF" w:rsidRDefault="007765EF" w:rsidP="00802A46">
      <w:pPr>
        <w:rPr>
          <w:b/>
          <w:color w:val="000000" w:themeColor="text1"/>
        </w:rPr>
      </w:pPr>
    </w:p>
    <w:p w14:paraId="4A8694DE" w14:textId="77777777" w:rsidR="007765EF" w:rsidRDefault="007765EF" w:rsidP="00802A46">
      <w:pPr>
        <w:rPr>
          <w:b/>
          <w:color w:val="000000" w:themeColor="text1"/>
        </w:rPr>
      </w:pPr>
    </w:p>
    <w:p w14:paraId="1C3A5E7E" w14:textId="77777777" w:rsidR="007765EF" w:rsidRDefault="007765EF" w:rsidP="00802A46">
      <w:pPr>
        <w:rPr>
          <w:b/>
          <w:color w:val="000000" w:themeColor="text1"/>
        </w:rPr>
      </w:pPr>
    </w:p>
    <w:p w14:paraId="4D76CCAA" w14:textId="77777777" w:rsidR="007A7E93" w:rsidRPr="00781112" w:rsidRDefault="007A7E93">
      <w:pPr>
        <w:spacing w:before="0" w:after="200" w:line="276" w:lineRule="auto"/>
        <w:rPr>
          <w:b/>
          <w:color w:val="000000" w:themeColor="text1"/>
        </w:rPr>
      </w:pPr>
    </w:p>
    <w:p w14:paraId="68F24FCA" w14:textId="1115D782" w:rsidR="00F17D5E" w:rsidRPr="00781112" w:rsidRDefault="0047313F" w:rsidP="00F17D5E">
      <w:pPr>
        <w:rPr>
          <w:b/>
          <w:color w:val="000000" w:themeColor="text1"/>
        </w:rPr>
      </w:pPr>
      <w:r>
        <w:rPr>
          <w:b/>
          <w:color w:val="000000" w:themeColor="text1"/>
        </w:rPr>
        <w:t>FFY 2022 SPP/APR Data: Math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AFFYAPDATAMTH"/>
      </w:tblPr>
      <w:tblGrid>
        <w:gridCol w:w="715"/>
        <w:gridCol w:w="1080"/>
        <w:gridCol w:w="1982"/>
        <w:gridCol w:w="1960"/>
        <w:gridCol w:w="1011"/>
        <w:gridCol w:w="1010"/>
        <w:gridCol w:w="1010"/>
        <w:gridCol w:w="1010"/>
        <w:gridCol w:w="1012"/>
      </w:tblGrid>
      <w:tr w:rsidR="0047313F" w:rsidRPr="00781112" w14:paraId="681A67CD" w14:textId="77777777" w:rsidTr="00360DD6">
        <w:trPr>
          <w:tblHeader/>
        </w:trPr>
        <w:tc>
          <w:tcPr>
            <w:tcW w:w="331" w:type="pct"/>
            <w:shd w:val="clear" w:color="auto" w:fill="auto"/>
            <w:vAlign w:val="bottom"/>
          </w:tcPr>
          <w:p w14:paraId="32EBDF09" w14:textId="77777777" w:rsidR="0047313F" w:rsidRPr="00781112" w:rsidRDefault="0047313F" w:rsidP="0047313F">
            <w:pPr>
              <w:jc w:val="center"/>
              <w:rPr>
                <w:b/>
                <w:color w:val="000000" w:themeColor="text1"/>
              </w:rPr>
            </w:pPr>
            <w:r w:rsidRPr="00781112">
              <w:rPr>
                <w:b/>
                <w:color w:val="000000" w:themeColor="text1"/>
              </w:rPr>
              <w:t>Group</w:t>
            </w:r>
          </w:p>
        </w:tc>
        <w:tc>
          <w:tcPr>
            <w:tcW w:w="500" w:type="pct"/>
            <w:shd w:val="clear" w:color="auto" w:fill="auto"/>
            <w:vAlign w:val="bottom"/>
          </w:tcPr>
          <w:p w14:paraId="1DD83044" w14:textId="77777777" w:rsidR="0047313F" w:rsidRPr="00781112" w:rsidRDefault="0047313F" w:rsidP="0047313F">
            <w:pPr>
              <w:jc w:val="center"/>
              <w:rPr>
                <w:b/>
                <w:color w:val="000000" w:themeColor="text1"/>
              </w:rPr>
            </w:pPr>
            <w:r w:rsidRPr="00781112">
              <w:rPr>
                <w:b/>
                <w:color w:val="000000" w:themeColor="text1"/>
              </w:rPr>
              <w:t>Group Name</w:t>
            </w:r>
          </w:p>
        </w:tc>
        <w:tc>
          <w:tcPr>
            <w:tcW w:w="918" w:type="pct"/>
            <w:shd w:val="clear" w:color="auto" w:fill="auto"/>
            <w:vAlign w:val="bottom"/>
          </w:tcPr>
          <w:p w14:paraId="09C06BEF" w14:textId="77777777" w:rsidR="0047313F" w:rsidRPr="00781112" w:rsidRDefault="0047313F" w:rsidP="0047313F">
            <w:pPr>
              <w:jc w:val="center"/>
              <w:rPr>
                <w:b/>
                <w:color w:val="000000" w:themeColor="text1"/>
              </w:rPr>
            </w:pPr>
            <w:r w:rsidRPr="00781112">
              <w:rPr>
                <w:b/>
                <w:color w:val="000000" w:themeColor="text1"/>
              </w:rPr>
              <w:t>Number of Children with IEPs Participating</w:t>
            </w:r>
          </w:p>
        </w:tc>
        <w:tc>
          <w:tcPr>
            <w:tcW w:w="908" w:type="pct"/>
            <w:shd w:val="clear" w:color="auto" w:fill="auto"/>
            <w:vAlign w:val="bottom"/>
          </w:tcPr>
          <w:p w14:paraId="35F97163" w14:textId="77777777" w:rsidR="0047313F" w:rsidRPr="00781112" w:rsidRDefault="0047313F" w:rsidP="0047313F">
            <w:pPr>
              <w:jc w:val="center"/>
              <w:rPr>
                <w:b/>
                <w:color w:val="000000" w:themeColor="text1"/>
              </w:rPr>
            </w:pPr>
            <w:r w:rsidRPr="00781112">
              <w:rPr>
                <w:b/>
                <w:color w:val="000000" w:themeColor="text1"/>
              </w:rPr>
              <w:t>Number of Children with IEPs</w:t>
            </w:r>
          </w:p>
        </w:tc>
        <w:tc>
          <w:tcPr>
            <w:tcW w:w="468" w:type="pct"/>
            <w:shd w:val="clear" w:color="auto" w:fill="auto"/>
            <w:vAlign w:val="bottom"/>
          </w:tcPr>
          <w:p w14:paraId="3D7FBA55" w14:textId="0DF95073" w:rsidR="0047313F" w:rsidRPr="00073BD7" w:rsidRDefault="0047313F" w:rsidP="0047313F">
            <w:pPr>
              <w:jc w:val="center"/>
              <w:rPr>
                <w:b/>
                <w:bCs/>
                <w:color w:val="000000" w:themeColor="text1"/>
              </w:rPr>
            </w:pPr>
            <w:r w:rsidRPr="00073BD7">
              <w:rPr>
                <w:b/>
                <w:bCs/>
              </w:rPr>
              <w:t>FFY 2021 Data</w:t>
            </w:r>
          </w:p>
        </w:tc>
        <w:tc>
          <w:tcPr>
            <w:tcW w:w="468" w:type="pct"/>
            <w:shd w:val="clear" w:color="auto" w:fill="auto"/>
            <w:vAlign w:val="bottom"/>
          </w:tcPr>
          <w:p w14:paraId="681C20C6" w14:textId="3090046D" w:rsidR="0047313F" w:rsidRPr="00073BD7" w:rsidRDefault="0047313F" w:rsidP="0047313F">
            <w:pPr>
              <w:jc w:val="center"/>
              <w:rPr>
                <w:b/>
                <w:bCs/>
                <w:color w:val="000000" w:themeColor="text1"/>
              </w:rPr>
            </w:pPr>
            <w:r w:rsidRPr="00073BD7">
              <w:rPr>
                <w:b/>
                <w:bCs/>
              </w:rPr>
              <w:t>FFY 2022 Target</w:t>
            </w:r>
          </w:p>
        </w:tc>
        <w:tc>
          <w:tcPr>
            <w:tcW w:w="468" w:type="pct"/>
            <w:shd w:val="clear" w:color="auto" w:fill="auto"/>
            <w:vAlign w:val="bottom"/>
          </w:tcPr>
          <w:p w14:paraId="1A223A3A" w14:textId="2006895D" w:rsidR="0047313F" w:rsidRPr="00073BD7" w:rsidRDefault="0047313F" w:rsidP="0047313F">
            <w:pPr>
              <w:jc w:val="center"/>
              <w:rPr>
                <w:b/>
                <w:bCs/>
                <w:color w:val="000000" w:themeColor="text1"/>
              </w:rPr>
            </w:pPr>
            <w:r w:rsidRPr="00073BD7">
              <w:rPr>
                <w:b/>
                <w:bCs/>
              </w:rPr>
              <w:t>FFY 2022 Data</w:t>
            </w:r>
          </w:p>
        </w:tc>
        <w:tc>
          <w:tcPr>
            <w:tcW w:w="468" w:type="pct"/>
            <w:shd w:val="clear" w:color="auto" w:fill="auto"/>
            <w:vAlign w:val="bottom"/>
          </w:tcPr>
          <w:p w14:paraId="2E2084EF" w14:textId="77777777" w:rsidR="0047313F" w:rsidRPr="00781112" w:rsidRDefault="0047313F" w:rsidP="0047313F">
            <w:pPr>
              <w:jc w:val="center"/>
              <w:rPr>
                <w:b/>
                <w:color w:val="000000" w:themeColor="text1"/>
              </w:rPr>
            </w:pPr>
            <w:r w:rsidRPr="00781112">
              <w:rPr>
                <w:b/>
                <w:color w:val="000000" w:themeColor="text1"/>
              </w:rPr>
              <w:t>Status</w:t>
            </w:r>
          </w:p>
        </w:tc>
        <w:tc>
          <w:tcPr>
            <w:tcW w:w="469" w:type="pct"/>
            <w:shd w:val="clear" w:color="auto" w:fill="auto"/>
            <w:vAlign w:val="bottom"/>
          </w:tcPr>
          <w:p w14:paraId="309891B4" w14:textId="77777777" w:rsidR="0047313F" w:rsidRPr="00781112" w:rsidRDefault="0047313F" w:rsidP="0047313F">
            <w:pPr>
              <w:jc w:val="center"/>
              <w:rPr>
                <w:b/>
                <w:color w:val="000000" w:themeColor="text1"/>
              </w:rPr>
            </w:pPr>
            <w:r w:rsidRPr="00781112">
              <w:rPr>
                <w:b/>
                <w:color w:val="000000" w:themeColor="text1"/>
              </w:rPr>
              <w:t>Slippage</w:t>
            </w:r>
          </w:p>
        </w:tc>
      </w:tr>
      <w:tr w:rsidR="00396BA3" w:rsidRPr="00781112" w14:paraId="1BDE8C09" w14:textId="77777777" w:rsidTr="00396BA3">
        <w:tc>
          <w:tcPr>
            <w:tcW w:w="331" w:type="pct"/>
            <w:shd w:val="clear" w:color="auto" w:fill="auto"/>
            <w:vAlign w:val="center"/>
          </w:tcPr>
          <w:p w14:paraId="580D1344" w14:textId="77777777" w:rsidR="002C43CF" w:rsidRPr="00781112" w:rsidRDefault="002C43CF" w:rsidP="002C43CF">
            <w:pPr>
              <w:pStyle w:val="Default"/>
              <w:jc w:val="center"/>
              <w:rPr>
                <w:rFonts w:eastAsiaTheme="minorHAnsi"/>
                <w:color w:val="000000" w:themeColor="text1"/>
                <w:sz w:val="16"/>
                <w:szCs w:val="16"/>
              </w:rPr>
            </w:pPr>
            <w:r w:rsidRPr="00781112">
              <w:rPr>
                <w:b/>
                <w:color w:val="000000" w:themeColor="text1"/>
                <w:sz w:val="16"/>
                <w:szCs w:val="16"/>
              </w:rPr>
              <w:t>A</w:t>
            </w:r>
          </w:p>
        </w:tc>
        <w:tc>
          <w:tcPr>
            <w:tcW w:w="500" w:type="pct"/>
            <w:shd w:val="clear" w:color="auto" w:fill="auto"/>
            <w:vAlign w:val="center"/>
          </w:tcPr>
          <w:p w14:paraId="08A8F1D8" w14:textId="4D1DB180" w:rsidR="002C43CF" w:rsidRPr="00781112" w:rsidDel="00DE5045" w:rsidRDefault="002C43CF" w:rsidP="002C43CF">
            <w:pPr>
              <w:jc w:val="center"/>
              <w:rPr>
                <w:rFonts w:cs="Arial"/>
                <w:color w:val="000000" w:themeColor="text1"/>
                <w:szCs w:val="16"/>
              </w:rPr>
            </w:pPr>
            <w:r w:rsidRPr="00781112">
              <w:rPr>
                <w:rFonts w:cs="Arial"/>
                <w:color w:val="000000" w:themeColor="text1"/>
                <w:szCs w:val="16"/>
              </w:rPr>
              <w:t>Grade 4</w:t>
            </w:r>
          </w:p>
        </w:tc>
        <w:tc>
          <w:tcPr>
            <w:tcW w:w="918" w:type="pct"/>
            <w:shd w:val="clear" w:color="auto" w:fill="auto"/>
            <w:vAlign w:val="center"/>
          </w:tcPr>
          <w:p w14:paraId="5452B2A6" w14:textId="0D3478E5" w:rsidR="002C43CF" w:rsidRPr="00781112" w:rsidRDefault="002C43CF" w:rsidP="002C43CF">
            <w:pPr>
              <w:jc w:val="center"/>
              <w:rPr>
                <w:rFonts w:cs="Arial"/>
                <w:color w:val="000000" w:themeColor="text1"/>
                <w:szCs w:val="16"/>
              </w:rPr>
            </w:pPr>
            <w:r w:rsidRPr="00781112">
              <w:rPr>
                <w:rFonts w:cs="Arial"/>
                <w:color w:val="000000"/>
                <w:szCs w:val="16"/>
              </w:rPr>
              <w:t>4,493</w:t>
            </w:r>
          </w:p>
        </w:tc>
        <w:tc>
          <w:tcPr>
            <w:tcW w:w="908" w:type="pct"/>
            <w:shd w:val="clear" w:color="auto" w:fill="auto"/>
            <w:vAlign w:val="center"/>
          </w:tcPr>
          <w:p w14:paraId="039C7994" w14:textId="2644FC1F" w:rsidR="002C43CF" w:rsidRPr="00781112" w:rsidRDefault="002C43CF" w:rsidP="002C43CF">
            <w:pPr>
              <w:jc w:val="center"/>
              <w:rPr>
                <w:rFonts w:cs="Arial"/>
                <w:color w:val="000000" w:themeColor="text1"/>
                <w:szCs w:val="16"/>
              </w:rPr>
            </w:pPr>
            <w:r w:rsidRPr="00781112">
              <w:rPr>
                <w:rFonts w:cs="Arial"/>
                <w:color w:val="000000" w:themeColor="text1"/>
                <w:szCs w:val="16"/>
              </w:rPr>
              <w:t>4,632</w:t>
            </w:r>
          </w:p>
        </w:tc>
        <w:tc>
          <w:tcPr>
            <w:tcW w:w="468" w:type="pct"/>
            <w:shd w:val="clear" w:color="auto" w:fill="auto"/>
            <w:vAlign w:val="center"/>
          </w:tcPr>
          <w:p w14:paraId="24F0CC21" w14:textId="70B062C4" w:rsidR="002C43CF" w:rsidRPr="00781112" w:rsidRDefault="002C43CF" w:rsidP="002C43CF">
            <w:pPr>
              <w:jc w:val="center"/>
              <w:rPr>
                <w:rFonts w:cs="Arial"/>
                <w:color w:val="000000" w:themeColor="text1"/>
                <w:szCs w:val="16"/>
              </w:rPr>
            </w:pPr>
            <w:r w:rsidRPr="00781112">
              <w:rPr>
                <w:rFonts w:cs="Arial"/>
                <w:color w:val="000000" w:themeColor="text1"/>
                <w:szCs w:val="16"/>
              </w:rPr>
              <w:t>92.59%</w:t>
            </w:r>
          </w:p>
        </w:tc>
        <w:tc>
          <w:tcPr>
            <w:tcW w:w="468" w:type="pct"/>
            <w:shd w:val="clear" w:color="auto" w:fill="auto"/>
            <w:vAlign w:val="center"/>
          </w:tcPr>
          <w:p w14:paraId="44D3CBA8" w14:textId="716B8037" w:rsidR="002C43CF" w:rsidRPr="00781112" w:rsidRDefault="002C43CF" w:rsidP="002C43CF">
            <w:pPr>
              <w:jc w:val="center"/>
              <w:rPr>
                <w:rFonts w:cs="Arial"/>
                <w:color w:val="000000" w:themeColor="text1"/>
                <w:szCs w:val="16"/>
              </w:rPr>
            </w:pPr>
            <w:r w:rsidRPr="00781112">
              <w:rPr>
                <w:rFonts w:cs="Arial"/>
                <w:color w:val="000000" w:themeColor="text1"/>
                <w:szCs w:val="16"/>
              </w:rPr>
              <w:t>95.00%</w:t>
            </w:r>
          </w:p>
        </w:tc>
        <w:tc>
          <w:tcPr>
            <w:tcW w:w="468" w:type="pct"/>
            <w:shd w:val="clear" w:color="auto" w:fill="auto"/>
            <w:vAlign w:val="center"/>
          </w:tcPr>
          <w:p w14:paraId="0C38B251" w14:textId="6362D41B" w:rsidR="002C43CF" w:rsidRPr="00781112" w:rsidRDefault="002C43CF" w:rsidP="002C43CF">
            <w:pPr>
              <w:jc w:val="center"/>
              <w:rPr>
                <w:rFonts w:cs="Arial"/>
                <w:color w:val="000000" w:themeColor="text1"/>
                <w:szCs w:val="16"/>
              </w:rPr>
            </w:pPr>
            <w:r w:rsidRPr="00781112">
              <w:rPr>
                <w:rFonts w:cs="Arial"/>
                <w:color w:val="000000" w:themeColor="text1"/>
                <w:szCs w:val="16"/>
              </w:rPr>
              <w:t>97.00%</w:t>
            </w:r>
          </w:p>
        </w:tc>
        <w:tc>
          <w:tcPr>
            <w:tcW w:w="468" w:type="pct"/>
            <w:shd w:val="clear" w:color="auto" w:fill="auto"/>
            <w:vAlign w:val="center"/>
          </w:tcPr>
          <w:p w14:paraId="761D8F6F" w14:textId="46B9913C" w:rsidR="002C43CF" w:rsidRPr="00781112" w:rsidRDefault="002C43CF" w:rsidP="002C43CF">
            <w:pPr>
              <w:jc w:val="center"/>
              <w:rPr>
                <w:rFonts w:cs="Arial"/>
                <w:color w:val="000000" w:themeColor="text1"/>
                <w:szCs w:val="16"/>
              </w:rPr>
            </w:pPr>
            <w:r w:rsidRPr="00781112">
              <w:rPr>
                <w:rFonts w:cs="Arial"/>
                <w:color w:val="000000" w:themeColor="text1"/>
                <w:szCs w:val="16"/>
              </w:rPr>
              <w:t>Met target</w:t>
            </w:r>
          </w:p>
        </w:tc>
        <w:tc>
          <w:tcPr>
            <w:tcW w:w="469" w:type="pct"/>
            <w:shd w:val="clear" w:color="auto" w:fill="auto"/>
            <w:vAlign w:val="center"/>
          </w:tcPr>
          <w:p w14:paraId="67149680" w14:textId="213ADF64" w:rsidR="002C43CF" w:rsidRPr="00781112" w:rsidRDefault="002C43CF" w:rsidP="002C43CF">
            <w:pPr>
              <w:jc w:val="center"/>
              <w:rPr>
                <w:rFonts w:cs="Arial"/>
                <w:color w:val="000000" w:themeColor="text1"/>
                <w:szCs w:val="16"/>
              </w:rPr>
            </w:pPr>
            <w:r w:rsidRPr="00781112">
              <w:rPr>
                <w:rFonts w:cs="Arial"/>
                <w:color w:val="000000" w:themeColor="text1"/>
                <w:szCs w:val="16"/>
              </w:rPr>
              <w:t>No Slippage</w:t>
            </w:r>
          </w:p>
        </w:tc>
      </w:tr>
      <w:tr w:rsidR="00396BA3" w:rsidRPr="00781112" w14:paraId="1922D3D8" w14:textId="77777777" w:rsidTr="00396BA3">
        <w:tc>
          <w:tcPr>
            <w:tcW w:w="331" w:type="pct"/>
            <w:shd w:val="clear" w:color="auto" w:fill="auto"/>
            <w:vAlign w:val="center"/>
          </w:tcPr>
          <w:p w14:paraId="43AEFF73" w14:textId="77777777" w:rsidR="002C43CF" w:rsidRPr="00781112" w:rsidRDefault="002C43CF" w:rsidP="002C43CF">
            <w:pPr>
              <w:pStyle w:val="Default"/>
              <w:jc w:val="center"/>
              <w:rPr>
                <w:rFonts w:eastAsiaTheme="minorHAnsi"/>
                <w:color w:val="000000" w:themeColor="text1"/>
                <w:sz w:val="16"/>
                <w:szCs w:val="16"/>
              </w:rPr>
            </w:pPr>
            <w:r w:rsidRPr="00781112">
              <w:rPr>
                <w:b/>
                <w:color w:val="000000" w:themeColor="text1"/>
                <w:sz w:val="16"/>
                <w:szCs w:val="16"/>
              </w:rPr>
              <w:t>B</w:t>
            </w:r>
          </w:p>
        </w:tc>
        <w:tc>
          <w:tcPr>
            <w:tcW w:w="500" w:type="pct"/>
            <w:shd w:val="clear" w:color="auto" w:fill="auto"/>
            <w:vAlign w:val="center"/>
          </w:tcPr>
          <w:p w14:paraId="2B8AB1E0" w14:textId="3F093CFB" w:rsidR="002C43CF" w:rsidRPr="00781112" w:rsidDel="00DE5045" w:rsidRDefault="002C43CF" w:rsidP="002C43CF">
            <w:pPr>
              <w:jc w:val="center"/>
              <w:rPr>
                <w:rFonts w:cs="Arial"/>
                <w:color w:val="000000" w:themeColor="text1"/>
                <w:szCs w:val="16"/>
              </w:rPr>
            </w:pPr>
            <w:r w:rsidRPr="00781112">
              <w:rPr>
                <w:rFonts w:cs="Arial"/>
                <w:color w:val="000000" w:themeColor="text1"/>
                <w:szCs w:val="16"/>
              </w:rPr>
              <w:t>Grade 8</w:t>
            </w:r>
          </w:p>
        </w:tc>
        <w:tc>
          <w:tcPr>
            <w:tcW w:w="918" w:type="pct"/>
            <w:shd w:val="clear" w:color="auto" w:fill="auto"/>
            <w:vAlign w:val="center"/>
          </w:tcPr>
          <w:p w14:paraId="02D6A2B7" w14:textId="310E9DB8" w:rsidR="002C43CF" w:rsidRPr="00781112" w:rsidRDefault="002C43CF" w:rsidP="002C43CF">
            <w:pPr>
              <w:jc w:val="center"/>
              <w:rPr>
                <w:rFonts w:cs="Arial"/>
                <w:color w:val="000000" w:themeColor="text1"/>
                <w:szCs w:val="16"/>
              </w:rPr>
            </w:pPr>
            <w:r w:rsidRPr="00781112">
              <w:rPr>
                <w:rFonts w:cs="Arial"/>
                <w:color w:val="000000"/>
                <w:szCs w:val="16"/>
              </w:rPr>
              <w:t>4,274</w:t>
            </w:r>
          </w:p>
        </w:tc>
        <w:tc>
          <w:tcPr>
            <w:tcW w:w="908" w:type="pct"/>
            <w:shd w:val="clear" w:color="auto" w:fill="auto"/>
            <w:vAlign w:val="center"/>
          </w:tcPr>
          <w:p w14:paraId="7F2CECC4" w14:textId="3F890748" w:rsidR="002C43CF" w:rsidRPr="00781112" w:rsidRDefault="002C43CF" w:rsidP="002C43CF">
            <w:pPr>
              <w:jc w:val="center"/>
              <w:rPr>
                <w:rFonts w:cs="Arial"/>
                <w:color w:val="000000" w:themeColor="text1"/>
                <w:szCs w:val="16"/>
              </w:rPr>
            </w:pPr>
            <w:r w:rsidRPr="00781112">
              <w:rPr>
                <w:rFonts w:cs="Arial"/>
                <w:color w:val="000000" w:themeColor="text1"/>
                <w:szCs w:val="16"/>
              </w:rPr>
              <w:t>4,517</w:t>
            </w:r>
          </w:p>
        </w:tc>
        <w:tc>
          <w:tcPr>
            <w:tcW w:w="468" w:type="pct"/>
            <w:shd w:val="clear" w:color="auto" w:fill="auto"/>
            <w:vAlign w:val="center"/>
          </w:tcPr>
          <w:p w14:paraId="79841470" w14:textId="267EECAA" w:rsidR="002C43CF" w:rsidRPr="00781112" w:rsidRDefault="002C43CF" w:rsidP="002C43CF">
            <w:pPr>
              <w:jc w:val="center"/>
              <w:rPr>
                <w:rFonts w:cs="Arial"/>
                <w:color w:val="000000" w:themeColor="text1"/>
                <w:szCs w:val="16"/>
              </w:rPr>
            </w:pPr>
            <w:r w:rsidRPr="00781112">
              <w:rPr>
                <w:rFonts w:cs="Arial"/>
                <w:color w:val="000000" w:themeColor="text1"/>
                <w:szCs w:val="16"/>
              </w:rPr>
              <w:t>89.16%</w:t>
            </w:r>
          </w:p>
        </w:tc>
        <w:tc>
          <w:tcPr>
            <w:tcW w:w="468" w:type="pct"/>
            <w:shd w:val="clear" w:color="auto" w:fill="auto"/>
            <w:vAlign w:val="center"/>
          </w:tcPr>
          <w:p w14:paraId="5B10F98F" w14:textId="77777777" w:rsidR="002C43CF" w:rsidRPr="00781112" w:rsidRDefault="002C43CF" w:rsidP="002C43CF">
            <w:pPr>
              <w:jc w:val="center"/>
              <w:rPr>
                <w:rFonts w:cs="Arial"/>
                <w:color w:val="000000" w:themeColor="text1"/>
                <w:szCs w:val="16"/>
              </w:rPr>
            </w:pPr>
            <w:r w:rsidRPr="00781112">
              <w:rPr>
                <w:rFonts w:cs="Arial"/>
                <w:color w:val="000000" w:themeColor="text1"/>
                <w:szCs w:val="16"/>
              </w:rPr>
              <w:t>95.00%</w:t>
            </w:r>
          </w:p>
        </w:tc>
        <w:tc>
          <w:tcPr>
            <w:tcW w:w="468" w:type="pct"/>
            <w:shd w:val="clear" w:color="auto" w:fill="auto"/>
            <w:vAlign w:val="center"/>
          </w:tcPr>
          <w:p w14:paraId="3542B9F1" w14:textId="37C83969" w:rsidR="002C43CF" w:rsidRPr="00781112" w:rsidRDefault="002C43CF" w:rsidP="002C43CF">
            <w:pPr>
              <w:jc w:val="center"/>
              <w:rPr>
                <w:rFonts w:cs="Arial"/>
                <w:color w:val="000000" w:themeColor="text1"/>
                <w:szCs w:val="16"/>
              </w:rPr>
            </w:pPr>
            <w:r w:rsidRPr="00781112">
              <w:rPr>
                <w:rFonts w:cs="Arial"/>
                <w:color w:val="000000" w:themeColor="text1"/>
                <w:szCs w:val="16"/>
              </w:rPr>
              <w:t>94.62%</w:t>
            </w:r>
          </w:p>
        </w:tc>
        <w:tc>
          <w:tcPr>
            <w:tcW w:w="468" w:type="pct"/>
            <w:shd w:val="clear" w:color="auto" w:fill="auto"/>
            <w:vAlign w:val="center"/>
          </w:tcPr>
          <w:p w14:paraId="5BE427F8" w14:textId="56EB7A82" w:rsidR="002C43CF" w:rsidRPr="00781112" w:rsidRDefault="002C43CF" w:rsidP="002C43CF">
            <w:pPr>
              <w:jc w:val="center"/>
              <w:rPr>
                <w:rFonts w:cs="Arial"/>
                <w:color w:val="000000" w:themeColor="text1"/>
                <w:szCs w:val="16"/>
              </w:rPr>
            </w:pPr>
            <w:r w:rsidRPr="00781112">
              <w:rPr>
                <w:rFonts w:cs="Arial"/>
                <w:color w:val="000000" w:themeColor="text1"/>
                <w:szCs w:val="16"/>
              </w:rPr>
              <w:t>Did not meet target</w:t>
            </w:r>
          </w:p>
        </w:tc>
        <w:tc>
          <w:tcPr>
            <w:tcW w:w="469" w:type="pct"/>
            <w:shd w:val="clear" w:color="auto" w:fill="auto"/>
            <w:vAlign w:val="center"/>
          </w:tcPr>
          <w:p w14:paraId="5ADE31A1" w14:textId="6021CBB1" w:rsidR="002C43CF" w:rsidRPr="00781112" w:rsidRDefault="002C43CF" w:rsidP="002C43CF">
            <w:pPr>
              <w:jc w:val="center"/>
              <w:rPr>
                <w:rFonts w:cs="Arial"/>
                <w:color w:val="000000" w:themeColor="text1"/>
                <w:szCs w:val="16"/>
              </w:rPr>
            </w:pPr>
            <w:r w:rsidRPr="00781112">
              <w:rPr>
                <w:rFonts w:cs="Arial"/>
                <w:color w:val="000000" w:themeColor="text1"/>
                <w:szCs w:val="16"/>
              </w:rPr>
              <w:t>No Slippage</w:t>
            </w:r>
          </w:p>
        </w:tc>
      </w:tr>
      <w:tr w:rsidR="00396BA3" w:rsidRPr="00781112" w14:paraId="2E1BAFB0" w14:textId="77777777" w:rsidTr="00396BA3">
        <w:tc>
          <w:tcPr>
            <w:tcW w:w="331" w:type="pct"/>
            <w:shd w:val="clear" w:color="auto" w:fill="auto"/>
            <w:vAlign w:val="center"/>
          </w:tcPr>
          <w:p w14:paraId="6825BD97" w14:textId="77777777" w:rsidR="002C43CF" w:rsidRPr="00781112" w:rsidRDefault="002C43CF" w:rsidP="002C43CF">
            <w:pPr>
              <w:pStyle w:val="Default"/>
              <w:jc w:val="center"/>
              <w:rPr>
                <w:rFonts w:eastAsiaTheme="minorHAnsi"/>
                <w:color w:val="000000" w:themeColor="text1"/>
                <w:sz w:val="16"/>
                <w:szCs w:val="16"/>
              </w:rPr>
            </w:pPr>
            <w:r w:rsidRPr="00781112">
              <w:rPr>
                <w:b/>
                <w:color w:val="000000" w:themeColor="text1"/>
                <w:sz w:val="16"/>
                <w:szCs w:val="16"/>
              </w:rPr>
              <w:t>C</w:t>
            </w:r>
          </w:p>
        </w:tc>
        <w:tc>
          <w:tcPr>
            <w:tcW w:w="500" w:type="pct"/>
            <w:shd w:val="clear" w:color="auto" w:fill="auto"/>
            <w:vAlign w:val="center"/>
          </w:tcPr>
          <w:p w14:paraId="0AE72592" w14:textId="0F597AAE" w:rsidR="002C43CF" w:rsidRPr="00781112" w:rsidDel="00DE5045" w:rsidRDefault="002C43CF" w:rsidP="002C43CF">
            <w:pPr>
              <w:jc w:val="center"/>
              <w:rPr>
                <w:rFonts w:cs="Arial"/>
                <w:color w:val="000000" w:themeColor="text1"/>
                <w:szCs w:val="16"/>
              </w:rPr>
            </w:pPr>
            <w:r w:rsidRPr="00781112">
              <w:rPr>
                <w:rFonts w:cs="Arial"/>
                <w:color w:val="000000" w:themeColor="text1"/>
                <w:szCs w:val="16"/>
              </w:rPr>
              <w:t>Grade HS</w:t>
            </w:r>
          </w:p>
        </w:tc>
        <w:tc>
          <w:tcPr>
            <w:tcW w:w="918" w:type="pct"/>
            <w:shd w:val="clear" w:color="auto" w:fill="auto"/>
            <w:vAlign w:val="center"/>
          </w:tcPr>
          <w:p w14:paraId="6099121A" w14:textId="18C55BFC" w:rsidR="002C43CF" w:rsidRPr="00781112" w:rsidRDefault="002C43CF" w:rsidP="002C43CF">
            <w:pPr>
              <w:jc w:val="center"/>
              <w:rPr>
                <w:rFonts w:cs="Arial"/>
                <w:color w:val="000000" w:themeColor="text1"/>
                <w:szCs w:val="16"/>
              </w:rPr>
            </w:pPr>
            <w:r w:rsidRPr="00781112">
              <w:rPr>
                <w:rFonts w:cs="Arial"/>
                <w:color w:val="000000"/>
                <w:szCs w:val="16"/>
              </w:rPr>
              <w:t>2,898</w:t>
            </w:r>
          </w:p>
        </w:tc>
        <w:tc>
          <w:tcPr>
            <w:tcW w:w="908" w:type="pct"/>
            <w:shd w:val="clear" w:color="auto" w:fill="auto"/>
            <w:vAlign w:val="center"/>
          </w:tcPr>
          <w:p w14:paraId="6B5854E5" w14:textId="06E91CB7" w:rsidR="002C43CF" w:rsidRPr="00781112" w:rsidRDefault="002C43CF" w:rsidP="002C43CF">
            <w:pPr>
              <w:jc w:val="center"/>
              <w:rPr>
                <w:rFonts w:cs="Arial"/>
                <w:color w:val="000000" w:themeColor="text1"/>
                <w:szCs w:val="16"/>
              </w:rPr>
            </w:pPr>
            <w:r w:rsidRPr="00781112">
              <w:rPr>
                <w:rFonts w:cs="Arial"/>
                <w:color w:val="000000" w:themeColor="text1"/>
                <w:szCs w:val="16"/>
              </w:rPr>
              <w:t>3,310</w:t>
            </w:r>
          </w:p>
        </w:tc>
        <w:tc>
          <w:tcPr>
            <w:tcW w:w="468" w:type="pct"/>
            <w:shd w:val="clear" w:color="auto" w:fill="auto"/>
            <w:vAlign w:val="center"/>
          </w:tcPr>
          <w:p w14:paraId="36BDD326" w14:textId="6EBA39BF" w:rsidR="002C43CF" w:rsidRPr="00781112" w:rsidRDefault="002C43CF" w:rsidP="002C43CF">
            <w:pPr>
              <w:jc w:val="center"/>
              <w:rPr>
                <w:rFonts w:cs="Arial"/>
                <w:color w:val="000000" w:themeColor="text1"/>
                <w:szCs w:val="16"/>
              </w:rPr>
            </w:pPr>
            <w:r w:rsidRPr="00781112">
              <w:rPr>
                <w:rFonts w:cs="Arial"/>
                <w:color w:val="000000" w:themeColor="text1"/>
                <w:szCs w:val="16"/>
              </w:rPr>
              <w:t>75.48%</w:t>
            </w:r>
          </w:p>
        </w:tc>
        <w:tc>
          <w:tcPr>
            <w:tcW w:w="468" w:type="pct"/>
            <w:shd w:val="clear" w:color="auto" w:fill="auto"/>
            <w:vAlign w:val="center"/>
          </w:tcPr>
          <w:p w14:paraId="2B5A1952" w14:textId="77777777" w:rsidR="002C43CF" w:rsidRPr="00781112" w:rsidRDefault="002C43CF" w:rsidP="002C43CF">
            <w:pPr>
              <w:jc w:val="center"/>
              <w:rPr>
                <w:rFonts w:cs="Arial"/>
                <w:color w:val="000000" w:themeColor="text1"/>
                <w:szCs w:val="16"/>
              </w:rPr>
            </w:pPr>
            <w:r w:rsidRPr="00781112">
              <w:rPr>
                <w:rFonts w:cs="Arial"/>
                <w:color w:val="000000" w:themeColor="text1"/>
                <w:szCs w:val="16"/>
              </w:rPr>
              <w:t>95.00%</w:t>
            </w:r>
          </w:p>
        </w:tc>
        <w:tc>
          <w:tcPr>
            <w:tcW w:w="468" w:type="pct"/>
            <w:shd w:val="clear" w:color="auto" w:fill="auto"/>
            <w:vAlign w:val="center"/>
          </w:tcPr>
          <w:p w14:paraId="3A8A2153" w14:textId="350CE279" w:rsidR="002C43CF" w:rsidRPr="00781112" w:rsidRDefault="002C43CF" w:rsidP="002C43CF">
            <w:pPr>
              <w:jc w:val="center"/>
              <w:rPr>
                <w:rFonts w:cs="Arial"/>
                <w:color w:val="000000" w:themeColor="text1"/>
                <w:szCs w:val="16"/>
              </w:rPr>
            </w:pPr>
            <w:r w:rsidRPr="00781112">
              <w:rPr>
                <w:rFonts w:cs="Arial"/>
                <w:color w:val="000000" w:themeColor="text1"/>
                <w:szCs w:val="16"/>
              </w:rPr>
              <w:t>87.55%</w:t>
            </w:r>
          </w:p>
        </w:tc>
        <w:tc>
          <w:tcPr>
            <w:tcW w:w="468" w:type="pct"/>
            <w:shd w:val="clear" w:color="auto" w:fill="auto"/>
            <w:vAlign w:val="center"/>
          </w:tcPr>
          <w:p w14:paraId="602D5261" w14:textId="54A65BCD" w:rsidR="002C43CF" w:rsidRPr="00781112" w:rsidRDefault="002C43CF" w:rsidP="002C43CF">
            <w:pPr>
              <w:jc w:val="center"/>
              <w:rPr>
                <w:rFonts w:cs="Arial"/>
                <w:color w:val="000000" w:themeColor="text1"/>
                <w:szCs w:val="16"/>
              </w:rPr>
            </w:pPr>
            <w:r w:rsidRPr="00781112">
              <w:rPr>
                <w:rFonts w:cs="Arial"/>
                <w:color w:val="000000" w:themeColor="text1"/>
                <w:szCs w:val="16"/>
              </w:rPr>
              <w:t>Did not meet target</w:t>
            </w:r>
          </w:p>
        </w:tc>
        <w:tc>
          <w:tcPr>
            <w:tcW w:w="469" w:type="pct"/>
            <w:shd w:val="clear" w:color="auto" w:fill="auto"/>
            <w:vAlign w:val="center"/>
          </w:tcPr>
          <w:p w14:paraId="45BE3C4A" w14:textId="1F06447F" w:rsidR="002C43CF" w:rsidRPr="00781112" w:rsidRDefault="002C43CF" w:rsidP="002C43CF">
            <w:pPr>
              <w:jc w:val="center"/>
              <w:rPr>
                <w:rFonts w:cs="Arial"/>
                <w:color w:val="000000" w:themeColor="text1"/>
                <w:szCs w:val="16"/>
              </w:rPr>
            </w:pPr>
            <w:r w:rsidRPr="00781112">
              <w:rPr>
                <w:rFonts w:cs="Arial"/>
                <w:color w:val="000000" w:themeColor="text1"/>
                <w:szCs w:val="16"/>
              </w:rPr>
              <w:t>No Slippage</w:t>
            </w:r>
          </w:p>
        </w:tc>
      </w:tr>
    </w:tbl>
    <w:p w14:paraId="0CDF2DF2" w14:textId="7E4745D3" w:rsidR="00F17D5E" w:rsidRPr="00781112" w:rsidRDefault="00F17D5E">
      <w:pPr>
        <w:spacing w:before="0" w:after="200" w:line="276" w:lineRule="auto"/>
        <w:rPr>
          <w:b/>
          <w:color w:val="000000" w:themeColor="text1"/>
        </w:rPr>
      </w:pPr>
    </w:p>
    <w:p w14:paraId="13A59EA6" w14:textId="77777777" w:rsidR="00A134AA" w:rsidRPr="00781112" w:rsidRDefault="00A134AA" w:rsidP="00A134AA">
      <w:pPr>
        <w:rPr>
          <w:color w:val="000000" w:themeColor="text1"/>
        </w:rPr>
      </w:pPr>
      <w:r w:rsidRPr="00781112">
        <w:rPr>
          <w:b/>
          <w:color w:val="000000" w:themeColor="text1"/>
        </w:rPr>
        <w:t>Regulatory Information</w:t>
      </w:r>
    </w:p>
    <w:p w14:paraId="53C4149B" w14:textId="77777777" w:rsidR="00A134AA" w:rsidRPr="00781112" w:rsidRDefault="00A134AA" w:rsidP="00A134AA">
      <w:pPr>
        <w:rPr>
          <w:rFonts w:cs="Arial"/>
          <w:b/>
          <w:color w:val="000000" w:themeColor="text1"/>
          <w:szCs w:val="16"/>
          <w:shd w:val="clear" w:color="auto" w:fill="FFFFFF"/>
        </w:rPr>
      </w:pPr>
      <w:r w:rsidRPr="00781112">
        <w:rPr>
          <w:rFonts w:cs="Arial"/>
          <w:b/>
          <w:color w:val="000000" w:themeColor="text1"/>
          <w:szCs w:val="16"/>
        </w:rPr>
        <w:t>The SEA, (or, in the case of a district-wide assessment, LEA) must make available to the public, and report to the public with the same frequency and in the same detail as it reports on the assessment of nondisabled children: (1) the number of children with disabilities participating in: (a) regular assessments, and the number of those children who were provided accommodations in order to participate in those assessments; and (b) alternate assessments aligned with alternate achievement standards; and (2) the performance of children with disabilities on regular assessments and on alternate assessments, compared with the achievement of all children, including children with disabilities, on those assessments. [20 U.S.C. 1412 (a)(16)(D); 34 CFR §300.160(f)]</w:t>
      </w:r>
      <w:r w:rsidRPr="00781112">
        <w:rPr>
          <w:rFonts w:cs="Arial"/>
          <w:b/>
          <w:color w:val="000000" w:themeColor="text1"/>
          <w:szCs w:val="16"/>
          <w:shd w:val="clear" w:color="auto" w:fill="FFFFFF"/>
        </w:rPr>
        <w:t xml:space="preserve"> </w:t>
      </w:r>
    </w:p>
    <w:p w14:paraId="24575108" w14:textId="77777777" w:rsidR="00A134AA" w:rsidRPr="00781112" w:rsidRDefault="00A134AA" w:rsidP="00A134AA">
      <w:pPr>
        <w:rPr>
          <w:color w:val="000000" w:themeColor="text1"/>
        </w:rPr>
      </w:pPr>
    </w:p>
    <w:p w14:paraId="44CC67C3" w14:textId="77777777" w:rsidR="00A134AA" w:rsidRPr="00781112" w:rsidRDefault="00A134AA" w:rsidP="00A134AA">
      <w:pPr>
        <w:rPr>
          <w:color w:val="000000" w:themeColor="text1"/>
        </w:rPr>
      </w:pPr>
      <w:r w:rsidRPr="00781112">
        <w:rPr>
          <w:b/>
          <w:color w:val="000000" w:themeColor="text1"/>
        </w:rPr>
        <w:t>Public Reporting Information</w:t>
      </w:r>
    </w:p>
    <w:p w14:paraId="70B58518" w14:textId="77777777" w:rsidR="00A134AA" w:rsidRPr="00781112" w:rsidRDefault="00A134AA" w:rsidP="00A134AA">
      <w:pPr>
        <w:rPr>
          <w:rFonts w:cs="Arial"/>
          <w:b/>
          <w:color w:val="000000" w:themeColor="text1"/>
          <w:szCs w:val="16"/>
        </w:rPr>
      </w:pPr>
      <w:r w:rsidRPr="00781112">
        <w:rPr>
          <w:rFonts w:cs="Arial"/>
          <w:b/>
          <w:color w:val="000000" w:themeColor="text1"/>
          <w:szCs w:val="16"/>
        </w:rPr>
        <w:t xml:space="preserve">Provide links to the page(s) where you provide public reports of assessment results. </w:t>
      </w:r>
    </w:p>
    <w:p w14:paraId="7EBFE113" w14:textId="047A82C9" w:rsidR="00A134AA" w:rsidRPr="00781112" w:rsidRDefault="00A134AA" w:rsidP="00A134AA">
      <w:pPr>
        <w:rPr>
          <w:rFonts w:cs="Arial"/>
          <w:color w:val="000000" w:themeColor="text1"/>
          <w:szCs w:val="16"/>
        </w:rPr>
      </w:pPr>
      <w:r w:rsidRPr="00781112">
        <w:rPr>
          <w:rFonts w:cs="Arial"/>
          <w:color w:val="000000" w:themeColor="text1"/>
          <w:szCs w:val="16"/>
        </w:rPr>
        <w:lastRenderedPageBreak/>
        <w:t>Public reports for assessment results can be found at:  https://webnew.ped.state.nm.us/bureaus/special-education/district-data/.</w:t>
      </w:r>
    </w:p>
    <w:p w14:paraId="222AA3BE" w14:textId="77777777" w:rsidR="00A134AA" w:rsidRPr="00781112" w:rsidRDefault="00A134AA" w:rsidP="00A134AA">
      <w:pPr>
        <w:rPr>
          <w:b/>
          <w:color w:val="000000" w:themeColor="text1"/>
        </w:rPr>
      </w:pPr>
      <w:r w:rsidRPr="00781112">
        <w:rPr>
          <w:b/>
          <w:color w:val="000000" w:themeColor="text1"/>
        </w:rPr>
        <w:t>Provide additional information about this indicator (optional)</w:t>
      </w:r>
    </w:p>
    <w:p w14:paraId="58D88404" w14:textId="4712EC2F" w:rsidR="00A134AA" w:rsidRPr="00781112" w:rsidRDefault="00A134AA" w:rsidP="00A134AA">
      <w:pPr>
        <w:rPr>
          <w:rFonts w:cs="Arial"/>
          <w:color w:val="000000" w:themeColor="text1"/>
          <w:szCs w:val="16"/>
        </w:rPr>
      </w:pPr>
      <w:r w:rsidRPr="00781112">
        <w:rPr>
          <w:rFonts w:cs="Arial"/>
          <w:color w:val="000000" w:themeColor="text1"/>
          <w:szCs w:val="16"/>
        </w:rPr>
        <w:t/>
      </w:r>
    </w:p>
    <w:p w14:paraId="0F4E9E40" w14:textId="77777777" w:rsidR="00B725C2" w:rsidRPr="00781112" w:rsidRDefault="00B725C2">
      <w:pPr>
        <w:spacing w:before="0" w:after="200" w:line="276" w:lineRule="auto"/>
        <w:rPr>
          <w:b/>
          <w:color w:val="000000" w:themeColor="text1"/>
        </w:rPr>
      </w:pPr>
    </w:p>
    <w:p w14:paraId="3BECD360" w14:textId="5C269016" w:rsidR="00361CFA" w:rsidRPr="00781112" w:rsidRDefault="00361CFA" w:rsidP="00361CFA">
      <w:pPr>
        <w:pStyle w:val="Heading2"/>
      </w:pPr>
      <w:r w:rsidRPr="00781112">
        <w:t>3</w:t>
      </w:r>
      <w:r w:rsidR="00DD4E25" w:rsidRPr="00781112">
        <w:t>A</w:t>
      </w:r>
      <w:r w:rsidRPr="00781112">
        <w:t xml:space="preserve"> - Prior FFY Required Actions</w:t>
      </w:r>
    </w:p>
    <w:p w14:paraId="0775D2DC" w14:textId="32AC04CD" w:rsidR="00361CFA" w:rsidRPr="00781112" w:rsidRDefault="00361CFA" w:rsidP="00361CFA">
      <w:pPr>
        <w:rPr>
          <w:rFonts w:cs="Arial"/>
          <w:color w:val="000000" w:themeColor="text1"/>
          <w:szCs w:val="16"/>
        </w:rPr>
      </w:pPr>
      <w:r w:rsidRPr="00781112">
        <w:rPr>
          <w:rFonts w:cs="Arial"/>
          <w:color w:val="000000" w:themeColor="text1"/>
          <w:szCs w:val="16"/>
        </w:rPr>
        <w:t>Within 90 days of the receipt of the State's 2023 determination letter, the State must provide to OSEP a Web link that demonstrates that it has reported, for FFY 2021, to the public, on the statewide assessments of children with disabilities in accordance with 34 C.F.R. § 300.160(f). In addition, OSEP reminds the State that in the FFY 2022 SPP/APR, the State must include a Web link that demonstrates compliance with 34 C.F.R. § 300.160(f) for FFY 2022.</w:t>
      </w:r>
    </w:p>
    <w:p w14:paraId="47286128" w14:textId="35D07E5E" w:rsidR="00361CFA" w:rsidRPr="00781112" w:rsidRDefault="007639D7" w:rsidP="00361CFA">
      <w:pPr>
        <w:rPr>
          <w:color w:val="000000" w:themeColor="text1"/>
        </w:rPr>
      </w:pPr>
      <w:r>
        <w:rPr>
          <w:b/>
          <w:color w:val="000000" w:themeColor="text1"/>
        </w:rPr>
        <w:t>Response to actions required in FFY 2021 SPP/APR</w:t>
      </w:r>
      <w:r w:rsidR="00361CFA" w:rsidRPr="00781112">
        <w:rPr>
          <w:rFonts w:cs="Arial"/>
          <w:color w:val="000000" w:themeColor="text1"/>
          <w:szCs w:val="16"/>
        </w:rPr>
        <w:t xml:space="preserve"> </w:t>
      </w:r>
    </w:p>
    <w:p w14:paraId="7324288D" w14:textId="1285CFC6" w:rsidR="00361CFA" w:rsidRPr="00781112" w:rsidRDefault="00361CFA" w:rsidP="00361CFA">
      <w:pPr>
        <w:rPr>
          <w:rFonts w:cs="Arial"/>
          <w:color w:val="000000" w:themeColor="text1"/>
          <w:szCs w:val="16"/>
        </w:rPr>
      </w:pPr>
      <w:r w:rsidRPr="00781112">
        <w:rPr>
          <w:rFonts w:cs="Arial"/>
          <w:color w:val="000000" w:themeColor="text1"/>
          <w:szCs w:val="16"/>
        </w:rPr>
        <w:t>The State has provided the requested information to the OSEP State Lead.</w:t>
      </w:r>
    </w:p>
    <w:p w14:paraId="743B5B9F" w14:textId="1841BC80" w:rsidR="00361CFA" w:rsidRPr="00781112" w:rsidRDefault="00361CFA" w:rsidP="00361CFA">
      <w:pPr>
        <w:pStyle w:val="Heading2"/>
      </w:pPr>
      <w:r w:rsidRPr="00781112">
        <w:t>3</w:t>
      </w:r>
      <w:r w:rsidR="00DD4E25" w:rsidRPr="00781112">
        <w:t>A</w:t>
      </w:r>
      <w:r w:rsidRPr="00781112">
        <w:t xml:space="preserve"> - OSEP Response</w:t>
      </w:r>
    </w:p>
    <w:p w14:paraId="2436D21B" w14:textId="251DD46D" w:rsidR="00361CFA" w:rsidRPr="00781112" w:rsidRDefault="00361CFA" w:rsidP="00361CFA">
      <w:pPr>
        <w:rPr>
          <w:rFonts w:cs="Arial"/>
          <w:color w:val="000000" w:themeColor="text1"/>
          <w:szCs w:val="16"/>
        </w:rPr>
      </w:pPr>
      <w:r w:rsidRPr="00781112">
        <w:rPr>
          <w:rFonts w:cs="Arial"/>
          <w:color w:val="000000" w:themeColor="text1"/>
          <w:szCs w:val="16"/>
          <w:shd w:val="clear" w:color="auto" w:fill="FFFFFF"/>
        </w:rPr>
        <w:t>The State did not provide a Web link demonstrating that the State reported publicly on the participation of children with disabilities on statewide assessments with the same frequency and in the same detail as it reports on the assessments of nondisabled children, as required by 34 C.F.R. § 300.160(f). Specifically, the State has not reported the number of children with disabilities participating in regular assessments, and the number of those children who were provided accommodations (that did not result in an invalid score) in order to participate in those assessments at the State, district and school levels. The failure to publicly report as required under 34 C.F.R. § 300.160(f) is noncompliance.</w:t>
      </w:r>
    </w:p>
    <w:p w14:paraId="66272CA6" w14:textId="0C9AB332" w:rsidR="00361CFA" w:rsidRPr="00781112" w:rsidRDefault="00361CFA" w:rsidP="00361CFA">
      <w:pPr>
        <w:pStyle w:val="Heading2"/>
      </w:pPr>
      <w:r w:rsidRPr="00781112">
        <w:t>3</w:t>
      </w:r>
      <w:r w:rsidR="00DD4E25" w:rsidRPr="00781112">
        <w:t>A</w:t>
      </w:r>
      <w:r w:rsidRPr="00781112">
        <w:t xml:space="preserve"> - Required Actions</w:t>
      </w:r>
    </w:p>
    <w:p w14:paraId="07E8CA27" w14:textId="1D50FC01" w:rsidR="00361CFA" w:rsidRPr="00781112" w:rsidRDefault="00361CFA" w:rsidP="00361CFA">
      <w:pPr>
        <w:rPr>
          <w:rFonts w:cs="Arial"/>
          <w:color w:val="000000" w:themeColor="text1"/>
          <w:szCs w:val="16"/>
        </w:rPr>
      </w:pPr>
      <w:r w:rsidRPr="00781112">
        <w:rPr>
          <w:rFonts w:cs="Arial"/>
          <w:color w:val="000000" w:themeColor="text1"/>
          <w:szCs w:val="16"/>
          <w:shd w:val="clear" w:color="auto" w:fill="FFFFFF"/>
        </w:rPr>
        <w:t>Within 90 days of the receipt of the State's 2024 determination letter, the State must provide to OSEP a Web link that demonstrates that it has reported, for FFY 2022, to the public, on the statewide assessments of children with disabilities in accordance with 34 C.F.R. § 300.160(f). In addition, OSEP reminds the State that in the FFY 2023 SPP/APR, the State must include a Web link that demonstrates compliance with 34 C.F.R. § 300.160(f) for FFY 2023.</w:t>
      </w:r>
    </w:p>
    <w:p w14:paraId="70908578" w14:textId="7D14B33B" w:rsidR="00553A47" w:rsidRPr="00781112" w:rsidRDefault="00553A47">
      <w:pPr>
        <w:spacing w:before="0" w:after="200" w:line="276" w:lineRule="auto"/>
        <w:rPr>
          <w:rFonts w:eastAsiaTheme="majorEastAsia" w:cstheme="majorBidi"/>
          <w:b/>
          <w:bCs/>
          <w:color w:val="000000" w:themeColor="text1"/>
          <w:sz w:val="20"/>
          <w:szCs w:val="16"/>
        </w:rPr>
      </w:pPr>
      <w:r w:rsidRPr="00781112">
        <w:rPr>
          <w:color w:val="000000" w:themeColor="text1"/>
          <w:szCs w:val="16"/>
        </w:rPr>
        <w:br w:type="page"/>
      </w:r>
    </w:p>
    <w:p w14:paraId="4B525DFA" w14:textId="76C42186" w:rsidR="009D378C" w:rsidRPr="00781112" w:rsidRDefault="009D378C" w:rsidP="004369B2">
      <w:pPr>
        <w:pStyle w:val="Heading1"/>
        <w:rPr>
          <w:color w:val="000000" w:themeColor="text1"/>
          <w:sz w:val="22"/>
        </w:rPr>
      </w:pPr>
      <w:r w:rsidRPr="00781112">
        <w:rPr>
          <w:color w:val="000000" w:themeColor="text1"/>
          <w:sz w:val="22"/>
        </w:rPr>
        <w:lastRenderedPageBreak/>
        <w:t xml:space="preserve">Indicator 3B: Proficiency for Children with IEPs (Grade Level Academic Achievement Standards) </w:t>
      </w:r>
      <w:bookmarkEnd w:id="13"/>
      <w:bookmarkEnd w:id="14"/>
    </w:p>
    <w:p w14:paraId="66C662B8" w14:textId="77777777" w:rsidR="007C3C89" w:rsidRPr="00781112" w:rsidRDefault="007C3C89" w:rsidP="00A018D4">
      <w:pPr>
        <w:rPr>
          <w:color w:val="000000" w:themeColor="text1"/>
          <w:szCs w:val="20"/>
        </w:rPr>
      </w:pPr>
      <w:bookmarkStart w:id="16" w:name="_Toc392159271"/>
      <w:r w:rsidRPr="00781112">
        <w:rPr>
          <w:b/>
          <w:color w:val="000000" w:themeColor="text1"/>
          <w:sz w:val="20"/>
          <w:szCs w:val="20"/>
        </w:rPr>
        <w:t>Instructions and Measurement</w:t>
      </w:r>
    </w:p>
    <w:p w14:paraId="31EC23C7" w14:textId="5EB5B691" w:rsidR="0085119E" w:rsidRPr="00781112" w:rsidRDefault="0085119E"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2F546D74" w14:textId="7751A5DC" w:rsidR="005873EB" w:rsidRPr="00781112" w:rsidRDefault="0085119E" w:rsidP="00552927">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w:t>
      </w:r>
      <w:r w:rsidR="00131842" w:rsidRPr="00781112">
        <w:rPr>
          <w:rFonts w:cs="Arial"/>
          <w:color w:val="000000" w:themeColor="text1"/>
          <w:szCs w:val="16"/>
        </w:rPr>
        <w:t xml:space="preserve"> </w:t>
      </w:r>
      <w:r w:rsidR="005873EB" w:rsidRPr="00781112">
        <w:rPr>
          <w:rFonts w:cs="Arial"/>
          <w:color w:val="000000" w:themeColor="text1"/>
          <w:szCs w:val="16"/>
        </w:rPr>
        <w:t xml:space="preserve">Participation and performance </w:t>
      </w:r>
      <w:r w:rsidR="00C960B4" w:rsidRPr="00781112">
        <w:rPr>
          <w:rFonts w:cs="Arial"/>
          <w:color w:val="000000" w:themeColor="text1"/>
          <w:szCs w:val="16"/>
        </w:rPr>
        <w:t xml:space="preserve">of </w:t>
      </w:r>
      <w:r w:rsidR="005873EB" w:rsidRPr="00781112">
        <w:rPr>
          <w:rFonts w:cs="Arial"/>
          <w:color w:val="000000" w:themeColor="text1"/>
          <w:szCs w:val="16"/>
        </w:rPr>
        <w:t>children with IEPs on statewide</w:t>
      </w:r>
      <w:r w:rsidR="00A14AEA" w:rsidRPr="00781112">
        <w:rPr>
          <w:rFonts w:cs="Arial"/>
          <w:color w:val="000000" w:themeColor="text1"/>
          <w:szCs w:val="16"/>
        </w:rPr>
        <w:t xml:space="preserve"> assessments:</w:t>
      </w:r>
    </w:p>
    <w:p w14:paraId="4F752398" w14:textId="77777777" w:rsidR="001B1437" w:rsidRPr="00781112" w:rsidRDefault="001B1437" w:rsidP="001B1437">
      <w:pPr>
        <w:ind w:firstLine="720"/>
        <w:rPr>
          <w:rFonts w:cs="Arial"/>
          <w:color w:val="000000" w:themeColor="text1"/>
          <w:szCs w:val="16"/>
        </w:rPr>
      </w:pPr>
      <w:r w:rsidRPr="00781112">
        <w:rPr>
          <w:rFonts w:cs="Arial"/>
          <w:color w:val="000000" w:themeColor="text1"/>
          <w:szCs w:val="16"/>
        </w:rPr>
        <w:t>A. Participation rate for children with IEPs.</w:t>
      </w:r>
    </w:p>
    <w:p w14:paraId="5BE34F5D" w14:textId="77777777" w:rsidR="001B1437" w:rsidRPr="00781112" w:rsidRDefault="001B1437" w:rsidP="001B1437">
      <w:pPr>
        <w:ind w:firstLine="720"/>
        <w:rPr>
          <w:rFonts w:cs="Arial"/>
          <w:color w:val="000000" w:themeColor="text1"/>
          <w:szCs w:val="16"/>
        </w:rPr>
      </w:pPr>
      <w:r w:rsidRPr="00781112">
        <w:rPr>
          <w:rFonts w:cs="Arial"/>
          <w:color w:val="000000" w:themeColor="text1"/>
          <w:szCs w:val="16"/>
        </w:rPr>
        <w:t xml:space="preserve">B. </w:t>
      </w:r>
      <w:r w:rsidRPr="00781112">
        <w:rPr>
          <w:rFonts w:cs="Arial"/>
          <w:szCs w:val="16"/>
        </w:rPr>
        <w:t>Proficiency rate for children with IEPs against grade level academic achievement standards.</w:t>
      </w:r>
    </w:p>
    <w:p w14:paraId="3A689820" w14:textId="77777777" w:rsidR="001B1437" w:rsidRPr="00781112" w:rsidRDefault="001B1437" w:rsidP="001B1437">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14:paraId="59A0C855" w14:textId="77777777" w:rsidR="001B1437" w:rsidRPr="00781112" w:rsidRDefault="001B1437" w:rsidP="001B1437">
      <w:pPr>
        <w:ind w:firstLine="720"/>
        <w:rPr>
          <w:rFonts w:cs="Arial"/>
          <w:color w:val="000000" w:themeColor="text1"/>
          <w:szCs w:val="16"/>
        </w:rPr>
      </w:pPr>
      <w:r w:rsidRPr="00781112">
        <w:rPr>
          <w:rFonts w:cs="Arial"/>
          <w:color w:val="000000" w:themeColor="text1"/>
          <w:szCs w:val="16"/>
        </w:rPr>
        <w:t>D.</w:t>
      </w:r>
      <w:r w:rsidRPr="00781112">
        <w:rPr>
          <w:rFonts w:cs="Arial"/>
          <w:szCs w:val="16"/>
        </w:rPr>
        <w:t xml:space="preserve"> Gap in proficiency rates for children with IEPs and all students against grade level academic achievement standards.</w:t>
      </w:r>
    </w:p>
    <w:p w14:paraId="08325460" w14:textId="77777777" w:rsidR="001B1437" w:rsidRPr="00781112" w:rsidRDefault="001B1437" w:rsidP="001B1437">
      <w:pPr>
        <w:rPr>
          <w:rFonts w:cs="Arial"/>
          <w:color w:val="000000" w:themeColor="text1"/>
          <w:szCs w:val="16"/>
        </w:rPr>
      </w:pPr>
      <w:r w:rsidRPr="00781112">
        <w:rPr>
          <w:rFonts w:cs="Arial"/>
          <w:color w:val="000000" w:themeColor="text1"/>
          <w:szCs w:val="16"/>
        </w:rPr>
        <w:t>(20 U.S.C. 1416 (a)(3)(A))</w:t>
      </w:r>
    </w:p>
    <w:p w14:paraId="17F5F231" w14:textId="77777777" w:rsidR="005873EB" w:rsidRPr="00781112" w:rsidRDefault="005873EB" w:rsidP="004369B2">
      <w:pPr>
        <w:rPr>
          <w:color w:val="000000" w:themeColor="text1"/>
        </w:rPr>
      </w:pPr>
      <w:r w:rsidRPr="00781112">
        <w:rPr>
          <w:b/>
          <w:color w:val="000000" w:themeColor="text1"/>
        </w:rPr>
        <w:t>Data Source</w:t>
      </w:r>
    </w:p>
    <w:p w14:paraId="74E3B0EF" w14:textId="680BE39A" w:rsidR="00A14AEA" w:rsidRPr="0075451F" w:rsidRDefault="00A14AEA" w:rsidP="002621F6">
      <w:pPr>
        <w:rPr>
          <w:rFonts w:cs="Arial"/>
          <w:szCs w:val="16"/>
        </w:rPr>
      </w:pPr>
      <w:r w:rsidRPr="00781112">
        <w:rPr>
          <w:rFonts w:cs="Arial"/>
          <w:color w:val="000000" w:themeColor="text1"/>
          <w:szCs w:val="16"/>
        </w:rPr>
        <w:t xml:space="preserve">3B. Same data as used for reporting to the Department under Title I of the ESEA, using </w:t>
      </w:r>
      <w:proofErr w:type="spellStart"/>
      <w:r w:rsidRPr="00781112">
        <w:rPr>
          <w:rFonts w:cs="Arial"/>
          <w:color w:val="000000" w:themeColor="text1"/>
          <w:szCs w:val="16"/>
        </w:rPr>
        <w:t>ED</w:t>
      </w:r>
      <w:r w:rsidRPr="00BA3DBE">
        <w:rPr>
          <w:rFonts w:cs="Arial"/>
          <w:i/>
          <w:iCs/>
          <w:color w:val="000000" w:themeColor="text1"/>
          <w:szCs w:val="16"/>
        </w:rPr>
        <w:t>Facts</w:t>
      </w:r>
      <w:proofErr w:type="spellEnd"/>
      <w:r w:rsidRPr="00781112">
        <w:rPr>
          <w:rFonts w:cs="Arial"/>
          <w:color w:val="000000" w:themeColor="text1"/>
          <w:szCs w:val="16"/>
        </w:rPr>
        <w:t xml:space="preserve"> file specifications </w:t>
      </w:r>
      <w:r w:rsidR="001B1437" w:rsidRPr="00781112">
        <w:rPr>
          <w:rFonts w:cs="Arial"/>
          <w:szCs w:val="16"/>
        </w:rPr>
        <w:t>FS175 and 178.</w:t>
      </w:r>
    </w:p>
    <w:p w14:paraId="58C69CDD" w14:textId="77777777" w:rsidR="005873EB" w:rsidRPr="00781112" w:rsidRDefault="005873EB" w:rsidP="004369B2">
      <w:pPr>
        <w:rPr>
          <w:color w:val="000000" w:themeColor="text1"/>
        </w:rPr>
      </w:pPr>
      <w:r w:rsidRPr="00781112">
        <w:rPr>
          <w:b/>
          <w:color w:val="000000" w:themeColor="text1"/>
        </w:rPr>
        <w:t>Measurement</w:t>
      </w:r>
    </w:p>
    <w:p w14:paraId="1B72B9D8" w14:textId="6F544A48" w:rsidR="00781112" w:rsidRPr="00781112" w:rsidRDefault="00A14AEA" w:rsidP="004369B2">
      <w:pPr>
        <w:rPr>
          <w:rFonts w:cs="Arial"/>
          <w:szCs w:val="16"/>
        </w:rPr>
      </w:pPr>
      <w:r w:rsidRPr="00781112">
        <w:rPr>
          <w:rFonts w:cs="Arial"/>
          <w:color w:val="000000" w:themeColor="text1"/>
          <w:szCs w:val="16"/>
        </w:rPr>
        <w:t xml:space="preserve">B. </w:t>
      </w:r>
      <w:r w:rsidR="001B1437" w:rsidRPr="00781112">
        <w:rPr>
          <w:rFonts w:cs="Arial"/>
          <w:szCs w:val="16"/>
        </w:rPr>
        <w:t>Proficiency rate percent = [(# of children with IEPs scoring at or above proficient against grade level academic achievement standards) divided by the (total # of children with IEPs who received a valid score and for whom a proficiency level was assigned for the regular assessment)]. Calculate separately for reading and math. Calculate separately for grades 4, 8, and high school. The proficiency rate includes both children with IEPs enrolled for a full academic year and those not enrolled for a full academic year</w:t>
      </w:r>
      <w:r w:rsidR="00C239D6" w:rsidRPr="00781112">
        <w:rPr>
          <w:rFonts w:cs="Arial"/>
          <w:szCs w:val="16"/>
        </w:rPr>
        <w:t>.</w:t>
      </w:r>
    </w:p>
    <w:p w14:paraId="13B81A44" w14:textId="77777777" w:rsidR="005873EB" w:rsidRPr="00781112" w:rsidRDefault="005873EB" w:rsidP="004369B2">
      <w:pPr>
        <w:rPr>
          <w:color w:val="000000" w:themeColor="text1"/>
        </w:rPr>
      </w:pPr>
      <w:r w:rsidRPr="00781112">
        <w:rPr>
          <w:b/>
          <w:color w:val="000000" w:themeColor="text1"/>
        </w:rPr>
        <w:t>Instructions</w:t>
      </w:r>
    </w:p>
    <w:p w14:paraId="5315B3F5" w14:textId="77777777" w:rsidR="00A14AEA" w:rsidRPr="00781112" w:rsidRDefault="00A14AEA" w:rsidP="002621F6">
      <w:pPr>
        <w:rPr>
          <w:rFonts w:cs="Arial"/>
          <w:color w:val="000000" w:themeColor="text1"/>
          <w:szCs w:val="16"/>
        </w:rPr>
      </w:pPr>
      <w:r w:rsidRPr="00781112">
        <w:rPr>
          <w:rFonts w:cs="Arial"/>
          <w:color w:val="000000" w:themeColor="text1"/>
          <w:szCs w:val="16"/>
        </w:rPr>
        <w:t>Describe the results of the calculations and compare the results to the targets. Provide the actual numbers used in the calculation.</w:t>
      </w:r>
    </w:p>
    <w:p w14:paraId="02A5AC14" w14:textId="77777777" w:rsidR="00A14AEA" w:rsidRPr="00781112" w:rsidRDefault="00A14AEA" w:rsidP="002621F6">
      <w:pPr>
        <w:rPr>
          <w:rFonts w:cs="Arial"/>
          <w:color w:val="000000" w:themeColor="text1"/>
          <w:szCs w:val="16"/>
        </w:rPr>
      </w:pPr>
      <w:r w:rsidRPr="00781112">
        <w:rPr>
          <w:rFonts w:cs="Arial"/>
          <w:color w:val="000000" w:themeColor="text1"/>
          <w:szCs w:val="16"/>
        </w:rPr>
        <w:t>Include information regarding where to find public reports of assessment participation and performance results, as required by 34 CFR §300.160(f), i.e., a link to the Web site where these data are reported.</w:t>
      </w:r>
    </w:p>
    <w:p w14:paraId="28C72839" w14:textId="5218735C" w:rsidR="00A14AEA" w:rsidRPr="00781112" w:rsidRDefault="00A14AEA" w:rsidP="002621F6">
      <w:pPr>
        <w:rPr>
          <w:rFonts w:cs="Arial"/>
          <w:color w:val="000000" w:themeColor="text1"/>
          <w:szCs w:val="16"/>
        </w:rPr>
      </w:pPr>
      <w:r w:rsidRPr="00781112">
        <w:rPr>
          <w:rFonts w:cs="Arial"/>
          <w:color w:val="000000" w:themeColor="text1"/>
          <w:szCs w:val="16"/>
        </w:rPr>
        <w:t xml:space="preserve">Indicator 3B: </w:t>
      </w:r>
      <w:r w:rsidR="001B1437" w:rsidRPr="00781112">
        <w:rPr>
          <w:rFonts w:cs="Arial"/>
          <w:szCs w:val="16"/>
        </w:rPr>
        <w:t>Proficiency calculations in this SPP/APR must result in proficiency rates for children with IEPs on the regular assessment in reading/language arts and mathematics assessments (separately) in each of the following grades: 4, 8, and high school, including both children with IEPs enrolled for a full academic year and those not enrolled for a full academic year. Only include children with disabilities who had an IEP at the time of testing.</w:t>
      </w:r>
    </w:p>
    <w:p w14:paraId="4CDFE310" w14:textId="3FF11C15" w:rsidR="00677C8C" w:rsidRPr="00781112" w:rsidRDefault="00573F6C" w:rsidP="008645AD">
      <w:pPr>
        <w:pStyle w:val="Heading2"/>
      </w:pPr>
      <w:r w:rsidRPr="00781112">
        <w:t>3B</w:t>
      </w:r>
      <w:r w:rsidR="00BB4FD7" w:rsidRPr="00781112">
        <w:t xml:space="preserve"> </w:t>
      </w:r>
      <w:r w:rsidRPr="00781112">
        <w:t xml:space="preserve">- </w:t>
      </w:r>
      <w:r w:rsidR="00677C8C" w:rsidRPr="00781112">
        <w:t>Indicator Data</w:t>
      </w:r>
    </w:p>
    <w:bookmarkEnd w:id="16"/>
    <w:p w14:paraId="515AEF58" w14:textId="26D7E3C2" w:rsidR="00E539AB" w:rsidRPr="00781112" w:rsidRDefault="00E539AB" w:rsidP="004369B2">
      <w:pPr>
        <w:rPr>
          <w:b/>
          <w:color w:val="000000" w:themeColor="text1"/>
        </w:rPr>
      </w:pPr>
      <w:r w:rsidRPr="00781112">
        <w:rPr>
          <w:b/>
          <w:color w:val="000000" w:themeColor="text1"/>
        </w:rPr>
        <w:t xml:space="preserve">Historical Data: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HISTDATA"/>
      </w:tblPr>
      <w:tblGrid>
        <w:gridCol w:w="1588"/>
        <w:gridCol w:w="1588"/>
        <w:gridCol w:w="2538"/>
        <w:gridCol w:w="2538"/>
        <w:gridCol w:w="2538"/>
      </w:tblGrid>
      <w:tr w:rsidR="00E87854" w:rsidRPr="00781112" w14:paraId="12417720" w14:textId="77777777" w:rsidTr="009725F4">
        <w:trPr>
          <w:trHeight w:val="368"/>
          <w:tblHeader/>
        </w:trPr>
        <w:tc>
          <w:tcPr>
            <w:tcW w:w="736" w:type="pct"/>
            <w:tcBorders>
              <w:top w:val="single" w:sz="4" w:space="0" w:color="auto"/>
            </w:tcBorders>
            <w:vAlign w:val="center"/>
          </w:tcPr>
          <w:p w14:paraId="7EC3C39F"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sz="4" w:space="0" w:color="auto"/>
            </w:tcBorders>
            <w:shd w:val="clear" w:color="auto" w:fill="auto"/>
            <w:vAlign w:val="center"/>
          </w:tcPr>
          <w:p w14:paraId="3734B12F"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sz="4" w:space="0" w:color="auto"/>
            </w:tcBorders>
            <w:shd w:val="clear" w:color="auto" w:fill="auto"/>
            <w:vAlign w:val="center"/>
          </w:tcPr>
          <w:p w14:paraId="7B7E2CD1"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sz="4" w:space="0" w:color="auto"/>
            </w:tcBorders>
            <w:shd w:val="clear" w:color="auto" w:fill="auto"/>
            <w:vAlign w:val="center"/>
          </w:tcPr>
          <w:p w14:paraId="328A387A"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sz="4" w:space="0" w:color="auto"/>
            </w:tcBorders>
            <w:vAlign w:val="center"/>
          </w:tcPr>
          <w:p w14:paraId="7BA55F2F"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Baseline Data</w:t>
            </w:r>
          </w:p>
        </w:tc>
      </w:tr>
      <w:tr w:rsidR="00E87854" w:rsidRPr="00781112" w14:paraId="4037BAD8" w14:textId="77777777" w:rsidTr="00360DD6">
        <w:trPr>
          <w:trHeight w:val="368"/>
        </w:trPr>
        <w:tc>
          <w:tcPr>
            <w:tcW w:w="736" w:type="pct"/>
            <w:vAlign w:val="center"/>
          </w:tcPr>
          <w:p w14:paraId="7483D393"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00589D27"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62918043" w14:textId="606DEBBA" w:rsidR="00E87854" w:rsidRPr="00781112" w:rsidRDefault="00E87854" w:rsidP="00827FF4">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02F272CC" w14:textId="71E3B85C" w:rsidR="00E87854" w:rsidRPr="00781112" w:rsidRDefault="00E87854" w:rsidP="00827FF4">
            <w:pPr>
              <w:jc w:val="center"/>
              <w:rPr>
                <w:rFonts w:cs="Arial"/>
                <w:color w:val="000000" w:themeColor="text1"/>
                <w:szCs w:val="16"/>
              </w:rPr>
            </w:pPr>
            <w:r w:rsidRPr="00781112">
              <w:rPr>
                <w:rFonts w:cs="Arial"/>
                <w:color w:val="000000" w:themeColor="text1"/>
                <w:szCs w:val="16"/>
              </w:rPr>
              <w:t>2021</w:t>
            </w:r>
          </w:p>
        </w:tc>
        <w:tc>
          <w:tcPr>
            <w:tcW w:w="1176" w:type="pct"/>
            <w:vAlign w:val="center"/>
          </w:tcPr>
          <w:p w14:paraId="2A2A9F8D" w14:textId="7B983B8C" w:rsidR="00E87854" w:rsidRPr="00781112" w:rsidRDefault="00E87854" w:rsidP="00827FF4">
            <w:pPr>
              <w:spacing w:before="0" w:after="0"/>
              <w:jc w:val="center"/>
              <w:rPr>
                <w:color w:val="000000" w:themeColor="text1"/>
              </w:rPr>
            </w:pPr>
            <w:r w:rsidRPr="00781112">
              <w:rPr>
                <w:rFonts w:cs="Arial"/>
                <w:color w:val="000000" w:themeColor="text1"/>
                <w:szCs w:val="16"/>
              </w:rPr>
              <w:t>8.41%</w:t>
            </w:r>
          </w:p>
        </w:tc>
      </w:tr>
      <w:tr w:rsidR="00E87854" w:rsidRPr="00781112" w14:paraId="60278D71" w14:textId="77777777" w:rsidTr="00360DD6">
        <w:trPr>
          <w:trHeight w:val="368"/>
        </w:trPr>
        <w:tc>
          <w:tcPr>
            <w:tcW w:w="736" w:type="pct"/>
            <w:vAlign w:val="center"/>
          </w:tcPr>
          <w:p w14:paraId="3507BA0D"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04794670"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3B8FF5A1" w14:textId="37E21D7F"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1CCEEB25" w14:textId="1C22E745" w:rsidR="00E87854" w:rsidRPr="00781112" w:rsidRDefault="00E87854" w:rsidP="00827FF4">
            <w:pPr>
              <w:jc w:val="center"/>
              <w:rPr>
                <w:rFonts w:cs="Arial"/>
                <w:color w:val="000000" w:themeColor="text1"/>
                <w:szCs w:val="16"/>
              </w:rPr>
            </w:pPr>
            <w:r w:rsidRPr="00781112">
              <w:rPr>
                <w:rFonts w:cs="Arial"/>
                <w:color w:val="000000" w:themeColor="text1"/>
                <w:szCs w:val="16"/>
              </w:rPr>
              <w:t>2021</w:t>
            </w:r>
          </w:p>
        </w:tc>
        <w:tc>
          <w:tcPr>
            <w:tcW w:w="1176" w:type="pct"/>
            <w:vAlign w:val="center"/>
          </w:tcPr>
          <w:p w14:paraId="491FB31F" w14:textId="070EC956"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7.06%</w:t>
            </w:r>
          </w:p>
        </w:tc>
      </w:tr>
      <w:tr w:rsidR="00E87854" w:rsidRPr="00781112" w14:paraId="2E17CFEC" w14:textId="77777777" w:rsidTr="00360DD6">
        <w:trPr>
          <w:trHeight w:val="368"/>
        </w:trPr>
        <w:tc>
          <w:tcPr>
            <w:tcW w:w="736" w:type="pct"/>
            <w:vAlign w:val="center"/>
          </w:tcPr>
          <w:p w14:paraId="686A1871"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49389293"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1A5BDDFB" w14:textId="2058F5F3" w:rsidR="00E87854" w:rsidRPr="00781112" w:rsidRDefault="00E87854" w:rsidP="00827FF4">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515FB216" w14:textId="6B3B7253" w:rsidR="00E87854" w:rsidRPr="00781112" w:rsidRDefault="00E87854" w:rsidP="00827FF4">
            <w:pPr>
              <w:jc w:val="center"/>
              <w:rPr>
                <w:rFonts w:cs="Arial"/>
                <w:color w:val="000000" w:themeColor="text1"/>
                <w:szCs w:val="16"/>
              </w:rPr>
            </w:pPr>
            <w:r w:rsidRPr="00781112">
              <w:rPr>
                <w:rFonts w:cs="Arial"/>
                <w:color w:val="000000" w:themeColor="text1"/>
                <w:szCs w:val="16"/>
              </w:rPr>
              <w:t>2021</w:t>
            </w:r>
          </w:p>
        </w:tc>
        <w:tc>
          <w:tcPr>
            <w:tcW w:w="1176" w:type="pct"/>
            <w:vAlign w:val="center"/>
          </w:tcPr>
          <w:p w14:paraId="5F3FCFE8" w14:textId="7784B726"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6.32%</w:t>
            </w:r>
          </w:p>
        </w:tc>
      </w:tr>
      <w:tr w:rsidR="00E87854" w:rsidRPr="00781112" w14:paraId="2DE181AC" w14:textId="77777777" w:rsidTr="00360DD6">
        <w:trPr>
          <w:trHeight w:val="368"/>
        </w:trPr>
        <w:tc>
          <w:tcPr>
            <w:tcW w:w="736" w:type="pct"/>
            <w:vAlign w:val="center"/>
          </w:tcPr>
          <w:p w14:paraId="62906600"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58A602F6"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73CC85F5" w14:textId="434951B5"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083C0C1B" w14:textId="1213FD2B" w:rsidR="00E87854" w:rsidRPr="00781112" w:rsidRDefault="00E87854" w:rsidP="00827FF4">
            <w:pPr>
              <w:jc w:val="center"/>
              <w:rPr>
                <w:rFonts w:cs="Arial"/>
                <w:color w:val="000000" w:themeColor="text1"/>
                <w:szCs w:val="16"/>
              </w:rPr>
            </w:pPr>
            <w:r w:rsidRPr="00781112">
              <w:rPr>
                <w:rFonts w:cs="Arial"/>
                <w:color w:val="000000" w:themeColor="text1"/>
                <w:szCs w:val="16"/>
              </w:rPr>
              <w:t>2021</w:t>
            </w:r>
          </w:p>
        </w:tc>
        <w:tc>
          <w:tcPr>
            <w:tcW w:w="1176" w:type="pct"/>
            <w:vAlign w:val="center"/>
          </w:tcPr>
          <w:p w14:paraId="02A92448" w14:textId="0F5F274D"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6.00%</w:t>
            </w:r>
          </w:p>
        </w:tc>
      </w:tr>
      <w:tr w:rsidR="00E87854" w:rsidRPr="00781112" w14:paraId="15831A3C" w14:textId="77777777" w:rsidTr="00360DD6">
        <w:trPr>
          <w:trHeight w:val="368"/>
        </w:trPr>
        <w:tc>
          <w:tcPr>
            <w:tcW w:w="736" w:type="pct"/>
            <w:vAlign w:val="center"/>
          </w:tcPr>
          <w:p w14:paraId="3F388113"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75BC7B5C"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5AD560DF" w14:textId="6ED06A7D" w:rsidR="00E87854" w:rsidRPr="00781112" w:rsidRDefault="00E87854" w:rsidP="00827FF4">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46F22CF1" w14:textId="7783498C" w:rsidR="00E87854" w:rsidRPr="00781112" w:rsidRDefault="00E87854" w:rsidP="00827FF4">
            <w:pPr>
              <w:jc w:val="center"/>
              <w:rPr>
                <w:rFonts w:cs="Arial"/>
                <w:color w:val="000000" w:themeColor="text1"/>
                <w:szCs w:val="16"/>
              </w:rPr>
            </w:pPr>
            <w:r w:rsidRPr="00781112">
              <w:rPr>
                <w:rFonts w:cs="Arial"/>
                <w:color w:val="000000" w:themeColor="text1"/>
                <w:szCs w:val="16"/>
              </w:rPr>
              <w:t>2021</w:t>
            </w:r>
          </w:p>
        </w:tc>
        <w:tc>
          <w:tcPr>
            <w:tcW w:w="1176" w:type="pct"/>
            <w:vAlign w:val="center"/>
          </w:tcPr>
          <w:p w14:paraId="53B302E6" w14:textId="2F431F68"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2.84%</w:t>
            </w:r>
          </w:p>
        </w:tc>
      </w:tr>
      <w:tr w:rsidR="00E87854" w:rsidRPr="00781112" w14:paraId="5866D3B1" w14:textId="77777777" w:rsidTr="00360DD6">
        <w:trPr>
          <w:trHeight w:val="368"/>
        </w:trPr>
        <w:tc>
          <w:tcPr>
            <w:tcW w:w="736" w:type="pct"/>
            <w:vAlign w:val="center"/>
          </w:tcPr>
          <w:p w14:paraId="619219C1"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3CF2F687"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4FE864B8" w14:textId="002FA991"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216CD238" w14:textId="75E8822F" w:rsidR="00E87854" w:rsidRPr="00781112" w:rsidRDefault="00E87854" w:rsidP="00827FF4">
            <w:pPr>
              <w:jc w:val="center"/>
              <w:rPr>
                <w:rFonts w:cs="Arial"/>
                <w:color w:val="000000" w:themeColor="text1"/>
                <w:szCs w:val="16"/>
              </w:rPr>
            </w:pPr>
            <w:r w:rsidRPr="00781112">
              <w:rPr>
                <w:rFonts w:cs="Arial"/>
                <w:color w:val="000000" w:themeColor="text1"/>
                <w:szCs w:val="16"/>
              </w:rPr>
              <w:t>2021</w:t>
            </w:r>
          </w:p>
        </w:tc>
        <w:tc>
          <w:tcPr>
            <w:tcW w:w="1176" w:type="pct"/>
            <w:vAlign w:val="center"/>
          </w:tcPr>
          <w:p w14:paraId="66C96CFB" w14:textId="3BA21F14"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1.99%</w:t>
            </w:r>
          </w:p>
        </w:tc>
      </w:tr>
    </w:tbl>
    <w:p w14:paraId="59FDF599" w14:textId="77777777" w:rsidR="00E87854" w:rsidRPr="00781112" w:rsidRDefault="00E87854" w:rsidP="004369B2">
      <w:pPr>
        <w:rPr>
          <w:b/>
          <w:color w:val="000000" w:themeColor="text1"/>
        </w:rPr>
      </w:pPr>
    </w:p>
    <w:p w14:paraId="4E5C7995" w14:textId="4B1994AB" w:rsidR="004D0044" w:rsidRPr="00781112" w:rsidRDefault="00AA3A41" w:rsidP="00AA3A41">
      <w:pPr>
        <w:tabs>
          <w:tab w:val="left" w:pos="2145"/>
        </w:tabs>
        <w:rPr>
          <w:color w:val="000000" w:themeColor="text1"/>
        </w:rPr>
      </w:pPr>
      <w:r>
        <w:rPr>
          <w:color w:val="000000" w:themeColor="text1"/>
        </w:rPr>
        <w:tab/>
      </w:r>
    </w:p>
    <w:p w14:paraId="38F110A8" w14:textId="3014A321" w:rsidR="00E539AB" w:rsidRPr="00781112" w:rsidRDefault="00E539AB" w:rsidP="004369B2">
      <w:pPr>
        <w:rPr>
          <w:b/>
          <w:color w:val="000000" w:themeColor="text1"/>
        </w:rPr>
      </w:pPr>
      <w:r w:rsidRPr="00781112">
        <w:rPr>
          <w:b/>
          <w:color w:val="000000" w:themeColor="text1"/>
        </w:rPr>
        <w:t>Targets</w:t>
      </w:r>
    </w:p>
    <w:tbl>
      <w:tblPr>
        <w:tblW w:w="3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TARGETS"/>
      </w:tblPr>
      <w:tblGrid>
        <w:gridCol w:w="1196"/>
        <w:gridCol w:w="1201"/>
        <w:gridCol w:w="1201"/>
        <w:gridCol w:w="1201"/>
        <w:gridCol w:w="1201"/>
        <w:gridCol w:w="1201"/>
        <w:gridCol w:w="1196"/>
      </w:tblGrid>
      <w:tr w:rsidR="00B67FCE" w:rsidRPr="00781112" w14:paraId="241559C7" w14:textId="3976E689" w:rsidTr="00A87B90">
        <w:tc>
          <w:tcPr>
            <w:tcW w:w="713" w:type="pct"/>
            <w:tcBorders>
              <w:bottom w:val="single" w:sz="4" w:space="0" w:color="auto"/>
            </w:tcBorders>
            <w:shd w:val="clear" w:color="auto" w:fill="auto"/>
            <w:vAlign w:val="center"/>
          </w:tcPr>
          <w:p w14:paraId="5F6C0247" w14:textId="02A2F5D1" w:rsidR="00B67FCE" w:rsidRPr="00781112" w:rsidRDefault="00B67FCE" w:rsidP="00536B0B">
            <w:pPr>
              <w:jc w:val="center"/>
              <w:rPr>
                <w:b/>
                <w:color w:val="000000" w:themeColor="text1"/>
              </w:rPr>
            </w:pPr>
            <w:r w:rsidRPr="00781112">
              <w:rPr>
                <w:b/>
                <w:color w:val="000000" w:themeColor="text1"/>
              </w:rPr>
              <w:t>Subject</w:t>
            </w:r>
          </w:p>
        </w:tc>
        <w:tc>
          <w:tcPr>
            <w:tcW w:w="715" w:type="pct"/>
            <w:tcBorders>
              <w:bottom w:val="single" w:sz="4" w:space="0" w:color="auto"/>
            </w:tcBorders>
            <w:shd w:val="clear" w:color="auto" w:fill="auto"/>
            <w:vAlign w:val="center"/>
          </w:tcPr>
          <w:p w14:paraId="1318C08B" w14:textId="57349DD9" w:rsidR="00B67FCE" w:rsidRPr="00781112" w:rsidRDefault="00B67FCE" w:rsidP="00536B0B">
            <w:pPr>
              <w:jc w:val="center"/>
              <w:rPr>
                <w:b/>
                <w:color w:val="000000" w:themeColor="text1"/>
              </w:rPr>
            </w:pPr>
            <w:r w:rsidRPr="00781112">
              <w:rPr>
                <w:b/>
                <w:color w:val="000000" w:themeColor="text1"/>
              </w:rPr>
              <w:t>Group</w:t>
            </w:r>
          </w:p>
        </w:tc>
        <w:tc>
          <w:tcPr>
            <w:tcW w:w="715" w:type="pct"/>
            <w:shd w:val="clear" w:color="auto" w:fill="auto"/>
            <w:vAlign w:val="center"/>
          </w:tcPr>
          <w:p w14:paraId="7EAB09FA" w14:textId="030EC418" w:rsidR="00B67FCE" w:rsidRPr="00781112" w:rsidDel="008E7B87" w:rsidRDefault="00B67FCE" w:rsidP="00536B0B">
            <w:pPr>
              <w:jc w:val="center"/>
              <w:rPr>
                <w:b/>
                <w:color w:val="000000" w:themeColor="text1"/>
              </w:rPr>
            </w:pPr>
            <w:r w:rsidRPr="00781112">
              <w:rPr>
                <w:b/>
                <w:color w:val="000000" w:themeColor="text1"/>
              </w:rPr>
              <w:t>Group Name</w:t>
            </w:r>
          </w:p>
        </w:tc>
        <w:tc>
          <w:tcPr>
            <w:tcW w:w="715" w:type="pct"/>
            <w:shd w:val="clear" w:color="auto" w:fill="auto"/>
            <w:vAlign w:val="center"/>
          </w:tcPr>
          <w:p w14:paraId="547F4988" w14:textId="1F981DE2" w:rsidR="00B67FCE" w:rsidRPr="00781112" w:rsidRDefault="00B67FCE" w:rsidP="00536B0B">
            <w:pPr>
              <w:jc w:val="center"/>
              <w:rPr>
                <w:b/>
                <w:color w:val="000000" w:themeColor="text1"/>
              </w:rPr>
            </w:pPr>
            <w:r w:rsidRPr="00781112">
              <w:rPr>
                <w:b/>
                <w:color w:val="000000" w:themeColor="text1"/>
              </w:rPr>
              <w:t>2022</w:t>
            </w:r>
          </w:p>
        </w:tc>
        <w:tc>
          <w:tcPr>
            <w:tcW w:w="715" w:type="pct"/>
            <w:vAlign w:val="center"/>
          </w:tcPr>
          <w:p w14:paraId="54E0670C" w14:textId="46A8862B" w:rsidR="00B67FCE" w:rsidRPr="00781112" w:rsidRDefault="00B67FCE" w:rsidP="00536B0B">
            <w:pPr>
              <w:jc w:val="center"/>
              <w:rPr>
                <w:b/>
                <w:color w:val="000000" w:themeColor="text1"/>
              </w:rPr>
            </w:pPr>
            <w:r w:rsidRPr="00781112">
              <w:rPr>
                <w:rFonts w:cs="Arial"/>
                <w:b/>
                <w:color w:val="000000" w:themeColor="text1"/>
                <w:szCs w:val="16"/>
              </w:rPr>
              <w:t>2023</w:t>
            </w:r>
          </w:p>
        </w:tc>
        <w:tc>
          <w:tcPr>
            <w:tcW w:w="715" w:type="pct"/>
            <w:vAlign w:val="center"/>
          </w:tcPr>
          <w:p w14:paraId="0317CAEF" w14:textId="4A2FF736" w:rsidR="00B67FCE" w:rsidRPr="00781112" w:rsidRDefault="00B67FCE" w:rsidP="00536B0B">
            <w:pPr>
              <w:jc w:val="center"/>
              <w:rPr>
                <w:b/>
                <w:color w:val="000000" w:themeColor="text1"/>
              </w:rPr>
            </w:pPr>
            <w:r w:rsidRPr="00781112">
              <w:rPr>
                <w:rFonts w:cs="Arial"/>
                <w:b/>
                <w:color w:val="000000" w:themeColor="text1"/>
                <w:szCs w:val="16"/>
              </w:rPr>
              <w:t>2024</w:t>
            </w:r>
          </w:p>
        </w:tc>
        <w:tc>
          <w:tcPr>
            <w:tcW w:w="715" w:type="pct"/>
            <w:vAlign w:val="center"/>
          </w:tcPr>
          <w:p w14:paraId="20B86A7A" w14:textId="2D2BB96C" w:rsidR="00B67FCE" w:rsidRPr="00781112" w:rsidRDefault="00B67FCE" w:rsidP="00536B0B">
            <w:pPr>
              <w:jc w:val="center"/>
              <w:rPr>
                <w:b/>
                <w:color w:val="000000" w:themeColor="text1"/>
              </w:rPr>
            </w:pPr>
            <w:r w:rsidRPr="00781112">
              <w:rPr>
                <w:rFonts w:cs="Arial"/>
                <w:b/>
                <w:color w:val="000000" w:themeColor="text1"/>
                <w:szCs w:val="16"/>
              </w:rPr>
              <w:t>2025</w:t>
            </w:r>
          </w:p>
        </w:tc>
      </w:tr>
      <w:tr w:rsidR="00B67FCE" w:rsidRPr="00781112" w14:paraId="6D8B6989" w14:textId="160D0375" w:rsidTr="00A87B90">
        <w:tc>
          <w:tcPr>
            <w:tcW w:w="713" w:type="pct"/>
            <w:shd w:val="clear" w:color="auto" w:fill="auto"/>
            <w:vAlign w:val="center"/>
          </w:tcPr>
          <w:p w14:paraId="1B70FAC0" w14:textId="0849CE9C"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Reading</w:t>
            </w:r>
          </w:p>
        </w:tc>
        <w:tc>
          <w:tcPr>
            <w:tcW w:w="715" w:type="pct"/>
            <w:shd w:val="clear" w:color="auto" w:fill="auto"/>
            <w:vAlign w:val="center"/>
          </w:tcPr>
          <w:p w14:paraId="6221F405" w14:textId="189877A2"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A &gt;=</w:t>
            </w:r>
          </w:p>
        </w:tc>
        <w:tc>
          <w:tcPr>
            <w:tcW w:w="715" w:type="pct"/>
            <w:shd w:val="clear" w:color="auto" w:fill="auto"/>
            <w:vAlign w:val="center"/>
          </w:tcPr>
          <w:p w14:paraId="6D2C8AC8" w14:textId="0101FADC" w:rsidR="00B67FCE" w:rsidRPr="00781112" w:rsidDel="00DB0A73" w:rsidRDefault="00B67FCE" w:rsidP="004E5C74">
            <w:pPr>
              <w:jc w:val="center"/>
              <w:rPr>
                <w:rFonts w:cs="Arial"/>
                <w:color w:val="000000" w:themeColor="text1"/>
                <w:szCs w:val="16"/>
              </w:rPr>
            </w:pPr>
            <w:r w:rsidRPr="00781112">
              <w:rPr>
                <w:rFonts w:cs="Arial"/>
                <w:color w:val="000000" w:themeColor="text1"/>
                <w:szCs w:val="16"/>
              </w:rPr>
              <w:t>Grade 4</w:t>
            </w:r>
          </w:p>
        </w:tc>
        <w:tc>
          <w:tcPr>
            <w:tcW w:w="715" w:type="pct"/>
            <w:shd w:val="clear" w:color="auto" w:fill="auto"/>
            <w:vAlign w:val="center"/>
          </w:tcPr>
          <w:p w14:paraId="1794FDC8" w14:textId="2C32479D" w:rsidR="00B67FCE" w:rsidRPr="00781112" w:rsidRDefault="00B67FCE" w:rsidP="004E5C74">
            <w:pPr>
              <w:jc w:val="center"/>
              <w:rPr>
                <w:rFonts w:cs="Arial"/>
                <w:color w:val="000000" w:themeColor="text1"/>
                <w:szCs w:val="16"/>
              </w:rPr>
            </w:pPr>
            <w:r w:rsidRPr="00781112">
              <w:rPr>
                <w:rFonts w:cs="Arial"/>
                <w:color w:val="000000" w:themeColor="text1"/>
                <w:szCs w:val="16"/>
              </w:rPr>
              <w:t>8.86%</w:t>
            </w:r>
          </w:p>
        </w:tc>
        <w:tc>
          <w:tcPr>
            <w:tcW w:w="715" w:type="pct"/>
            <w:vAlign w:val="center"/>
          </w:tcPr>
          <w:p w14:paraId="609A7D0F" w14:textId="138D9671" w:rsidR="00B67FCE" w:rsidRPr="00781112" w:rsidRDefault="00B67FCE" w:rsidP="004E5C74">
            <w:pPr>
              <w:jc w:val="center"/>
              <w:rPr>
                <w:rFonts w:cs="Arial"/>
                <w:color w:val="000000" w:themeColor="text1"/>
                <w:szCs w:val="16"/>
              </w:rPr>
            </w:pPr>
            <w:r w:rsidRPr="00781112">
              <w:rPr>
                <w:rFonts w:cs="Arial"/>
                <w:color w:val="000000" w:themeColor="text1"/>
                <w:szCs w:val="16"/>
              </w:rPr>
              <w:t>9.31%</w:t>
            </w:r>
          </w:p>
        </w:tc>
        <w:tc>
          <w:tcPr>
            <w:tcW w:w="715" w:type="pct"/>
            <w:vAlign w:val="center"/>
          </w:tcPr>
          <w:p w14:paraId="3DF1FAFA" w14:textId="4C333171" w:rsidR="00B67FCE" w:rsidRPr="00781112" w:rsidRDefault="00B67FCE" w:rsidP="004E5C74">
            <w:pPr>
              <w:jc w:val="center"/>
              <w:rPr>
                <w:rFonts w:cs="Arial"/>
                <w:color w:val="000000" w:themeColor="text1"/>
                <w:szCs w:val="16"/>
              </w:rPr>
            </w:pPr>
            <w:r w:rsidRPr="00781112">
              <w:rPr>
                <w:rFonts w:cs="Arial"/>
                <w:color w:val="000000" w:themeColor="text1"/>
                <w:szCs w:val="16"/>
              </w:rPr>
              <w:t>9.76%</w:t>
            </w:r>
          </w:p>
        </w:tc>
        <w:tc>
          <w:tcPr>
            <w:tcW w:w="715" w:type="pct"/>
            <w:vAlign w:val="center"/>
          </w:tcPr>
          <w:p w14:paraId="77B3DA55" w14:textId="44F9C6DA" w:rsidR="00B67FCE" w:rsidRPr="00781112" w:rsidRDefault="00B67FCE" w:rsidP="004E5C74">
            <w:pPr>
              <w:jc w:val="center"/>
              <w:rPr>
                <w:rFonts w:cs="Arial"/>
                <w:color w:val="000000" w:themeColor="text1"/>
                <w:szCs w:val="16"/>
              </w:rPr>
            </w:pPr>
            <w:r w:rsidRPr="00781112">
              <w:rPr>
                <w:rFonts w:cs="Arial"/>
                <w:color w:val="000000" w:themeColor="text1"/>
                <w:szCs w:val="16"/>
              </w:rPr>
              <w:t>10.21%</w:t>
            </w:r>
          </w:p>
        </w:tc>
      </w:tr>
      <w:tr w:rsidR="00B67FCE" w:rsidRPr="00781112" w14:paraId="6BD665D1" w14:textId="5FDF63E7" w:rsidTr="00A87B90">
        <w:tc>
          <w:tcPr>
            <w:tcW w:w="713" w:type="pct"/>
            <w:shd w:val="clear" w:color="auto" w:fill="auto"/>
            <w:vAlign w:val="center"/>
          </w:tcPr>
          <w:p w14:paraId="2A84087F" w14:textId="4E8F4953"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Reading</w:t>
            </w:r>
          </w:p>
        </w:tc>
        <w:tc>
          <w:tcPr>
            <w:tcW w:w="715" w:type="pct"/>
            <w:shd w:val="clear" w:color="auto" w:fill="auto"/>
            <w:vAlign w:val="center"/>
          </w:tcPr>
          <w:p w14:paraId="2646C0D6" w14:textId="23685D27"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B &gt;=</w:t>
            </w:r>
          </w:p>
        </w:tc>
        <w:tc>
          <w:tcPr>
            <w:tcW w:w="715" w:type="pct"/>
            <w:shd w:val="clear" w:color="auto" w:fill="auto"/>
            <w:vAlign w:val="center"/>
          </w:tcPr>
          <w:p w14:paraId="67079A1D" w14:textId="08C9FD02" w:rsidR="00B67FCE" w:rsidRPr="00781112" w:rsidDel="00DB0A73" w:rsidRDefault="00B67FCE" w:rsidP="004E5C74">
            <w:pPr>
              <w:jc w:val="center"/>
              <w:rPr>
                <w:rFonts w:cs="Arial"/>
                <w:color w:val="000000" w:themeColor="text1"/>
                <w:szCs w:val="16"/>
              </w:rPr>
            </w:pPr>
            <w:r w:rsidRPr="00781112">
              <w:rPr>
                <w:rFonts w:cs="Arial"/>
                <w:color w:val="000000" w:themeColor="text1"/>
                <w:szCs w:val="16"/>
              </w:rPr>
              <w:t>Grade 8</w:t>
            </w:r>
          </w:p>
        </w:tc>
        <w:tc>
          <w:tcPr>
            <w:tcW w:w="715" w:type="pct"/>
            <w:shd w:val="clear" w:color="auto" w:fill="auto"/>
            <w:vAlign w:val="center"/>
          </w:tcPr>
          <w:p w14:paraId="03609D46" w14:textId="75CA57B6" w:rsidR="00B67FCE" w:rsidRPr="00781112" w:rsidRDefault="00B67FCE" w:rsidP="004E5C74">
            <w:pPr>
              <w:jc w:val="center"/>
              <w:rPr>
                <w:rFonts w:cs="Arial"/>
                <w:color w:val="000000" w:themeColor="text1"/>
                <w:szCs w:val="16"/>
              </w:rPr>
            </w:pPr>
            <w:r w:rsidRPr="00781112">
              <w:rPr>
                <w:rFonts w:cs="Arial"/>
                <w:color w:val="000000" w:themeColor="text1"/>
                <w:szCs w:val="16"/>
              </w:rPr>
              <w:t>7.51%</w:t>
            </w:r>
          </w:p>
        </w:tc>
        <w:tc>
          <w:tcPr>
            <w:tcW w:w="715" w:type="pct"/>
            <w:vAlign w:val="center"/>
          </w:tcPr>
          <w:p w14:paraId="08D72C36" w14:textId="2621CBFF" w:rsidR="00B67FCE" w:rsidRPr="00781112" w:rsidRDefault="00B67FCE" w:rsidP="004E5C74">
            <w:pPr>
              <w:jc w:val="center"/>
              <w:rPr>
                <w:rFonts w:cs="Arial"/>
                <w:color w:val="000000" w:themeColor="text1"/>
                <w:szCs w:val="16"/>
              </w:rPr>
            </w:pPr>
            <w:r w:rsidRPr="00781112">
              <w:rPr>
                <w:rFonts w:cs="Arial"/>
                <w:color w:val="000000" w:themeColor="text1"/>
                <w:szCs w:val="16"/>
              </w:rPr>
              <w:t>7.96%</w:t>
            </w:r>
          </w:p>
        </w:tc>
        <w:tc>
          <w:tcPr>
            <w:tcW w:w="715" w:type="pct"/>
            <w:vAlign w:val="center"/>
          </w:tcPr>
          <w:p w14:paraId="60E9FAA2" w14:textId="0E1508C1" w:rsidR="00B67FCE" w:rsidRPr="00781112" w:rsidRDefault="00B67FCE" w:rsidP="004E5C74">
            <w:pPr>
              <w:jc w:val="center"/>
              <w:rPr>
                <w:rFonts w:cs="Arial"/>
                <w:color w:val="000000" w:themeColor="text1"/>
                <w:szCs w:val="16"/>
              </w:rPr>
            </w:pPr>
            <w:r w:rsidRPr="00781112">
              <w:rPr>
                <w:rFonts w:cs="Arial"/>
                <w:color w:val="000000" w:themeColor="text1"/>
                <w:szCs w:val="16"/>
              </w:rPr>
              <w:t>8.41%</w:t>
            </w:r>
          </w:p>
        </w:tc>
        <w:tc>
          <w:tcPr>
            <w:tcW w:w="715" w:type="pct"/>
            <w:vAlign w:val="center"/>
          </w:tcPr>
          <w:p w14:paraId="55ED1028" w14:textId="05411637" w:rsidR="00B67FCE" w:rsidRPr="00781112" w:rsidRDefault="00B67FCE" w:rsidP="004E5C74">
            <w:pPr>
              <w:jc w:val="center"/>
              <w:rPr>
                <w:rFonts w:cs="Arial"/>
                <w:color w:val="000000" w:themeColor="text1"/>
                <w:szCs w:val="16"/>
              </w:rPr>
            </w:pPr>
            <w:r w:rsidRPr="00781112">
              <w:rPr>
                <w:rFonts w:cs="Arial"/>
                <w:color w:val="000000" w:themeColor="text1"/>
                <w:szCs w:val="16"/>
              </w:rPr>
              <w:t>8.86%</w:t>
            </w:r>
          </w:p>
        </w:tc>
      </w:tr>
      <w:tr w:rsidR="00B67FCE" w:rsidRPr="00781112" w14:paraId="7A08D372" w14:textId="5FBBCE88" w:rsidTr="00A87B90">
        <w:tc>
          <w:tcPr>
            <w:tcW w:w="713" w:type="pct"/>
            <w:shd w:val="clear" w:color="auto" w:fill="auto"/>
            <w:vAlign w:val="center"/>
          </w:tcPr>
          <w:p w14:paraId="3C8DF435" w14:textId="69FCCDF1"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Reading</w:t>
            </w:r>
          </w:p>
        </w:tc>
        <w:tc>
          <w:tcPr>
            <w:tcW w:w="715" w:type="pct"/>
            <w:shd w:val="clear" w:color="auto" w:fill="auto"/>
            <w:vAlign w:val="center"/>
          </w:tcPr>
          <w:p w14:paraId="2CDE7790" w14:textId="3B90C904"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C &gt;=</w:t>
            </w:r>
          </w:p>
        </w:tc>
        <w:tc>
          <w:tcPr>
            <w:tcW w:w="715" w:type="pct"/>
            <w:shd w:val="clear" w:color="auto" w:fill="auto"/>
            <w:vAlign w:val="center"/>
          </w:tcPr>
          <w:p w14:paraId="69727A60" w14:textId="2476755A" w:rsidR="00B67FCE" w:rsidRPr="00781112" w:rsidDel="00DB0A73" w:rsidRDefault="00B67FCE" w:rsidP="004E5C74">
            <w:pPr>
              <w:jc w:val="center"/>
              <w:rPr>
                <w:rFonts w:cs="Arial"/>
                <w:color w:val="000000" w:themeColor="text1"/>
                <w:szCs w:val="16"/>
              </w:rPr>
            </w:pPr>
            <w:r w:rsidRPr="00781112">
              <w:rPr>
                <w:rFonts w:cs="Arial"/>
                <w:color w:val="000000" w:themeColor="text1"/>
                <w:szCs w:val="16"/>
              </w:rPr>
              <w:t>Grade HS</w:t>
            </w:r>
          </w:p>
        </w:tc>
        <w:tc>
          <w:tcPr>
            <w:tcW w:w="715" w:type="pct"/>
            <w:shd w:val="clear" w:color="auto" w:fill="auto"/>
            <w:vAlign w:val="center"/>
          </w:tcPr>
          <w:p w14:paraId="6D9D8EC6" w14:textId="3C7C8315" w:rsidR="00B67FCE" w:rsidRPr="00781112" w:rsidRDefault="00B67FCE" w:rsidP="004E5C74">
            <w:pPr>
              <w:jc w:val="center"/>
              <w:rPr>
                <w:rFonts w:cs="Arial"/>
                <w:color w:val="000000" w:themeColor="text1"/>
                <w:szCs w:val="16"/>
              </w:rPr>
            </w:pPr>
            <w:r w:rsidRPr="00781112">
              <w:rPr>
                <w:rFonts w:cs="Arial"/>
                <w:color w:val="000000" w:themeColor="text1"/>
                <w:szCs w:val="16"/>
              </w:rPr>
              <w:t>3.77%</w:t>
            </w:r>
          </w:p>
        </w:tc>
        <w:tc>
          <w:tcPr>
            <w:tcW w:w="715" w:type="pct"/>
            <w:vAlign w:val="center"/>
          </w:tcPr>
          <w:p w14:paraId="6F53672D" w14:textId="674E45B1" w:rsidR="00B67FCE" w:rsidRPr="00781112" w:rsidRDefault="00B67FCE" w:rsidP="004E5C74">
            <w:pPr>
              <w:jc w:val="center"/>
              <w:rPr>
                <w:rFonts w:cs="Arial"/>
                <w:color w:val="000000" w:themeColor="text1"/>
                <w:szCs w:val="16"/>
              </w:rPr>
            </w:pPr>
            <w:r w:rsidRPr="00781112">
              <w:rPr>
                <w:rFonts w:cs="Arial"/>
                <w:color w:val="000000" w:themeColor="text1"/>
                <w:szCs w:val="16"/>
              </w:rPr>
              <w:t>4.42%</w:t>
            </w:r>
          </w:p>
        </w:tc>
        <w:tc>
          <w:tcPr>
            <w:tcW w:w="715" w:type="pct"/>
            <w:vAlign w:val="center"/>
          </w:tcPr>
          <w:p w14:paraId="1E839895" w14:textId="3633076A" w:rsidR="00B67FCE" w:rsidRPr="00781112" w:rsidRDefault="00B67FCE" w:rsidP="004E5C74">
            <w:pPr>
              <w:jc w:val="center"/>
              <w:rPr>
                <w:rFonts w:cs="Arial"/>
                <w:color w:val="000000" w:themeColor="text1"/>
                <w:szCs w:val="16"/>
              </w:rPr>
            </w:pPr>
            <w:r w:rsidRPr="00781112">
              <w:rPr>
                <w:rFonts w:cs="Arial"/>
                <w:color w:val="000000" w:themeColor="text1"/>
                <w:szCs w:val="16"/>
              </w:rPr>
              <w:t>5.37%</w:t>
            </w:r>
          </w:p>
        </w:tc>
        <w:tc>
          <w:tcPr>
            <w:tcW w:w="715" w:type="pct"/>
            <w:vAlign w:val="center"/>
          </w:tcPr>
          <w:p w14:paraId="64501470" w14:textId="22292C16" w:rsidR="00B67FCE" w:rsidRPr="00781112" w:rsidRDefault="00B67FCE" w:rsidP="004E5C74">
            <w:pPr>
              <w:jc w:val="center"/>
              <w:rPr>
                <w:rFonts w:cs="Arial"/>
                <w:color w:val="000000" w:themeColor="text1"/>
                <w:szCs w:val="16"/>
              </w:rPr>
            </w:pPr>
            <w:r w:rsidRPr="00781112">
              <w:rPr>
                <w:rFonts w:cs="Arial"/>
                <w:color w:val="000000" w:themeColor="text1"/>
                <w:szCs w:val="16"/>
              </w:rPr>
              <w:t>6.37%</w:t>
            </w:r>
          </w:p>
        </w:tc>
      </w:tr>
      <w:tr w:rsidR="00B67FCE" w:rsidRPr="00781112" w14:paraId="734BCCC4" w14:textId="02B757A8" w:rsidTr="00A87B90">
        <w:tc>
          <w:tcPr>
            <w:tcW w:w="713" w:type="pct"/>
            <w:shd w:val="clear" w:color="auto" w:fill="auto"/>
            <w:vAlign w:val="center"/>
          </w:tcPr>
          <w:p w14:paraId="20286AC8" w14:textId="018C9C4D"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Math</w:t>
            </w:r>
          </w:p>
        </w:tc>
        <w:tc>
          <w:tcPr>
            <w:tcW w:w="715" w:type="pct"/>
            <w:shd w:val="clear" w:color="auto" w:fill="auto"/>
            <w:vAlign w:val="center"/>
          </w:tcPr>
          <w:p w14:paraId="185C8DA8" w14:textId="6254892D"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A &gt;=</w:t>
            </w:r>
          </w:p>
        </w:tc>
        <w:tc>
          <w:tcPr>
            <w:tcW w:w="715" w:type="pct"/>
            <w:shd w:val="clear" w:color="auto" w:fill="auto"/>
            <w:vAlign w:val="center"/>
          </w:tcPr>
          <w:p w14:paraId="16FD84A2" w14:textId="1BD2010B" w:rsidR="00B67FCE" w:rsidRPr="00781112" w:rsidDel="00DB0A73" w:rsidRDefault="00B67FCE" w:rsidP="004E5C74">
            <w:pPr>
              <w:jc w:val="center"/>
              <w:rPr>
                <w:rFonts w:cs="Arial"/>
                <w:color w:val="000000" w:themeColor="text1"/>
                <w:szCs w:val="16"/>
              </w:rPr>
            </w:pPr>
            <w:r w:rsidRPr="00781112">
              <w:rPr>
                <w:rFonts w:cs="Arial"/>
                <w:color w:val="000000" w:themeColor="text1"/>
                <w:szCs w:val="16"/>
              </w:rPr>
              <w:t>Grade 4</w:t>
            </w:r>
          </w:p>
        </w:tc>
        <w:tc>
          <w:tcPr>
            <w:tcW w:w="715" w:type="pct"/>
            <w:shd w:val="clear" w:color="auto" w:fill="auto"/>
            <w:vAlign w:val="center"/>
          </w:tcPr>
          <w:p w14:paraId="0005999A" w14:textId="601F796F" w:rsidR="00B67FCE" w:rsidRPr="00781112" w:rsidRDefault="00B67FCE" w:rsidP="004E5C74">
            <w:pPr>
              <w:jc w:val="center"/>
              <w:rPr>
                <w:rFonts w:cs="Arial"/>
                <w:color w:val="000000" w:themeColor="text1"/>
                <w:szCs w:val="16"/>
              </w:rPr>
            </w:pPr>
            <w:r w:rsidRPr="00781112">
              <w:rPr>
                <w:rFonts w:cs="Arial"/>
                <w:color w:val="000000" w:themeColor="text1"/>
                <w:szCs w:val="16"/>
              </w:rPr>
              <w:t>6.41%</w:t>
            </w:r>
          </w:p>
        </w:tc>
        <w:tc>
          <w:tcPr>
            <w:tcW w:w="715" w:type="pct"/>
            <w:vAlign w:val="center"/>
          </w:tcPr>
          <w:p w14:paraId="2ADA59C0" w14:textId="7F027C54" w:rsidR="00B67FCE" w:rsidRPr="00781112" w:rsidRDefault="00B67FCE" w:rsidP="004E5C74">
            <w:pPr>
              <w:jc w:val="center"/>
              <w:rPr>
                <w:rFonts w:cs="Arial"/>
                <w:color w:val="000000" w:themeColor="text1"/>
                <w:szCs w:val="16"/>
              </w:rPr>
            </w:pPr>
            <w:r w:rsidRPr="00781112">
              <w:rPr>
                <w:rFonts w:cs="Arial"/>
                <w:color w:val="000000" w:themeColor="text1"/>
                <w:szCs w:val="16"/>
              </w:rPr>
              <w:t>6.82%</w:t>
            </w:r>
          </w:p>
        </w:tc>
        <w:tc>
          <w:tcPr>
            <w:tcW w:w="715" w:type="pct"/>
            <w:vAlign w:val="center"/>
          </w:tcPr>
          <w:p w14:paraId="63258519" w14:textId="524B5DC2" w:rsidR="00B67FCE" w:rsidRPr="00781112" w:rsidRDefault="00B67FCE" w:rsidP="004E5C74">
            <w:pPr>
              <w:jc w:val="center"/>
              <w:rPr>
                <w:rFonts w:cs="Arial"/>
                <w:color w:val="000000" w:themeColor="text1"/>
                <w:szCs w:val="16"/>
              </w:rPr>
            </w:pPr>
            <w:r w:rsidRPr="00781112">
              <w:rPr>
                <w:rFonts w:cs="Arial"/>
                <w:color w:val="000000" w:themeColor="text1"/>
                <w:szCs w:val="16"/>
              </w:rPr>
              <w:t>7.23%</w:t>
            </w:r>
          </w:p>
        </w:tc>
        <w:tc>
          <w:tcPr>
            <w:tcW w:w="715" w:type="pct"/>
            <w:vAlign w:val="center"/>
          </w:tcPr>
          <w:p w14:paraId="4B2BD04F" w14:textId="59A32E65" w:rsidR="00B67FCE" w:rsidRPr="00781112" w:rsidRDefault="00B67FCE" w:rsidP="004E5C74">
            <w:pPr>
              <w:jc w:val="center"/>
              <w:rPr>
                <w:rFonts w:cs="Arial"/>
                <w:color w:val="000000" w:themeColor="text1"/>
                <w:szCs w:val="16"/>
              </w:rPr>
            </w:pPr>
            <w:r w:rsidRPr="00781112">
              <w:rPr>
                <w:rFonts w:cs="Arial"/>
                <w:color w:val="000000" w:themeColor="text1"/>
                <w:szCs w:val="16"/>
              </w:rPr>
              <w:t>7.64%</w:t>
            </w:r>
          </w:p>
        </w:tc>
      </w:tr>
      <w:tr w:rsidR="00B67FCE" w:rsidRPr="00781112" w14:paraId="26043383" w14:textId="3D057A6F" w:rsidTr="00A87B90">
        <w:tc>
          <w:tcPr>
            <w:tcW w:w="713" w:type="pct"/>
            <w:shd w:val="clear" w:color="auto" w:fill="auto"/>
            <w:vAlign w:val="center"/>
          </w:tcPr>
          <w:p w14:paraId="2BCD3006" w14:textId="785241B2"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Math</w:t>
            </w:r>
          </w:p>
        </w:tc>
        <w:tc>
          <w:tcPr>
            <w:tcW w:w="715" w:type="pct"/>
            <w:shd w:val="clear" w:color="auto" w:fill="auto"/>
            <w:vAlign w:val="center"/>
          </w:tcPr>
          <w:p w14:paraId="79B80F0C" w14:textId="52C31857"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B &gt;=</w:t>
            </w:r>
          </w:p>
        </w:tc>
        <w:tc>
          <w:tcPr>
            <w:tcW w:w="715" w:type="pct"/>
            <w:shd w:val="clear" w:color="auto" w:fill="auto"/>
            <w:vAlign w:val="center"/>
          </w:tcPr>
          <w:p w14:paraId="27B1E35D" w14:textId="336183AA" w:rsidR="00B67FCE" w:rsidRPr="00781112" w:rsidDel="00DB0A73" w:rsidRDefault="00B67FCE" w:rsidP="004E5C74">
            <w:pPr>
              <w:jc w:val="center"/>
              <w:rPr>
                <w:rFonts w:cs="Arial"/>
                <w:color w:val="000000" w:themeColor="text1"/>
                <w:szCs w:val="16"/>
              </w:rPr>
            </w:pPr>
            <w:r w:rsidRPr="00781112">
              <w:rPr>
                <w:rFonts w:cs="Arial"/>
                <w:color w:val="000000" w:themeColor="text1"/>
                <w:szCs w:val="16"/>
              </w:rPr>
              <w:t>Grade 8</w:t>
            </w:r>
          </w:p>
        </w:tc>
        <w:tc>
          <w:tcPr>
            <w:tcW w:w="715" w:type="pct"/>
            <w:shd w:val="clear" w:color="auto" w:fill="auto"/>
            <w:vAlign w:val="center"/>
          </w:tcPr>
          <w:p w14:paraId="25263A65" w14:textId="2189A9FC" w:rsidR="00B67FCE" w:rsidRPr="00781112" w:rsidRDefault="00B67FCE" w:rsidP="004E5C74">
            <w:pPr>
              <w:jc w:val="center"/>
              <w:rPr>
                <w:rFonts w:cs="Arial"/>
                <w:color w:val="000000" w:themeColor="text1"/>
                <w:szCs w:val="16"/>
              </w:rPr>
            </w:pPr>
            <w:r w:rsidRPr="00781112">
              <w:rPr>
                <w:rFonts w:cs="Arial"/>
                <w:color w:val="000000" w:themeColor="text1"/>
                <w:szCs w:val="16"/>
              </w:rPr>
              <w:t>3.25%</w:t>
            </w:r>
          </w:p>
        </w:tc>
        <w:tc>
          <w:tcPr>
            <w:tcW w:w="715" w:type="pct"/>
            <w:vAlign w:val="center"/>
          </w:tcPr>
          <w:p w14:paraId="558D49D9" w14:textId="56776B71" w:rsidR="00B67FCE" w:rsidRPr="00781112" w:rsidRDefault="00B67FCE" w:rsidP="004E5C74">
            <w:pPr>
              <w:jc w:val="center"/>
              <w:rPr>
                <w:rFonts w:cs="Arial"/>
                <w:color w:val="000000" w:themeColor="text1"/>
                <w:szCs w:val="16"/>
              </w:rPr>
            </w:pPr>
            <w:r w:rsidRPr="00781112">
              <w:rPr>
                <w:rFonts w:cs="Arial"/>
                <w:color w:val="000000" w:themeColor="text1"/>
                <w:szCs w:val="16"/>
              </w:rPr>
              <w:t>3.66%</w:t>
            </w:r>
          </w:p>
        </w:tc>
        <w:tc>
          <w:tcPr>
            <w:tcW w:w="715" w:type="pct"/>
            <w:vAlign w:val="center"/>
          </w:tcPr>
          <w:p w14:paraId="529C7F25" w14:textId="45E82B2D" w:rsidR="00B67FCE" w:rsidRPr="00781112" w:rsidRDefault="00B67FCE" w:rsidP="004E5C74">
            <w:pPr>
              <w:jc w:val="center"/>
              <w:rPr>
                <w:rFonts w:cs="Arial"/>
                <w:color w:val="000000" w:themeColor="text1"/>
                <w:szCs w:val="16"/>
              </w:rPr>
            </w:pPr>
            <w:r w:rsidRPr="00781112">
              <w:rPr>
                <w:rFonts w:cs="Arial"/>
                <w:color w:val="000000" w:themeColor="text1"/>
                <w:szCs w:val="16"/>
              </w:rPr>
              <w:t>4.07%</w:t>
            </w:r>
          </w:p>
        </w:tc>
        <w:tc>
          <w:tcPr>
            <w:tcW w:w="715" w:type="pct"/>
            <w:vAlign w:val="center"/>
          </w:tcPr>
          <w:p w14:paraId="0CD7F429" w14:textId="3C743F76" w:rsidR="00B67FCE" w:rsidRPr="00781112" w:rsidRDefault="00B67FCE" w:rsidP="004E5C74">
            <w:pPr>
              <w:jc w:val="center"/>
              <w:rPr>
                <w:rFonts w:cs="Arial"/>
                <w:color w:val="000000" w:themeColor="text1"/>
                <w:szCs w:val="16"/>
              </w:rPr>
            </w:pPr>
            <w:r w:rsidRPr="00781112">
              <w:rPr>
                <w:rFonts w:cs="Arial"/>
                <w:color w:val="000000" w:themeColor="text1"/>
                <w:szCs w:val="16"/>
              </w:rPr>
              <w:t>4.48%</w:t>
            </w:r>
          </w:p>
        </w:tc>
      </w:tr>
      <w:tr w:rsidR="00B67FCE" w:rsidRPr="00781112" w14:paraId="169D5323" w14:textId="1CB4A506" w:rsidTr="00A87B90">
        <w:tc>
          <w:tcPr>
            <w:tcW w:w="713" w:type="pct"/>
            <w:shd w:val="clear" w:color="auto" w:fill="auto"/>
            <w:vAlign w:val="center"/>
          </w:tcPr>
          <w:p w14:paraId="21DAE194" w14:textId="06AF539C"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Math</w:t>
            </w:r>
          </w:p>
        </w:tc>
        <w:tc>
          <w:tcPr>
            <w:tcW w:w="715" w:type="pct"/>
            <w:shd w:val="clear" w:color="auto" w:fill="auto"/>
            <w:vAlign w:val="center"/>
          </w:tcPr>
          <w:p w14:paraId="650CB8D7" w14:textId="080D022D"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C &gt;=</w:t>
            </w:r>
          </w:p>
        </w:tc>
        <w:tc>
          <w:tcPr>
            <w:tcW w:w="715" w:type="pct"/>
            <w:shd w:val="clear" w:color="auto" w:fill="auto"/>
            <w:vAlign w:val="center"/>
          </w:tcPr>
          <w:p w14:paraId="45DBFB21" w14:textId="372229DD" w:rsidR="00B67FCE" w:rsidRPr="00781112" w:rsidDel="00DB0A73" w:rsidRDefault="00B67FCE" w:rsidP="004E5C74">
            <w:pPr>
              <w:jc w:val="center"/>
              <w:rPr>
                <w:rFonts w:cs="Arial"/>
                <w:color w:val="000000" w:themeColor="text1"/>
                <w:szCs w:val="16"/>
              </w:rPr>
            </w:pPr>
            <w:r w:rsidRPr="00781112">
              <w:rPr>
                <w:rFonts w:cs="Arial"/>
                <w:color w:val="000000" w:themeColor="text1"/>
                <w:szCs w:val="16"/>
              </w:rPr>
              <w:t>Grade HS</w:t>
            </w:r>
          </w:p>
        </w:tc>
        <w:tc>
          <w:tcPr>
            <w:tcW w:w="715" w:type="pct"/>
            <w:shd w:val="clear" w:color="auto" w:fill="auto"/>
            <w:vAlign w:val="center"/>
          </w:tcPr>
          <w:p w14:paraId="341BF449" w14:textId="76191C29" w:rsidR="00B67FCE" w:rsidRPr="00781112" w:rsidRDefault="00B67FCE" w:rsidP="004E5C74">
            <w:pPr>
              <w:jc w:val="center"/>
              <w:rPr>
                <w:rFonts w:cs="Arial"/>
                <w:color w:val="000000" w:themeColor="text1"/>
                <w:szCs w:val="16"/>
              </w:rPr>
            </w:pPr>
            <w:r w:rsidRPr="00781112">
              <w:rPr>
                <w:rFonts w:cs="Arial"/>
                <w:color w:val="000000" w:themeColor="text1"/>
                <w:szCs w:val="16"/>
              </w:rPr>
              <w:t>2.40%</w:t>
            </w:r>
          </w:p>
        </w:tc>
        <w:tc>
          <w:tcPr>
            <w:tcW w:w="715" w:type="pct"/>
            <w:vAlign w:val="center"/>
          </w:tcPr>
          <w:p w14:paraId="5424FF66" w14:textId="7AB6DE06" w:rsidR="00B67FCE" w:rsidRPr="00781112" w:rsidRDefault="00B67FCE" w:rsidP="004E5C74">
            <w:pPr>
              <w:jc w:val="center"/>
              <w:rPr>
                <w:rFonts w:cs="Arial"/>
                <w:color w:val="000000" w:themeColor="text1"/>
                <w:szCs w:val="16"/>
              </w:rPr>
            </w:pPr>
            <w:r w:rsidRPr="00781112">
              <w:rPr>
                <w:rFonts w:cs="Arial"/>
                <w:color w:val="000000" w:themeColor="text1"/>
                <w:szCs w:val="16"/>
              </w:rPr>
              <w:t>2.81%</w:t>
            </w:r>
          </w:p>
        </w:tc>
        <w:tc>
          <w:tcPr>
            <w:tcW w:w="715" w:type="pct"/>
            <w:vAlign w:val="center"/>
          </w:tcPr>
          <w:p w14:paraId="552DC3D3" w14:textId="79B2C0C8" w:rsidR="00B67FCE" w:rsidRPr="00781112" w:rsidRDefault="00B67FCE" w:rsidP="004E5C74">
            <w:pPr>
              <w:jc w:val="center"/>
              <w:rPr>
                <w:rFonts w:cs="Arial"/>
                <w:color w:val="000000" w:themeColor="text1"/>
                <w:szCs w:val="16"/>
              </w:rPr>
            </w:pPr>
            <w:r w:rsidRPr="00781112">
              <w:rPr>
                <w:rFonts w:cs="Arial"/>
                <w:color w:val="000000" w:themeColor="text1"/>
                <w:szCs w:val="16"/>
              </w:rPr>
              <w:t>3.22%</w:t>
            </w:r>
          </w:p>
        </w:tc>
        <w:tc>
          <w:tcPr>
            <w:tcW w:w="715" w:type="pct"/>
            <w:vAlign w:val="center"/>
          </w:tcPr>
          <w:p w14:paraId="4ECE9215" w14:textId="1D6B1BD9" w:rsidR="00B67FCE" w:rsidRPr="00781112" w:rsidRDefault="00B67FCE" w:rsidP="004E5C74">
            <w:pPr>
              <w:jc w:val="center"/>
              <w:rPr>
                <w:rFonts w:cs="Arial"/>
                <w:color w:val="000000" w:themeColor="text1"/>
                <w:szCs w:val="16"/>
              </w:rPr>
            </w:pPr>
            <w:r w:rsidRPr="00781112">
              <w:rPr>
                <w:rFonts w:cs="Arial"/>
                <w:color w:val="000000" w:themeColor="text1"/>
                <w:szCs w:val="16"/>
              </w:rPr>
              <w:t>3.63%</w:t>
            </w:r>
          </w:p>
        </w:tc>
      </w:tr>
    </w:tbl>
    <w:p w14:paraId="102C9294" w14:textId="426FC0A1" w:rsidR="002D145D" w:rsidRPr="00781112" w:rsidRDefault="002D145D" w:rsidP="004369B2">
      <w:pPr>
        <w:rPr>
          <w:b/>
          <w:color w:val="000000" w:themeColor="text1"/>
        </w:rPr>
      </w:pPr>
      <w:r w:rsidRPr="00781112">
        <w:rPr>
          <w:b/>
          <w:color w:val="000000" w:themeColor="text1"/>
        </w:rPr>
        <w:lastRenderedPageBreak/>
        <w:t xml:space="preserve">Targets: Description of Stakeholder Input </w:t>
      </w:r>
    </w:p>
    <w:p w14:paraId="18FFE566" w14:textId="1BC11D3C" w:rsidR="002D145D" w:rsidRPr="00781112" w:rsidRDefault="002B7490" w:rsidP="002D145D">
      <w:pPr>
        <w:rPr>
          <w:rFonts w:cs="Arial"/>
          <w:color w:val="000000" w:themeColor="text1"/>
          <w:szCs w:val="16"/>
        </w:rPr>
      </w:pPr>
      <w:r w:rsidRPr="00781112">
        <w:rPr>
          <w:rFonts w:cs="Arial"/>
          <w:color w:val="000000" w:themeColor="text1"/>
          <w:szCs w:val="16"/>
        </w:rPr>
        <w:t>Mechanism for Broad Stakeholder Input:</w:t>
        <w:br/>
        <w:t xml:space="preserve">During FFY2022, the State held stakeholder meetings as the mechanism for soliciting broad stakeholder input on the State’s targets in the SPP/APR and any subsequent revisions. The meetings were held in-person for the first time following the COVID-19 pandemic. An online option was available for stakeholders that were not able to meet in person. In the meetings, Stakeholder groups reviewed the FFY2021 data, and the baselines and targets established for FFY 2020-2025. The groups analyzed the data to determine if established baselines and targets established in the prior year, were still an accurate depiction of the state’s performance trajectory. The meetings also allowed time for stakeholders to provide input on improvement strategies and progress for the SPP/APR indicators. The State also revised its methodology for Indicators 4a and 4b in which the information was shared with stakeholders and input was sought. In addition, the State also proposed a revised LEA annual determination rubric to include target indicators. The revised rubric will be used with FFY2023 LEA annual determinations and is consistent with the information in the OSEP Question and Answer document QA 23-01. </w:t>
        <w:br/>
        <w:t/>
        <w:br/>
        <w:t xml:space="preserve">Stakeholder meeting information including meeting logistics and presentations are available on the Special Education Division (SED) website for the public and any interested individual to access. Flyers were created and LEAs were asked to disseminate the information to their staff, parents, and students. The Parent Training Centers (PTCs) were asked to share the meeting information with parents including through social media. Other groups such as tribes, IDEA panel members, the State Special Education Ombud, and other parent advocacy groups were sent invitations to each of the meetings. </w:t>
        <w:br/>
        <w:t/>
        <w:br/>
        <w:t>Any stakeholder that wanted to provide feedback but could not attend the meetings, had an opportunity to do so. On the State’s stakeholder page, individuals can click on the link and share their input with the state staff by completing an input form. The feedback received from the website is also considered when making revisions and establishing targets.</w:t>
        <w:br/>
        <w:t/>
        <w:br/>
        <w:t>Feedback Summary:</w:t>
        <w:br/>
        <w:t>For Indicators 4a and 4b, the State’s methodology was proposed to be changed to meet OSEP requirements as indicated in the FFY2021, SPP/APR OSEP Responses and Required Actions. Stakeholders were presented with the new proposed methodology in which the cell size of 10 requirement was removed, the N size was reduced to 10 and a rate ratio of 3.0 was introduced. In comparison to the previous methodology, where a cell size and N size of 10 were required as well as a risk ratio of 1 percentage point above the state rate. Stakeholders had no objections or concerns with the new methodology. The State will use the new methodology to apply to the Indicator 4 data reported in this FFY2022 State Performance Plan/Annual Performance Report (SPP/APR).</w:t>
        <w:br/>
        <w:t/>
        <w:br/>
        <w:t>Indicator 17, State Systemic Improvement Plan:</w:t>
        <w:br/>
        <w:t xml:space="preserve">1. ECLIPSE program coordinators presented data and program updates to the state IDEA Panel (members include parents, advocates, state staff, and educators) during the 2022-2023 school year. IDEA panel members were engaged in the ECLIPSE program presentation on Indicator 17 and updates. An ECLIPSE panel committee provided qualitative feedback via a Google Form survey. The panel members conveyed the program is making progress in improving literacy outcomes forward for students with disabilities. Recommendations included increasing parental involvement and increased awareness of the program's successes. </w:t>
        <w:br/>
        <w:t>2. A virtual ECLIPSE stakeholder meeting was held during the 2022-2023 school year. Stakeholders in attendance included the ECLIPSE staff, Regional Education Cooperative (REC) coordinators, Special Education Directors, and ECLIPSE school principals. Stakeholders in attendance were provided with ECLIPSE program details for the upcoming school year and verbal feedback about the ECLIPSE Program at the end of the meeting.</w:t>
        <w:br/>
        <w:t xml:space="preserve">3. Parent engagement stakeholder meetings were held in-person and through online platforms where they were provided direct literacy training via hands-on activities. If the meeting was online, materials were provided to the schools prior to the meeting. The Regional Education Cooperative (REC) contractors provided materials, activities, and training to parents in-person. The REC initiated Google Pre and Post surveys following the trainings and it indicated that the level of understanding to support reading at home increased. Parental understanding of what the predicator of reading success was increased dramatically between pre and post surveys. A summary of parent comments included that the engagement sessions provided a lot of great information, it was a fun learning experience, and they looked forward to future meetings. </w:t>
        <w:br/>
        <w:t xml:space="preserve">4. The ECLIPSE staff initiated surveys during 2022-2023 to principals and teachers through Google Forms survey. Teachers showed dramatic increases in their knowledge of the incorporation of engagement strategies with their students due to their coaches. In a pre-survey, administrators listed that professional development on literacy is one of the greatest needs of the teachers they support. They also stated that time and equitable feedback were areas of administrative need. </w:t>
        <w:br/>
        <w:t>5. An online end of year survey was sent to all ECLIPSE stakeholders as the 2022-2023 school year ended. The main consensus from the survey supported the ongoing development of the program to illustrate its impact so adjustments can be made to better inform ourselves and our stakeholders of progress.</w:t>
      </w:r>
    </w:p>
    <w:p w14:paraId="2C104549" w14:textId="03A0AB0D" w:rsidR="002D145D" w:rsidRPr="00781112" w:rsidRDefault="002B7490" w:rsidP="002D145D">
      <w:pPr>
        <w:rPr>
          <w:rFonts w:cs="Arial"/>
          <w:color w:val="000000" w:themeColor="text1"/>
          <w:szCs w:val="16"/>
        </w:rPr>
      </w:pPr>
      <w:r w:rsidRPr="00781112">
        <w:rPr>
          <w:rFonts w:cs="Arial"/>
          <w:color w:val="000000" w:themeColor="text1"/>
          <w:szCs w:val="16"/>
        </w:rPr>
        <w:t/>
      </w:r>
    </w:p>
    <w:p w14:paraId="2446B7C2" w14:textId="77777777" w:rsidR="00F20369" w:rsidRPr="00781112" w:rsidRDefault="00F20369" w:rsidP="004369B2">
      <w:pPr>
        <w:rPr>
          <w:color w:val="000000" w:themeColor="text1"/>
        </w:rPr>
      </w:pPr>
      <w:bookmarkStart w:id="17" w:name="_Toc392159273"/>
    </w:p>
    <w:p w14:paraId="2F64E7B3" w14:textId="1A8C9DDD" w:rsidR="00344AE0" w:rsidRPr="00781112" w:rsidRDefault="00FA33C9">
      <w:pPr>
        <w:rPr>
          <w:b/>
          <w:color w:val="000000" w:themeColor="text1"/>
        </w:rPr>
      </w:pPr>
      <w:r>
        <w:rPr>
          <w:b/>
          <w:color w:val="000000" w:themeColor="text1"/>
        </w:rPr>
        <w:t xml:space="preserve">FFY 2022 Data Disaggregation from </w:t>
      </w:r>
      <w:proofErr w:type="spellStart"/>
      <w:r>
        <w:rPr>
          <w:b/>
          <w:color w:val="000000" w:themeColor="text1"/>
        </w:rPr>
        <w:t>ED</w:t>
      </w:r>
      <w:r w:rsidRPr="00BA3DBE">
        <w:rPr>
          <w:b/>
          <w:i/>
          <w:iCs/>
          <w:color w:val="000000" w:themeColor="text1"/>
        </w:rPr>
        <w:t>Facts</w:t>
      </w:r>
      <w:proofErr w:type="spellEnd"/>
    </w:p>
    <w:p w14:paraId="6BDCF123" w14:textId="77777777" w:rsidR="00C01339" w:rsidRPr="00781112" w:rsidRDefault="00344AE0" w:rsidP="00552927">
      <w:pPr>
        <w:rPr>
          <w:rFonts w:cs="Arial"/>
          <w:b/>
          <w:color w:val="000000" w:themeColor="text1"/>
          <w:szCs w:val="16"/>
        </w:rPr>
      </w:pPr>
      <w:r w:rsidRPr="00781112">
        <w:rPr>
          <w:rFonts w:cs="Arial"/>
          <w:b/>
          <w:color w:val="000000" w:themeColor="text1"/>
          <w:szCs w:val="16"/>
        </w:rPr>
        <w:t xml:space="preserve">Data Source:  </w:t>
      </w:r>
    </w:p>
    <w:p w14:paraId="5EBDA348" w14:textId="24968275" w:rsidR="00C470E8" w:rsidRPr="00781112" w:rsidRDefault="002B7490" w:rsidP="00552927">
      <w:pPr>
        <w:rPr>
          <w:rFonts w:cs="Arial"/>
          <w:color w:val="000000" w:themeColor="text1"/>
          <w:szCs w:val="16"/>
        </w:rPr>
      </w:pPr>
      <w:r w:rsidRPr="00781112">
        <w:rPr>
          <w:rFonts w:cs="Arial"/>
          <w:color w:val="000000" w:themeColor="text1"/>
          <w:szCs w:val="16"/>
        </w:rPr>
        <w:t>SY 2022-23 Assessment Data Groups - Reading (EDFacts file spec FS178; Data Group: 584)</w:t>
      </w:r>
    </w:p>
    <w:p w14:paraId="435988E5" w14:textId="77777777" w:rsidR="00C01339" w:rsidRPr="00781112" w:rsidRDefault="00344AE0" w:rsidP="00552927">
      <w:pPr>
        <w:rPr>
          <w:rFonts w:cs="Arial"/>
          <w:b/>
          <w:color w:val="000000" w:themeColor="text1"/>
          <w:szCs w:val="16"/>
        </w:rPr>
      </w:pPr>
      <w:r w:rsidRPr="00781112">
        <w:rPr>
          <w:rFonts w:cs="Arial"/>
          <w:b/>
          <w:color w:val="000000" w:themeColor="text1"/>
          <w:szCs w:val="16"/>
        </w:rPr>
        <w:t xml:space="preserve">Date: </w:t>
      </w:r>
    </w:p>
    <w:p w14:paraId="1E2D8106" w14:textId="34AD25B1" w:rsidR="00344AE0" w:rsidRPr="00781112" w:rsidRDefault="002B7490" w:rsidP="00552927">
      <w:pPr>
        <w:rPr>
          <w:rFonts w:cs="Arial"/>
          <w:color w:val="000000" w:themeColor="text1"/>
          <w:szCs w:val="16"/>
        </w:rPr>
      </w:pPr>
      <w:r w:rsidRPr="00781112">
        <w:rPr>
          <w:rFonts w:cs="Arial"/>
          <w:color w:val="000000" w:themeColor="text1"/>
          <w:szCs w:val="16"/>
        </w:rPr>
        <w:t>01/10/2024</w:t>
      </w:r>
    </w:p>
    <w:p w14:paraId="59BC6B2E" w14:textId="5FAC9B9E" w:rsidR="009D0D68" w:rsidRPr="00781112" w:rsidRDefault="00FE2056">
      <w:pPr>
        <w:rPr>
          <w:b/>
          <w:color w:val="000000" w:themeColor="text1"/>
        </w:rPr>
      </w:pPr>
      <w:r w:rsidRPr="00781112">
        <w:rPr>
          <w:b/>
          <w:color w:val="000000" w:themeColor="text1"/>
        </w:rPr>
        <w:t>Reading Assessment Proficiency Data by Grade</w:t>
      </w:r>
      <w:r w:rsidR="00993B32">
        <w:rPr>
          <w:b/>
          <w:color w:val="000000" w:themeColor="text1"/>
        </w:rPr>
        <w:t xml:space="preserve"> (1)</w:t>
      </w:r>
    </w:p>
    <w:tbl>
      <w:tblPr>
        <w:tblStyle w:val="TableGrid"/>
        <w:tblW w:w="5000" w:type="pct"/>
        <w:tblLayout w:type="fixed"/>
        <w:tblLook w:val="04A0" w:firstRow="1" w:lastRow="0" w:firstColumn="1" w:lastColumn="0" w:noHBand="0" w:noVBand="1"/>
        <w:tblCaption w:val="B03BASSPARTDATABYGRDRLA"/>
      </w:tblPr>
      <w:tblGrid>
        <w:gridCol w:w="2426"/>
        <w:gridCol w:w="2788"/>
        <w:gridCol w:w="2788"/>
        <w:gridCol w:w="2788"/>
      </w:tblGrid>
      <w:tr w:rsidR="00BB2745" w:rsidRPr="00781112" w14:paraId="35CB1461" w14:textId="77777777" w:rsidTr="009E026B">
        <w:tc>
          <w:tcPr>
            <w:tcW w:w="1124" w:type="pct"/>
            <w:shd w:val="clear" w:color="auto" w:fill="auto"/>
          </w:tcPr>
          <w:p w14:paraId="39D40F16" w14:textId="18178F77" w:rsidR="00BB2745" w:rsidRPr="00781112" w:rsidRDefault="00835EAD" w:rsidP="00BB2745">
            <w:pPr>
              <w:jc w:val="center"/>
              <w:rPr>
                <w:rFonts w:cs="Arial"/>
                <w:b/>
                <w:bCs/>
                <w:color w:val="000000" w:themeColor="text1"/>
                <w:szCs w:val="16"/>
              </w:rPr>
            </w:pPr>
            <w:r w:rsidRPr="00781112">
              <w:rPr>
                <w:rFonts w:cs="Arial"/>
                <w:b/>
                <w:bCs/>
                <w:color w:val="000000" w:themeColor="text1"/>
                <w:szCs w:val="16"/>
              </w:rPr>
              <w:t>Group</w:t>
            </w:r>
          </w:p>
        </w:tc>
        <w:tc>
          <w:tcPr>
            <w:tcW w:w="1292" w:type="pct"/>
            <w:shd w:val="clear" w:color="auto" w:fill="auto"/>
            <w:vAlign w:val="center"/>
          </w:tcPr>
          <w:p w14:paraId="17538CC6" w14:textId="5AE78718" w:rsidR="00BB2745" w:rsidRPr="00781112" w:rsidRDefault="00BB2745" w:rsidP="00196CE6">
            <w:pPr>
              <w:jc w:val="center"/>
              <w:rPr>
                <w:rFonts w:cs="Arial"/>
                <w:b/>
                <w:bCs/>
                <w:color w:val="000000" w:themeColor="text1"/>
                <w:szCs w:val="16"/>
              </w:rPr>
            </w:pPr>
            <w:r w:rsidRPr="00781112">
              <w:rPr>
                <w:rFonts w:cs="Arial"/>
                <w:b/>
                <w:bCs/>
                <w:color w:val="000000" w:themeColor="text1"/>
                <w:szCs w:val="16"/>
              </w:rPr>
              <w:t>Grade 4</w:t>
            </w:r>
          </w:p>
        </w:tc>
        <w:tc>
          <w:tcPr>
            <w:tcW w:w="1292" w:type="pct"/>
            <w:shd w:val="clear" w:color="auto" w:fill="auto"/>
            <w:vAlign w:val="center"/>
          </w:tcPr>
          <w:p w14:paraId="7B4C40DF" w14:textId="7F368CC4" w:rsidR="00BB2745" w:rsidRPr="00781112" w:rsidRDefault="00BB2745" w:rsidP="00315E88">
            <w:pPr>
              <w:jc w:val="center"/>
              <w:rPr>
                <w:rFonts w:cs="Arial"/>
                <w:b/>
                <w:bCs/>
                <w:color w:val="000000" w:themeColor="text1"/>
                <w:szCs w:val="16"/>
              </w:rPr>
            </w:pPr>
            <w:r w:rsidRPr="00781112">
              <w:rPr>
                <w:rFonts w:cs="Arial"/>
                <w:b/>
                <w:bCs/>
                <w:color w:val="000000" w:themeColor="text1"/>
                <w:szCs w:val="16"/>
              </w:rPr>
              <w:t>Grade 8</w:t>
            </w:r>
          </w:p>
        </w:tc>
        <w:tc>
          <w:tcPr>
            <w:tcW w:w="1292" w:type="pct"/>
            <w:shd w:val="clear" w:color="auto" w:fill="auto"/>
            <w:vAlign w:val="center"/>
          </w:tcPr>
          <w:p w14:paraId="3761AD03" w14:textId="6AC32E5E" w:rsidR="00BB2745" w:rsidRPr="00781112" w:rsidRDefault="00BB2745" w:rsidP="00E14CF0">
            <w:pPr>
              <w:jc w:val="center"/>
              <w:rPr>
                <w:rFonts w:cs="Arial"/>
                <w:b/>
                <w:bCs/>
                <w:color w:val="000000" w:themeColor="text1"/>
                <w:szCs w:val="16"/>
              </w:rPr>
            </w:pPr>
            <w:r w:rsidRPr="00781112">
              <w:rPr>
                <w:rFonts w:cs="Arial"/>
                <w:b/>
                <w:bCs/>
                <w:color w:val="000000" w:themeColor="text1"/>
                <w:szCs w:val="16"/>
              </w:rPr>
              <w:t>Grade HS</w:t>
            </w:r>
          </w:p>
        </w:tc>
      </w:tr>
      <w:tr w:rsidR="003B0C91" w:rsidRPr="00781112" w14:paraId="568B2C00" w14:textId="77777777" w:rsidTr="009E026B">
        <w:tc>
          <w:tcPr>
            <w:tcW w:w="1124" w:type="pct"/>
            <w:shd w:val="clear" w:color="auto" w:fill="auto"/>
          </w:tcPr>
          <w:p w14:paraId="4AD99060" w14:textId="5CD6AD07" w:rsidR="003B0C91" w:rsidRPr="00781112" w:rsidRDefault="003B0C91" w:rsidP="003B0C91">
            <w:pPr>
              <w:rPr>
                <w:rFonts w:cs="Arial"/>
                <w:color w:val="000000" w:themeColor="text1"/>
                <w:szCs w:val="16"/>
              </w:rPr>
            </w:pPr>
            <w:r w:rsidRPr="00781112">
              <w:rPr>
                <w:rFonts w:cs="Arial"/>
                <w:szCs w:val="16"/>
                <w:shd w:val="clear" w:color="auto" w:fill="FFFFFF"/>
              </w:rPr>
              <w:t>a. Children with IEPs who received a valid score and a proficiency level was assigned for the regular assessment</w:t>
            </w:r>
          </w:p>
        </w:tc>
        <w:tc>
          <w:tcPr>
            <w:tcW w:w="1292" w:type="pct"/>
            <w:shd w:val="clear" w:color="auto" w:fill="auto"/>
            <w:vAlign w:val="center"/>
          </w:tcPr>
          <w:p w14:paraId="17848320" w14:textId="2D89B216" w:rsidR="003B0C91" w:rsidRPr="00781112" w:rsidRDefault="003B0C91" w:rsidP="00360DD6">
            <w:pPr>
              <w:jc w:val="center"/>
              <w:rPr>
                <w:rFonts w:cs="Arial"/>
                <w:color w:val="000000" w:themeColor="text1"/>
                <w:szCs w:val="16"/>
              </w:rPr>
            </w:pPr>
            <w:r w:rsidRPr="00781112">
              <w:rPr>
                <w:rFonts w:cs="Arial"/>
                <w:color w:val="000000" w:themeColor="text1"/>
                <w:szCs w:val="16"/>
              </w:rPr>
              <w:t>4,221</w:t>
            </w:r>
          </w:p>
        </w:tc>
        <w:tc>
          <w:tcPr>
            <w:tcW w:w="1292" w:type="pct"/>
            <w:shd w:val="clear" w:color="auto" w:fill="auto"/>
            <w:vAlign w:val="center"/>
          </w:tcPr>
          <w:p w14:paraId="51A72AB5" w14:textId="4469B046" w:rsidR="003B0C91" w:rsidRPr="00781112" w:rsidRDefault="003B0C91" w:rsidP="00360DD6">
            <w:pPr>
              <w:jc w:val="center"/>
              <w:rPr>
                <w:rFonts w:cs="Arial"/>
                <w:color w:val="000000" w:themeColor="text1"/>
                <w:szCs w:val="16"/>
              </w:rPr>
            </w:pPr>
            <w:r w:rsidRPr="00781112">
              <w:rPr>
                <w:rFonts w:cs="Arial"/>
                <w:color w:val="000000" w:themeColor="text1"/>
                <w:szCs w:val="16"/>
              </w:rPr>
              <w:t>3,947</w:t>
            </w:r>
          </w:p>
        </w:tc>
        <w:tc>
          <w:tcPr>
            <w:tcW w:w="1292" w:type="pct"/>
            <w:shd w:val="clear" w:color="auto" w:fill="auto"/>
            <w:vAlign w:val="center"/>
          </w:tcPr>
          <w:p w14:paraId="151E318E" w14:textId="46F9C307" w:rsidR="003B0C91" w:rsidRPr="00781112" w:rsidRDefault="003B0C91" w:rsidP="00360DD6">
            <w:pPr>
              <w:jc w:val="center"/>
              <w:rPr>
                <w:rFonts w:cs="Arial"/>
                <w:color w:val="000000" w:themeColor="text1"/>
                <w:szCs w:val="16"/>
              </w:rPr>
            </w:pPr>
            <w:r w:rsidRPr="00781112">
              <w:rPr>
                <w:rFonts w:cs="Arial"/>
                <w:color w:val="000000" w:themeColor="text1"/>
                <w:szCs w:val="16"/>
              </w:rPr>
              <w:t>2,645</w:t>
            </w:r>
          </w:p>
        </w:tc>
      </w:tr>
      <w:tr w:rsidR="003B0C91" w:rsidRPr="00781112" w14:paraId="4F287E15" w14:textId="77777777" w:rsidTr="009E026B">
        <w:tc>
          <w:tcPr>
            <w:tcW w:w="1124" w:type="pct"/>
            <w:shd w:val="clear" w:color="auto" w:fill="auto"/>
          </w:tcPr>
          <w:p w14:paraId="3423EDAB" w14:textId="76BBADB8" w:rsidR="003B0C91" w:rsidRPr="00781112" w:rsidRDefault="003B0C91" w:rsidP="003B0C91">
            <w:pPr>
              <w:rPr>
                <w:rFonts w:cs="Arial"/>
                <w:color w:val="000000" w:themeColor="text1"/>
                <w:szCs w:val="16"/>
              </w:rPr>
            </w:pPr>
            <w:r w:rsidRPr="00781112">
              <w:rPr>
                <w:rFonts w:cs="Arial"/>
                <w:szCs w:val="16"/>
                <w:shd w:val="clear" w:color="auto" w:fill="FFFFFF"/>
              </w:rPr>
              <w:t xml:space="preserve">b. </w:t>
            </w:r>
            <w:r w:rsidR="005527CB">
              <w:rPr>
                <w:rFonts w:cs="Arial"/>
                <w:color w:val="000000" w:themeColor="text1"/>
                <w:szCs w:val="16"/>
              </w:rPr>
              <w:t xml:space="preserve">Children with </w:t>
            </w:r>
            <w:r w:rsidRPr="00781112">
              <w:rPr>
                <w:rFonts w:cs="Arial"/>
                <w:szCs w:val="16"/>
                <w:shd w:val="clear" w:color="auto" w:fill="FFFFFF"/>
              </w:rPr>
              <w:t>IEPs in regular assessment with no accommodations scored at or above proficient against grade level</w:t>
            </w:r>
          </w:p>
        </w:tc>
        <w:tc>
          <w:tcPr>
            <w:tcW w:w="1292" w:type="pct"/>
            <w:shd w:val="clear" w:color="auto" w:fill="auto"/>
            <w:vAlign w:val="center"/>
          </w:tcPr>
          <w:p w14:paraId="616181A6" w14:textId="2B02EF7A" w:rsidR="003B0C91" w:rsidRPr="00781112" w:rsidRDefault="003B0C91" w:rsidP="00360DD6">
            <w:pPr>
              <w:jc w:val="center"/>
              <w:rPr>
                <w:rFonts w:cs="Arial"/>
                <w:color w:val="000000" w:themeColor="text1"/>
                <w:szCs w:val="16"/>
              </w:rPr>
            </w:pPr>
            <w:r w:rsidRPr="00781112">
              <w:rPr>
                <w:rFonts w:cs="Arial"/>
                <w:color w:val="000000" w:themeColor="text1"/>
                <w:szCs w:val="16"/>
              </w:rPr>
              <w:t>313</w:t>
            </w:r>
          </w:p>
        </w:tc>
        <w:tc>
          <w:tcPr>
            <w:tcW w:w="1292" w:type="pct"/>
            <w:shd w:val="clear" w:color="auto" w:fill="auto"/>
            <w:vAlign w:val="center"/>
          </w:tcPr>
          <w:p w14:paraId="74B7B6E9" w14:textId="4E36B377" w:rsidR="003B0C91" w:rsidRPr="00781112" w:rsidRDefault="003B0C91" w:rsidP="00360DD6">
            <w:pPr>
              <w:jc w:val="center"/>
              <w:rPr>
                <w:rFonts w:cs="Arial"/>
                <w:color w:val="000000" w:themeColor="text1"/>
                <w:szCs w:val="16"/>
              </w:rPr>
            </w:pPr>
            <w:r w:rsidRPr="00781112">
              <w:rPr>
                <w:rFonts w:cs="Arial"/>
                <w:color w:val="000000" w:themeColor="text1"/>
                <w:szCs w:val="16"/>
              </w:rPr>
              <w:t>241</w:t>
            </w:r>
          </w:p>
        </w:tc>
        <w:tc>
          <w:tcPr>
            <w:tcW w:w="1292" w:type="pct"/>
            <w:shd w:val="clear" w:color="auto" w:fill="auto"/>
            <w:vAlign w:val="center"/>
          </w:tcPr>
          <w:p w14:paraId="46F10147" w14:textId="1408D78A" w:rsidR="003B0C91" w:rsidRPr="00781112" w:rsidRDefault="003B0C91" w:rsidP="00360DD6">
            <w:pPr>
              <w:jc w:val="center"/>
              <w:rPr>
                <w:rFonts w:cs="Arial"/>
                <w:color w:val="000000" w:themeColor="text1"/>
                <w:szCs w:val="16"/>
              </w:rPr>
            </w:pPr>
            <w:r w:rsidRPr="00781112">
              <w:rPr>
                <w:rFonts w:cs="Arial"/>
                <w:color w:val="000000" w:themeColor="text1"/>
                <w:szCs w:val="16"/>
              </w:rPr>
              <w:t>74</w:t>
            </w:r>
          </w:p>
        </w:tc>
      </w:tr>
      <w:tr w:rsidR="003B0C91" w:rsidRPr="00781112" w14:paraId="41239D5E" w14:textId="77777777" w:rsidTr="009E026B">
        <w:tc>
          <w:tcPr>
            <w:tcW w:w="1124" w:type="pct"/>
            <w:shd w:val="clear" w:color="auto" w:fill="auto"/>
          </w:tcPr>
          <w:p w14:paraId="5F79CC0F" w14:textId="181C3E67" w:rsidR="003B0C91" w:rsidRPr="00781112" w:rsidRDefault="003B0C91" w:rsidP="003B0C91">
            <w:pPr>
              <w:rPr>
                <w:rFonts w:cs="Arial"/>
                <w:color w:val="000000" w:themeColor="text1"/>
                <w:szCs w:val="16"/>
              </w:rPr>
            </w:pPr>
            <w:r w:rsidRPr="00781112">
              <w:rPr>
                <w:rFonts w:cs="Arial"/>
                <w:szCs w:val="16"/>
                <w:shd w:val="clear" w:color="auto" w:fill="FFFFFF"/>
              </w:rPr>
              <w:t xml:space="preserve">c. </w:t>
            </w:r>
            <w:r w:rsidR="005527CB">
              <w:rPr>
                <w:rFonts w:cs="Arial"/>
                <w:color w:val="000000" w:themeColor="text1"/>
                <w:szCs w:val="16"/>
              </w:rPr>
              <w:t xml:space="preserve">Children with </w:t>
            </w:r>
            <w:r w:rsidRPr="00781112">
              <w:rPr>
                <w:rFonts w:cs="Arial"/>
                <w:szCs w:val="16"/>
                <w:shd w:val="clear" w:color="auto" w:fill="FFFFFF"/>
              </w:rPr>
              <w:t>IEPs in regular assessment with accommodations scored at or above proficient against grade level</w:t>
            </w:r>
          </w:p>
        </w:tc>
        <w:tc>
          <w:tcPr>
            <w:tcW w:w="1292" w:type="pct"/>
            <w:shd w:val="clear" w:color="auto" w:fill="auto"/>
            <w:vAlign w:val="center"/>
          </w:tcPr>
          <w:p w14:paraId="5E9652E2" w14:textId="24316F52" w:rsidR="003B0C91" w:rsidRPr="00781112" w:rsidRDefault="003B0C91" w:rsidP="00360DD6">
            <w:pPr>
              <w:jc w:val="center"/>
              <w:rPr>
                <w:rFonts w:cs="Arial"/>
                <w:color w:val="000000" w:themeColor="text1"/>
                <w:szCs w:val="16"/>
              </w:rPr>
            </w:pPr>
            <w:r w:rsidRPr="00781112">
              <w:rPr>
                <w:rFonts w:cs="Arial"/>
                <w:color w:val="000000" w:themeColor="text1"/>
                <w:szCs w:val="16"/>
              </w:rPr>
              <w:t>214</w:t>
            </w:r>
          </w:p>
        </w:tc>
        <w:tc>
          <w:tcPr>
            <w:tcW w:w="1292" w:type="pct"/>
            <w:shd w:val="clear" w:color="auto" w:fill="auto"/>
            <w:vAlign w:val="center"/>
          </w:tcPr>
          <w:p w14:paraId="47F69679" w14:textId="3EDB1646" w:rsidR="003B0C91" w:rsidRPr="00781112" w:rsidRDefault="003B0C91" w:rsidP="00360DD6">
            <w:pPr>
              <w:jc w:val="center"/>
              <w:rPr>
                <w:rFonts w:cs="Arial"/>
                <w:color w:val="000000" w:themeColor="text1"/>
                <w:szCs w:val="16"/>
              </w:rPr>
            </w:pPr>
            <w:r w:rsidRPr="00781112">
              <w:rPr>
                <w:rFonts w:cs="Arial"/>
                <w:color w:val="000000" w:themeColor="text1"/>
                <w:szCs w:val="16"/>
              </w:rPr>
              <w:t>186</w:t>
            </w:r>
          </w:p>
        </w:tc>
        <w:tc>
          <w:tcPr>
            <w:tcW w:w="1292" w:type="pct"/>
            <w:shd w:val="clear" w:color="auto" w:fill="auto"/>
            <w:vAlign w:val="center"/>
          </w:tcPr>
          <w:p w14:paraId="59F768C9" w14:textId="4401EA9F" w:rsidR="003B0C91" w:rsidRPr="00781112" w:rsidRDefault="003B0C91" w:rsidP="00360DD6">
            <w:pPr>
              <w:jc w:val="center"/>
              <w:rPr>
                <w:rFonts w:cs="Arial"/>
                <w:color w:val="000000" w:themeColor="text1"/>
                <w:szCs w:val="16"/>
              </w:rPr>
            </w:pPr>
            <w:r w:rsidRPr="00781112">
              <w:rPr>
                <w:rFonts w:cs="Arial"/>
                <w:color w:val="000000" w:themeColor="text1"/>
                <w:szCs w:val="16"/>
              </w:rPr>
              <w:t>129</w:t>
            </w:r>
          </w:p>
        </w:tc>
      </w:tr>
    </w:tbl>
    <w:p w14:paraId="5994F67E" w14:textId="77777777" w:rsidR="00346807" w:rsidRPr="00781112" w:rsidRDefault="00346807">
      <w:pPr>
        <w:rPr>
          <w:b/>
          <w:color w:val="000000" w:themeColor="text1"/>
        </w:rPr>
      </w:pPr>
    </w:p>
    <w:p w14:paraId="6D3557DD" w14:textId="77777777" w:rsidR="00C01339" w:rsidRPr="00781112" w:rsidRDefault="00382F22" w:rsidP="00552927">
      <w:pPr>
        <w:rPr>
          <w:rFonts w:cs="Arial"/>
          <w:b/>
          <w:color w:val="000000" w:themeColor="text1"/>
          <w:szCs w:val="16"/>
        </w:rPr>
      </w:pPr>
      <w:r w:rsidRPr="00781112">
        <w:rPr>
          <w:rFonts w:cs="Arial"/>
          <w:b/>
          <w:color w:val="000000" w:themeColor="text1"/>
          <w:szCs w:val="16"/>
        </w:rPr>
        <w:t xml:space="preserve">Data Source: </w:t>
      </w:r>
    </w:p>
    <w:p w14:paraId="1FB962F7" w14:textId="3D177E4C" w:rsidR="00C470E8" w:rsidRPr="00781112" w:rsidRDefault="002B7490" w:rsidP="00552927">
      <w:pPr>
        <w:rPr>
          <w:rFonts w:cs="Arial"/>
          <w:color w:val="000000" w:themeColor="text1"/>
          <w:szCs w:val="16"/>
        </w:rPr>
      </w:pPr>
      <w:r w:rsidRPr="00781112">
        <w:rPr>
          <w:rFonts w:cs="Arial"/>
          <w:color w:val="000000" w:themeColor="text1"/>
          <w:szCs w:val="16"/>
        </w:rPr>
        <w:t>SY 2022-23 Assessment Data Groups - Math (EDFacts file spec FS175; Data Group: 583)</w:t>
      </w:r>
    </w:p>
    <w:p w14:paraId="57CD97A4" w14:textId="77777777" w:rsidR="00C01339" w:rsidRPr="00781112" w:rsidRDefault="00382F22" w:rsidP="00552927">
      <w:pPr>
        <w:rPr>
          <w:rFonts w:cs="Arial"/>
          <w:b/>
          <w:color w:val="000000" w:themeColor="text1"/>
          <w:szCs w:val="16"/>
        </w:rPr>
      </w:pPr>
      <w:r w:rsidRPr="00781112">
        <w:rPr>
          <w:rFonts w:cs="Arial"/>
          <w:b/>
          <w:color w:val="000000" w:themeColor="text1"/>
          <w:szCs w:val="16"/>
        </w:rPr>
        <w:t xml:space="preserve">Date: </w:t>
      </w:r>
    </w:p>
    <w:p w14:paraId="26169998" w14:textId="4F560DE2" w:rsidR="00382F22" w:rsidRPr="00781112" w:rsidRDefault="002B7490" w:rsidP="00552927">
      <w:pPr>
        <w:rPr>
          <w:rFonts w:cs="Arial"/>
          <w:color w:val="000000" w:themeColor="text1"/>
          <w:szCs w:val="16"/>
        </w:rPr>
      </w:pPr>
      <w:r w:rsidRPr="00781112">
        <w:rPr>
          <w:rFonts w:cs="Arial"/>
          <w:color w:val="000000" w:themeColor="text1"/>
          <w:szCs w:val="16"/>
        </w:rPr>
        <w:t>01/10/2024</w:t>
      </w:r>
    </w:p>
    <w:p w14:paraId="33DEC24F" w14:textId="77777777" w:rsidR="005D18BE" w:rsidRPr="00781112" w:rsidRDefault="005D18BE" w:rsidP="00552927">
      <w:pPr>
        <w:rPr>
          <w:rFonts w:cs="Arial"/>
          <w:color w:val="000000" w:themeColor="text1"/>
          <w:szCs w:val="16"/>
        </w:rPr>
      </w:pPr>
    </w:p>
    <w:p w14:paraId="5767F488" w14:textId="3F393894" w:rsidR="00FE2056" w:rsidRPr="00781112" w:rsidRDefault="00FE2056">
      <w:pPr>
        <w:rPr>
          <w:b/>
          <w:color w:val="000000" w:themeColor="text1"/>
        </w:rPr>
      </w:pPr>
      <w:r w:rsidRPr="00781112">
        <w:rPr>
          <w:b/>
          <w:color w:val="000000" w:themeColor="text1"/>
        </w:rPr>
        <w:t>Math Assessment Proficiency Data by Grade</w:t>
      </w:r>
      <w:r w:rsidR="00993B32">
        <w:rPr>
          <w:b/>
          <w:color w:val="000000" w:themeColor="text1"/>
        </w:rPr>
        <w:t xml:space="preserve"> (1)</w:t>
      </w:r>
    </w:p>
    <w:tbl>
      <w:tblPr>
        <w:tblStyle w:val="TableGrid"/>
        <w:tblW w:w="4998" w:type="pct"/>
        <w:tblLayout w:type="fixed"/>
        <w:tblLook w:val="04A0" w:firstRow="1" w:lastRow="0" w:firstColumn="1" w:lastColumn="0" w:noHBand="0" w:noVBand="1"/>
        <w:tblCaption w:val="B03BASSPARTDATABYGRDMATH"/>
      </w:tblPr>
      <w:tblGrid>
        <w:gridCol w:w="2425"/>
        <w:gridCol w:w="2787"/>
        <w:gridCol w:w="2787"/>
        <w:gridCol w:w="2787"/>
      </w:tblGrid>
      <w:tr w:rsidR="00EB6900" w:rsidRPr="00781112" w14:paraId="1F3A5453" w14:textId="77777777" w:rsidTr="009E026B">
        <w:tc>
          <w:tcPr>
            <w:tcW w:w="1124" w:type="pct"/>
            <w:shd w:val="clear" w:color="auto" w:fill="auto"/>
          </w:tcPr>
          <w:p w14:paraId="5BF018F9" w14:textId="6FE6FA6F" w:rsidR="00EB6900" w:rsidRPr="00781112" w:rsidRDefault="00835EAD" w:rsidP="00EB6900">
            <w:pPr>
              <w:jc w:val="center"/>
              <w:rPr>
                <w:rFonts w:cs="Arial"/>
                <w:b/>
                <w:bCs/>
                <w:color w:val="000000" w:themeColor="text1"/>
                <w:szCs w:val="16"/>
              </w:rPr>
            </w:pPr>
            <w:r w:rsidRPr="00781112">
              <w:rPr>
                <w:rFonts w:cs="Arial"/>
                <w:b/>
                <w:bCs/>
                <w:color w:val="000000" w:themeColor="text1"/>
                <w:szCs w:val="16"/>
              </w:rPr>
              <w:t>Group</w:t>
            </w:r>
          </w:p>
        </w:tc>
        <w:tc>
          <w:tcPr>
            <w:tcW w:w="1292" w:type="pct"/>
            <w:shd w:val="clear" w:color="auto" w:fill="auto"/>
            <w:vAlign w:val="center"/>
          </w:tcPr>
          <w:p w14:paraId="24FAE140" w14:textId="0B22750E" w:rsidR="00EB6900" w:rsidRPr="00781112" w:rsidRDefault="00EB6900" w:rsidP="00196CE6">
            <w:pPr>
              <w:jc w:val="center"/>
              <w:rPr>
                <w:rFonts w:cs="Arial"/>
                <w:b/>
                <w:bCs/>
                <w:color w:val="000000" w:themeColor="text1"/>
                <w:szCs w:val="16"/>
              </w:rPr>
            </w:pPr>
            <w:r w:rsidRPr="00781112">
              <w:rPr>
                <w:rFonts w:cs="Arial"/>
                <w:b/>
                <w:bCs/>
                <w:color w:val="000000" w:themeColor="text1"/>
                <w:szCs w:val="16"/>
              </w:rPr>
              <w:t>Grade 4</w:t>
            </w:r>
          </w:p>
        </w:tc>
        <w:tc>
          <w:tcPr>
            <w:tcW w:w="1292" w:type="pct"/>
            <w:shd w:val="clear" w:color="auto" w:fill="auto"/>
            <w:vAlign w:val="center"/>
          </w:tcPr>
          <w:p w14:paraId="47A01117" w14:textId="43F14FF6" w:rsidR="00EB6900" w:rsidRPr="00781112" w:rsidRDefault="00EB6900" w:rsidP="00315E88">
            <w:pPr>
              <w:jc w:val="center"/>
              <w:rPr>
                <w:rFonts w:cs="Arial"/>
                <w:b/>
                <w:bCs/>
                <w:color w:val="000000" w:themeColor="text1"/>
                <w:szCs w:val="16"/>
              </w:rPr>
            </w:pPr>
            <w:r w:rsidRPr="00781112">
              <w:rPr>
                <w:rFonts w:cs="Arial"/>
                <w:b/>
                <w:bCs/>
                <w:color w:val="000000" w:themeColor="text1"/>
                <w:szCs w:val="16"/>
              </w:rPr>
              <w:t>Grade 8</w:t>
            </w:r>
          </w:p>
        </w:tc>
        <w:tc>
          <w:tcPr>
            <w:tcW w:w="1292" w:type="pct"/>
            <w:shd w:val="clear" w:color="auto" w:fill="auto"/>
            <w:vAlign w:val="center"/>
          </w:tcPr>
          <w:p w14:paraId="62BC8C13" w14:textId="1B955AD9" w:rsidR="00EB6900" w:rsidRPr="00781112" w:rsidRDefault="00EB6900" w:rsidP="00E14CF0">
            <w:pPr>
              <w:jc w:val="center"/>
              <w:rPr>
                <w:rFonts w:cs="Arial"/>
                <w:b/>
                <w:bCs/>
                <w:color w:val="000000" w:themeColor="text1"/>
                <w:szCs w:val="16"/>
              </w:rPr>
            </w:pPr>
            <w:r w:rsidRPr="00781112">
              <w:rPr>
                <w:rFonts w:cs="Arial"/>
                <w:b/>
                <w:bCs/>
                <w:color w:val="000000" w:themeColor="text1"/>
                <w:szCs w:val="16"/>
              </w:rPr>
              <w:t>Grade HS</w:t>
            </w:r>
          </w:p>
        </w:tc>
      </w:tr>
      <w:tr w:rsidR="00EB6900" w:rsidRPr="00781112" w14:paraId="3E50404B" w14:textId="77777777" w:rsidTr="009E026B">
        <w:tc>
          <w:tcPr>
            <w:tcW w:w="1124" w:type="pct"/>
            <w:shd w:val="clear" w:color="auto" w:fill="auto"/>
          </w:tcPr>
          <w:p w14:paraId="1BC1C3E1" w14:textId="4BCAFF70" w:rsidR="00EB6900" w:rsidRPr="00781112" w:rsidRDefault="00EB6900" w:rsidP="00EB6900">
            <w:pPr>
              <w:rPr>
                <w:rFonts w:cs="Arial"/>
                <w:color w:val="000000" w:themeColor="text1"/>
                <w:szCs w:val="16"/>
              </w:rPr>
            </w:pPr>
            <w:r w:rsidRPr="00781112">
              <w:rPr>
                <w:rFonts w:cs="Arial"/>
                <w:szCs w:val="16"/>
                <w:shd w:val="clear" w:color="auto" w:fill="FFFFFF"/>
              </w:rPr>
              <w:t>a. Children with IEPs who received a valid score and a proficiency level was assigned for the regular assessment</w:t>
            </w:r>
          </w:p>
        </w:tc>
        <w:tc>
          <w:tcPr>
            <w:tcW w:w="1292" w:type="pct"/>
            <w:shd w:val="clear" w:color="auto" w:fill="auto"/>
            <w:vAlign w:val="center"/>
          </w:tcPr>
          <w:p w14:paraId="73844C67" w14:textId="1DA65780" w:rsidR="00EB6900" w:rsidRPr="00781112" w:rsidRDefault="00EB6900" w:rsidP="00360DD6">
            <w:pPr>
              <w:jc w:val="center"/>
              <w:rPr>
                <w:rFonts w:cs="Arial"/>
                <w:color w:val="000000" w:themeColor="text1"/>
                <w:szCs w:val="16"/>
              </w:rPr>
            </w:pPr>
            <w:r w:rsidRPr="00781112">
              <w:rPr>
                <w:rFonts w:cs="Arial"/>
                <w:color w:val="000000" w:themeColor="text1"/>
                <w:szCs w:val="16"/>
              </w:rPr>
              <w:t>4,200</w:t>
            </w:r>
          </w:p>
        </w:tc>
        <w:tc>
          <w:tcPr>
            <w:tcW w:w="1292" w:type="pct"/>
            <w:shd w:val="clear" w:color="auto" w:fill="auto"/>
            <w:vAlign w:val="center"/>
          </w:tcPr>
          <w:p w14:paraId="3573F811" w14:textId="4BE7EE48" w:rsidR="00EB6900" w:rsidRPr="00781112" w:rsidRDefault="00EB6900" w:rsidP="00360DD6">
            <w:pPr>
              <w:jc w:val="center"/>
              <w:rPr>
                <w:rFonts w:cs="Arial"/>
                <w:color w:val="000000" w:themeColor="text1"/>
                <w:szCs w:val="16"/>
              </w:rPr>
            </w:pPr>
            <w:r w:rsidRPr="00781112">
              <w:rPr>
                <w:rFonts w:cs="Arial"/>
                <w:color w:val="000000" w:themeColor="text1"/>
                <w:szCs w:val="16"/>
              </w:rPr>
              <w:t>3,959</w:t>
            </w:r>
          </w:p>
        </w:tc>
        <w:tc>
          <w:tcPr>
            <w:tcW w:w="1292" w:type="pct"/>
            <w:shd w:val="clear" w:color="auto" w:fill="auto"/>
            <w:vAlign w:val="center"/>
          </w:tcPr>
          <w:p w14:paraId="3D006657" w14:textId="5E74B673" w:rsidR="00EB6900" w:rsidRPr="00781112" w:rsidRDefault="00EB6900" w:rsidP="00360DD6">
            <w:pPr>
              <w:jc w:val="center"/>
              <w:rPr>
                <w:rFonts w:cs="Arial"/>
                <w:color w:val="000000" w:themeColor="text1"/>
                <w:szCs w:val="16"/>
              </w:rPr>
            </w:pPr>
            <w:r w:rsidRPr="00781112">
              <w:rPr>
                <w:rFonts w:cs="Arial"/>
                <w:color w:val="000000" w:themeColor="text1"/>
                <w:szCs w:val="16"/>
              </w:rPr>
              <w:t>2,644</w:t>
            </w:r>
          </w:p>
        </w:tc>
      </w:tr>
      <w:tr w:rsidR="00EB6900" w:rsidRPr="00781112" w14:paraId="4482EF44" w14:textId="77777777" w:rsidTr="009E026B">
        <w:tc>
          <w:tcPr>
            <w:tcW w:w="1124" w:type="pct"/>
            <w:shd w:val="clear" w:color="auto" w:fill="auto"/>
          </w:tcPr>
          <w:p w14:paraId="27BF445B" w14:textId="0D33636A" w:rsidR="00EB6900" w:rsidRPr="00781112" w:rsidRDefault="00EB6900" w:rsidP="00EB6900">
            <w:pPr>
              <w:rPr>
                <w:rFonts w:cs="Arial"/>
                <w:color w:val="000000" w:themeColor="text1"/>
                <w:szCs w:val="16"/>
              </w:rPr>
            </w:pPr>
            <w:r w:rsidRPr="00781112">
              <w:rPr>
                <w:rFonts w:cs="Arial"/>
                <w:szCs w:val="16"/>
                <w:shd w:val="clear" w:color="auto" w:fill="FFFFFF"/>
              </w:rPr>
              <w:t>b. Children with IEPs in regular assessment with no accommodations scored at or above proficient against grade level</w:t>
            </w:r>
          </w:p>
        </w:tc>
        <w:tc>
          <w:tcPr>
            <w:tcW w:w="1292" w:type="pct"/>
            <w:shd w:val="clear" w:color="auto" w:fill="auto"/>
            <w:vAlign w:val="center"/>
          </w:tcPr>
          <w:p w14:paraId="6FAE18FE" w14:textId="45CDD134" w:rsidR="00EB6900" w:rsidRPr="00781112" w:rsidRDefault="00EB6900" w:rsidP="00360DD6">
            <w:pPr>
              <w:jc w:val="center"/>
              <w:rPr>
                <w:rFonts w:cs="Arial"/>
                <w:color w:val="000000" w:themeColor="text1"/>
                <w:szCs w:val="16"/>
              </w:rPr>
            </w:pPr>
            <w:r w:rsidRPr="00781112">
              <w:rPr>
                <w:rFonts w:cs="Arial"/>
                <w:color w:val="000000" w:themeColor="text1"/>
                <w:szCs w:val="16"/>
              </w:rPr>
              <w:t>191</w:t>
            </w:r>
          </w:p>
        </w:tc>
        <w:tc>
          <w:tcPr>
            <w:tcW w:w="1292" w:type="pct"/>
            <w:shd w:val="clear" w:color="auto" w:fill="auto"/>
            <w:vAlign w:val="center"/>
          </w:tcPr>
          <w:p w14:paraId="0501C27C" w14:textId="424208A4" w:rsidR="00EB6900" w:rsidRPr="00781112" w:rsidRDefault="00EB6900" w:rsidP="00360DD6">
            <w:pPr>
              <w:jc w:val="center"/>
              <w:rPr>
                <w:rFonts w:cs="Arial"/>
                <w:color w:val="000000" w:themeColor="text1"/>
                <w:szCs w:val="16"/>
              </w:rPr>
            </w:pPr>
            <w:r w:rsidRPr="00781112">
              <w:rPr>
                <w:rFonts w:cs="Arial"/>
                <w:color w:val="000000" w:themeColor="text1"/>
                <w:szCs w:val="16"/>
              </w:rPr>
              <w:t>89</w:t>
            </w:r>
          </w:p>
        </w:tc>
        <w:tc>
          <w:tcPr>
            <w:tcW w:w="1292" w:type="pct"/>
            <w:shd w:val="clear" w:color="auto" w:fill="auto"/>
            <w:vAlign w:val="center"/>
          </w:tcPr>
          <w:p w14:paraId="2F8ECC6A" w14:textId="065827BA" w:rsidR="00EB6900" w:rsidRPr="00781112" w:rsidRDefault="00EB6900" w:rsidP="00360DD6">
            <w:pPr>
              <w:jc w:val="center"/>
              <w:rPr>
                <w:rFonts w:cs="Arial"/>
                <w:color w:val="000000" w:themeColor="text1"/>
                <w:szCs w:val="16"/>
              </w:rPr>
            </w:pPr>
            <w:r w:rsidRPr="00781112">
              <w:rPr>
                <w:rFonts w:cs="Arial"/>
                <w:color w:val="000000" w:themeColor="text1"/>
                <w:szCs w:val="16"/>
              </w:rPr>
              <w:t>19</w:t>
            </w:r>
          </w:p>
        </w:tc>
      </w:tr>
      <w:tr w:rsidR="00EB6900" w:rsidRPr="00781112" w14:paraId="7ED983D3" w14:textId="77777777" w:rsidTr="009E026B">
        <w:tc>
          <w:tcPr>
            <w:tcW w:w="1124" w:type="pct"/>
            <w:shd w:val="clear" w:color="auto" w:fill="auto"/>
          </w:tcPr>
          <w:p w14:paraId="6E21D958" w14:textId="7EF8B281" w:rsidR="00EB6900" w:rsidRPr="00781112" w:rsidRDefault="00EB6900" w:rsidP="00EB6900">
            <w:pPr>
              <w:rPr>
                <w:rFonts w:cs="Arial"/>
                <w:color w:val="000000" w:themeColor="text1"/>
                <w:szCs w:val="16"/>
              </w:rPr>
            </w:pPr>
            <w:r w:rsidRPr="00781112">
              <w:rPr>
                <w:rFonts w:cs="Arial"/>
                <w:szCs w:val="16"/>
                <w:shd w:val="clear" w:color="auto" w:fill="FFFFFF"/>
              </w:rPr>
              <w:t>c. Children with IEPs in regular assessment with accommodations scored at or above proficient against grade level</w:t>
            </w:r>
          </w:p>
        </w:tc>
        <w:tc>
          <w:tcPr>
            <w:tcW w:w="1292" w:type="pct"/>
            <w:shd w:val="clear" w:color="auto" w:fill="auto"/>
            <w:vAlign w:val="center"/>
          </w:tcPr>
          <w:p w14:paraId="239BF66A" w14:textId="489CBBAB" w:rsidR="00EB6900" w:rsidRPr="00781112" w:rsidRDefault="00EB6900" w:rsidP="00360DD6">
            <w:pPr>
              <w:jc w:val="center"/>
              <w:rPr>
                <w:rFonts w:cs="Arial"/>
                <w:color w:val="000000" w:themeColor="text1"/>
                <w:szCs w:val="16"/>
              </w:rPr>
            </w:pPr>
            <w:r w:rsidRPr="00781112">
              <w:rPr>
                <w:rFonts w:cs="Arial"/>
                <w:color w:val="000000" w:themeColor="text1"/>
                <w:szCs w:val="16"/>
              </w:rPr>
              <w:t>127</w:t>
            </w:r>
          </w:p>
        </w:tc>
        <w:tc>
          <w:tcPr>
            <w:tcW w:w="1292" w:type="pct"/>
            <w:shd w:val="clear" w:color="auto" w:fill="auto"/>
            <w:vAlign w:val="center"/>
          </w:tcPr>
          <w:p w14:paraId="3148F449" w14:textId="071E2D42" w:rsidR="00EB6900" w:rsidRPr="00781112" w:rsidRDefault="00EB6900" w:rsidP="00360DD6">
            <w:pPr>
              <w:jc w:val="center"/>
              <w:rPr>
                <w:rFonts w:cs="Arial"/>
                <w:color w:val="000000" w:themeColor="text1"/>
                <w:szCs w:val="16"/>
              </w:rPr>
            </w:pPr>
            <w:r w:rsidRPr="00781112">
              <w:rPr>
                <w:rFonts w:cs="Arial"/>
                <w:color w:val="000000" w:themeColor="text1"/>
                <w:szCs w:val="16"/>
              </w:rPr>
              <w:t>42</w:t>
            </w:r>
          </w:p>
        </w:tc>
        <w:tc>
          <w:tcPr>
            <w:tcW w:w="1292" w:type="pct"/>
            <w:shd w:val="clear" w:color="auto" w:fill="auto"/>
            <w:vAlign w:val="center"/>
          </w:tcPr>
          <w:p w14:paraId="56D05BB3" w14:textId="5F6BA567" w:rsidR="00EB6900" w:rsidRPr="00781112" w:rsidRDefault="00EB6900" w:rsidP="00360DD6">
            <w:pPr>
              <w:jc w:val="center"/>
              <w:rPr>
                <w:rFonts w:cs="Arial"/>
                <w:color w:val="000000" w:themeColor="text1"/>
                <w:szCs w:val="16"/>
              </w:rPr>
            </w:pPr>
            <w:r w:rsidRPr="00781112">
              <w:rPr>
                <w:rFonts w:cs="Arial"/>
                <w:color w:val="000000" w:themeColor="text1"/>
                <w:szCs w:val="16"/>
              </w:rPr>
              <w:t>36</w:t>
            </w:r>
          </w:p>
        </w:tc>
      </w:tr>
    </w:tbl>
    <w:bookmarkEnd w:id="17"/>
    <w:p w14:paraId="122AE711" w14:textId="77777777" w:rsidR="00502870" w:rsidRDefault="00502870" w:rsidP="00502870">
      <w:pPr>
        <w:pStyle w:val="Subhed"/>
        <w:rPr>
          <w:b w:val="0"/>
          <w:bCs/>
        </w:rPr>
      </w:pPr>
      <w:r w:rsidRPr="00580D24">
        <w:rPr>
          <w:b w:val="0"/>
          <w:bCs/>
        </w:rPr>
        <w:t>(1)The term “regular assessment” is an aggregation of the following types of assessments as applicable for each grade/ grade group: regular assessment based on grade-level achievement standards, advanced assessment, Innovative Assessment Demonstration Authority (IADA) pilot assessment, high school regular assessment I, high school regular assessment II, high school regular assessment III and locally-selected nationally recognized high school assessment in the prefilled data in this indicator.</w:t>
      </w:r>
      <w:r>
        <w:t xml:space="preserve"> </w:t>
      </w:r>
    </w:p>
    <w:p w14:paraId="1A4F8ED6" w14:textId="77777777" w:rsidR="00966232" w:rsidRPr="00781112" w:rsidRDefault="00966232" w:rsidP="004369B2">
      <w:pPr>
        <w:rPr>
          <w:color w:val="000000" w:themeColor="text1"/>
        </w:rPr>
      </w:pPr>
    </w:p>
    <w:p w14:paraId="1E1876C6" w14:textId="1F90E63A" w:rsidR="00E539AB" w:rsidRPr="00781112" w:rsidRDefault="0047313F" w:rsidP="004369B2">
      <w:pPr>
        <w:rPr>
          <w:b/>
          <w:color w:val="000000" w:themeColor="text1"/>
        </w:rPr>
      </w:pPr>
      <w:r>
        <w:rPr>
          <w:b/>
          <w:color w:val="000000" w:themeColor="text1"/>
        </w:rPr>
        <w:t>FFY 2022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FFYAPRDATARLA"/>
      </w:tblPr>
      <w:tblGrid>
        <w:gridCol w:w="428"/>
        <w:gridCol w:w="888"/>
        <w:gridCol w:w="2027"/>
        <w:gridCol w:w="2026"/>
        <w:gridCol w:w="1085"/>
        <w:gridCol w:w="1085"/>
        <w:gridCol w:w="1085"/>
        <w:gridCol w:w="1085"/>
        <w:gridCol w:w="1081"/>
      </w:tblGrid>
      <w:tr w:rsidR="00FA33C9" w:rsidRPr="00781112" w14:paraId="52CF9222" w14:textId="5C9FC6C2" w:rsidTr="004B3F40">
        <w:trPr>
          <w:tblHeader/>
        </w:trPr>
        <w:tc>
          <w:tcPr>
            <w:tcW w:w="198" w:type="pct"/>
            <w:shd w:val="clear" w:color="auto" w:fill="auto"/>
            <w:vAlign w:val="bottom"/>
          </w:tcPr>
          <w:p w14:paraId="5B0C0A4E" w14:textId="31160362" w:rsidR="00FA33C9" w:rsidRPr="00781112" w:rsidRDefault="00FA33C9" w:rsidP="00FA33C9">
            <w:pPr>
              <w:jc w:val="center"/>
              <w:rPr>
                <w:b/>
                <w:color w:val="000000" w:themeColor="text1"/>
              </w:rPr>
            </w:pPr>
            <w:r w:rsidRPr="00781112">
              <w:rPr>
                <w:b/>
                <w:color w:val="000000" w:themeColor="text1"/>
              </w:rPr>
              <w:lastRenderedPageBreak/>
              <w:t>Group</w:t>
            </w:r>
          </w:p>
        </w:tc>
        <w:tc>
          <w:tcPr>
            <w:tcW w:w="411" w:type="pct"/>
            <w:shd w:val="clear" w:color="auto" w:fill="auto"/>
            <w:vAlign w:val="bottom"/>
          </w:tcPr>
          <w:p w14:paraId="08D526E5" w14:textId="4BDB327D" w:rsidR="00FA33C9" w:rsidRPr="00781112" w:rsidRDefault="00FA33C9" w:rsidP="00FA33C9">
            <w:pPr>
              <w:jc w:val="center"/>
              <w:rPr>
                <w:b/>
                <w:color w:val="000000" w:themeColor="text1"/>
              </w:rPr>
            </w:pPr>
            <w:r w:rsidRPr="00781112">
              <w:rPr>
                <w:b/>
                <w:color w:val="000000" w:themeColor="text1"/>
              </w:rPr>
              <w:t>Group Name</w:t>
            </w:r>
          </w:p>
        </w:tc>
        <w:tc>
          <w:tcPr>
            <w:tcW w:w="939" w:type="pct"/>
            <w:shd w:val="clear" w:color="auto" w:fill="auto"/>
          </w:tcPr>
          <w:p w14:paraId="198DD72E" w14:textId="3FB5565B" w:rsidR="00FA33C9" w:rsidRPr="00781112" w:rsidRDefault="00FA33C9" w:rsidP="00FA33C9">
            <w:pPr>
              <w:jc w:val="center"/>
              <w:rPr>
                <w:b/>
                <w:bCs/>
                <w:color w:val="000000" w:themeColor="text1"/>
              </w:rPr>
            </w:pPr>
            <w:r w:rsidRPr="00781112">
              <w:rPr>
                <w:b/>
                <w:bCs/>
              </w:rPr>
              <w:t>Number of Children with IEPs Scoring At or Above Proficient Against Grade Level Academic Achievement Standards</w:t>
            </w:r>
          </w:p>
        </w:tc>
        <w:tc>
          <w:tcPr>
            <w:tcW w:w="939" w:type="pct"/>
            <w:shd w:val="clear" w:color="auto" w:fill="auto"/>
          </w:tcPr>
          <w:p w14:paraId="43067EB5" w14:textId="1B6A6AEE" w:rsidR="00FA33C9" w:rsidRPr="00781112" w:rsidRDefault="00FA33C9" w:rsidP="00FA33C9">
            <w:pPr>
              <w:jc w:val="center"/>
              <w:rPr>
                <w:b/>
                <w:bCs/>
                <w:color w:val="000000" w:themeColor="text1"/>
              </w:rPr>
            </w:pPr>
            <w:r w:rsidRPr="00781112">
              <w:rPr>
                <w:b/>
                <w:bCs/>
              </w:rPr>
              <w:t>Number of Children with IEPs who Received a Valid Score and for whom a Proficiency Level was Assigned for the Regular Assessment</w:t>
            </w:r>
          </w:p>
        </w:tc>
        <w:tc>
          <w:tcPr>
            <w:tcW w:w="503" w:type="pct"/>
            <w:shd w:val="clear" w:color="auto" w:fill="auto"/>
            <w:vAlign w:val="bottom"/>
          </w:tcPr>
          <w:p w14:paraId="18374487" w14:textId="14DD08BA" w:rsidR="00FA33C9" w:rsidRPr="00073BD7" w:rsidRDefault="00FA33C9" w:rsidP="00FA33C9">
            <w:pPr>
              <w:jc w:val="center"/>
              <w:rPr>
                <w:b/>
                <w:bCs/>
                <w:color w:val="000000" w:themeColor="text1"/>
              </w:rPr>
            </w:pPr>
            <w:r w:rsidRPr="00073BD7">
              <w:rPr>
                <w:b/>
                <w:bCs/>
              </w:rPr>
              <w:t>FFY 2021 Data</w:t>
            </w:r>
          </w:p>
        </w:tc>
        <w:tc>
          <w:tcPr>
            <w:tcW w:w="503" w:type="pct"/>
            <w:shd w:val="clear" w:color="auto" w:fill="auto"/>
            <w:vAlign w:val="bottom"/>
          </w:tcPr>
          <w:p w14:paraId="3E51680E" w14:textId="7EA4903F" w:rsidR="00FA33C9" w:rsidRPr="00073BD7" w:rsidRDefault="00FA33C9" w:rsidP="00FA33C9">
            <w:pPr>
              <w:jc w:val="center"/>
              <w:rPr>
                <w:b/>
                <w:bCs/>
                <w:color w:val="000000" w:themeColor="text1"/>
              </w:rPr>
            </w:pPr>
            <w:r w:rsidRPr="00073BD7">
              <w:rPr>
                <w:b/>
                <w:bCs/>
              </w:rPr>
              <w:t>FFY 2022 Target</w:t>
            </w:r>
          </w:p>
        </w:tc>
        <w:tc>
          <w:tcPr>
            <w:tcW w:w="503" w:type="pct"/>
            <w:shd w:val="clear" w:color="auto" w:fill="auto"/>
            <w:vAlign w:val="bottom"/>
          </w:tcPr>
          <w:p w14:paraId="29685ECA" w14:textId="0A3EC870" w:rsidR="00FA33C9" w:rsidRPr="00073BD7" w:rsidRDefault="00FA33C9" w:rsidP="00FA33C9">
            <w:pPr>
              <w:jc w:val="center"/>
              <w:rPr>
                <w:b/>
                <w:bCs/>
                <w:color w:val="000000" w:themeColor="text1"/>
              </w:rPr>
            </w:pPr>
            <w:r w:rsidRPr="00073BD7">
              <w:rPr>
                <w:b/>
                <w:bCs/>
              </w:rPr>
              <w:t>FFY 2022 Data</w:t>
            </w:r>
          </w:p>
        </w:tc>
        <w:tc>
          <w:tcPr>
            <w:tcW w:w="503" w:type="pct"/>
            <w:shd w:val="clear" w:color="auto" w:fill="auto"/>
            <w:vAlign w:val="bottom"/>
          </w:tcPr>
          <w:p w14:paraId="5E9D6295" w14:textId="7F28EB50" w:rsidR="00FA33C9" w:rsidRPr="00781112" w:rsidRDefault="00FA33C9" w:rsidP="00FA33C9">
            <w:pPr>
              <w:jc w:val="center"/>
              <w:rPr>
                <w:b/>
                <w:color w:val="000000" w:themeColor="text1"/>
              </w:rPr>
            </w:pPr>
            <w:r w:rsidRPr="00781112">
              <w:rPr>
                <w:b/>
                <w:color w:val="000000" w:themeColor="text1"/>
              </w:rPr>
              <w:t>Status</w:t>
            </w:r>
          </w:p>
        </w:tc>
        <w:tc>
          <w:tcPr>
            <w:tcW w:w="501" w:type="pct"/>
            <w:shd w:val="clear" w:color="auto" w:fill="auto"/>
            <w:vAlign w:val="bottom"/>
          </w:tcPr>
          <w:p w14:paraId="7898EF38" w14:textId="75DFA010" w:rsidR="00FA33C9" w:rsidRPr="00781112" w:rsidRDefault="00FA33C9" w:rsidP="00FA33C9">
            <w:pPr>
              <w:jc w:val="center"/>
              <w:rPr>
                <w:b/>
                <w:color w:val="000000" w:themeColor="text1"/>
              </w:rPr>
            </w:pPr>
            <w:r w:rsidRPr="00781112">
              <w:rPr>
                <w:b/>
                <w:color w:val="000000" w:themeColor="text1"/>
              </w:rPr>
              <w:t>Slippage</w:t>
            </w:r>
          </w:p>
        </w:tc>
      </w:tr>
      <w:tr w:rsidR="00AD0E97" w:rsidRPr="00781112" w14:paraId="7760B96D" w14:textId="1E1E2305" w:rsidTr="004B3F40">
        <w:tc>
          <w:tcPr>
            <w:tcW w:w="198" w:type="pct"/>
            <w:shd w:val="clear" w:color="auto" w:fill="auto"/>
            <w:vAlign w:val="center"/>
          </w:tcPr>
          <w:p w14:paraId="6F54F4BD" w14:textId="3AB2A2E6" w:rsidR="00AD0E97" w:rsidRPr="00781112" w:rsidRDefault="00AD0E97" w:rsidP="00AD0E97">
            <w:pPr>
              <w:pStyle w:val="Default"/>
              <w:jc w:val="center"/>
              <w:rPr>
                <w:rFonts w:eastAsiaTheme="minorHAnsi"/>
                <w:color w:val="000000" w:themeColor="text1"/>
                <w:sz w:val="16"/>
                <w:szCs w:val="16"/>
              </w:rPr>
            </w:pPr>
            <w:r w:rsidRPr="00781112">
              <w:rPr>
                <w:b/>
                <w:color w:val="000000" w:themeColor="text1"/>
                <w:sz w:val="16"/>
                <w:szCs w:val="16"/>
              </w:rPr>
              <w:t>A</w:t>
            </w:r>
          </w:p>
        </w:tc>
        <w:tc>
          <w:tcPr>
            <w:tcW w:w="411" w:type="pct"/>
            <w:shd w:val="clear" w:color="auto" w:fill="auto"/>
            <w:vAlign w:val="center"/>
          </w:tcPr>
          <w:p w14:paraId="1AF12AAB" w14:textId="02722A5C" w:rsidR="00AD0E97" w:rsidRPr="00781112" w:rsidDel="00DE5045" w:rsidRDefault="00AD0E97" w:rsidP="00AD0E97">
            <w:pPr>
              <w:jc w:val="center"/>
              <w:rPr>
                <w:rFonts w:cs="Arial"/>
                <w:color w:val="000000" w:themeColor="text1"/>
                <w:szCs w:val="16"/>
              </w:rPr>
            </w:pPr>
            <w:r w:rsidRPr="00781112">
              <w:rPr>
                <w:rFonts w:cs="Arial"/>
                <w:color w:val="000000" w:themeColor="text1"/>
                <w:szCs w:val="16"/>
              </w:rPr>
              <w:t>Grade 4</w:t>
            </w:r>
          </w:p>
        </w:tc>
        <w:tc>
          <w:tcPr>
            <w:tcW w:w="939" w:type="pct"/>
            <w:shd w:val="clear" w:color="auto" w:fill="auto"/>
            <w:vAlign w:val="center"/>
          </w:tcPr>
          <w:p w14:paraId="0D75EC1C" w14:textId="5C94E807" w:rsidR="00AD0E97" w:rsidRPr="00781112" w:rsidRDefault="00AD0E97" w:rsidP="00AD0E97">
            <w:pPr>
              <w:jc w:val="center"/>
              <w:rPr>
                <w:rFonts w:cs="Arial"/>
                <w:color w:val="000000" w:themeColor="text1"/>
                <w:szCs w:val="16"/>
              </w:rPr>
            </w:pPr>
            <w:r w:rsidRPr="00781112">
              <w:rPr>
                <w:rFonts w:cs="Arial"/>
                <w:color w:val="000000"/>
                <w:szCs w:val="16"/>
              </w:rPr>
              <w:t>527</w:t>
            </w:r>
          </w:p>
        </w:tc>
        <w:tc>
          <w:tcPr>
            <w:tcW w:w="939" w:type="pct"/>
            <w:shd w:val="clear" w:color="auto" w:fill="auto"/>
            <w:vAlign w:val="center"/>
          </w:tcPr>
          <w:p w14:paraId="7E6A021B" w14:textId="57963DE4" w:rsidR="00AD0E97" w:rsidRPr="00781112" w:rsidRDefault="00AD0E97" w:rsidP="00AD0E97">
            <w:pPr>
              <w:jc w:val="center"/>
              <w:rPr>
                <w:rFonts w:cs="Arial"/>
                <w:color w:val="000000" w:themeColor="text1"/>
                <w:szCs w:val="16"/>
              </w:rPr>
            </w:pPr>
            <w:r w:rsidRPr="00781112">
              <w:rPr>
                <w:rFonts w:cs="Arial"/>
                <w:color w:val="000000" w:themeColor="text1"/>
                <w:szCs w:val="16"/>
              </w:rPr>
              <w:t>4,221</w:t>
            </w:r>
          </w:p>
        </w:tc>
        <w:tc>
          <w:tcPr>
            <w:tcW w:w="503" w:type="pct"/>
            <w:shd w:val="clear" w:color="auto" w:fill="auto"/>
            <w:vAlign w:val="center"/>
          </w:tcPr>
          <w:p w14:paraId="69FD37B5" w14:textId="09B40B87" w:rsidR="00AD0E97" w:rsidRPr="00781112" w:rsidRDefault="00AD0E97" w:rsidP="00AD0E97">
            <w:pPr>
              <w:jc w:val="center"/>
              <w:rPr>
                <w:rFonts w:cs="Arial"/>
                <w:color w:val="000000" w:themeColor="text1"/>
                <w:szCs w:val="16"/>
              </w:rPr>
            </w:pPr>
            <w:r w:rsidRPr="00781112">
              <w:rPr>
                <w:rFonts w:cs="Arial"/>
                <w:color w:val="000000" w:themeColor="text1"/>
                <w:szCs w:val="16"/>
              </w:rPr>
              <w:t>8.41%</w:t>
            </w:r>
          </w:p>
        </w:tc>
        <w:tc>
          <w:tcPr>
            <w:tcW w:w="503" w:type="pct"/>
            <w:shd w:val="clear" w:color="auto" w:fill="auto"/>
            <w:vAlign w:val="center"/>
          </w:tcPr>
          <w:p w14:paraId="482B7D09" w14:textId="62AFAA78" w:rsidR="00AD0E97" w:rsidRPr="00781112" w:rsidRDefault="00AD0E97" w:rsidP="00AD0E97">
            <w:pPr>
              <w:jc w:val="center"/>
              <w:rPr>
                <w:rFonts w:cs="Arial"/>
                <w:color w:val="000000" w:themeColor="text1"/>
                <w:szCs w:val="16"/>
              </w:rPr>
            </w:pPr>
            <w:r w:rsidRPr="00781112">
              <w:rPr>
                <w:rFonts w:cs="Arial"/>
                <w:color w:val="000000" w:themeColor="text1"/>
                <w:szCs w:val="16"/>
              </w:rPr>
              <w:t>8.86%</w:t>
            </w:r>
          </w:p>
        </w:tc>
        <w:tc>
          <w:tcPr>
            <w:tcW w:w="503" w:type="pct"/>
            <w:shd w:val="clear" w:color="auto" w:fill="auto"/>
            <w:vAlign w:val="center"/>
          </w:tcPr>
          <w:p w14:paraId="120D94C1" w14:textId="45B7E096" w:rsidR="00AD0E97" w:rsidRPr="00781112" w:rsidRDefault="00AD0E97" w:rsidP="00AD0E97">
            <w:pPr>
              <w:jc w:val="center"/>
              <w:rPr>
                <w:rFonts w:cs="Arial"/>
                <w:color w:val="000000" w:themeColor="text1"/>
                <w:szCs w:val="16"/>
              </w:rPr>
            </w:pPr>
            <w:r w:rsidRPr="00781112">
              <w:rPr>
                <w:rFonts w:cs="Arial"/>
                <w:color w:val="000000" w:themeColor="text1"/>
                <w:szCs w:val="16"/>
              </w:rPr>
              <w:t>12.49%</w:t>
            </w:r>
          </w:p>
        </w:tc>
        <w:tc>
          <w:tcPr>
            <w:tcW w:w="503" w:type="pct"/>
            <w:shd w:val="clear" w:color="auto" w:fill="auto"/>
            <w:vAlign w:val="center"/>
          </w:tcPr>
          <w:p w14:paraId="4C985877" w14:textId="6C415586" w:rsidR="00AD0E97" w:rsidRPr="00781112" w:rsidRDefault="00AD0E97" w:rsidP="00AD0E97">
            <w:pPr>
              <w:jc w:val="center"/>
              <w:rPr>
                <w:rFonts w:cs="Arial"/>
                <w:color w:val="000000" w:themeColor="text1"/>
                <w:szCs w:val="16"/>
              </w:rPr>
            </w:pPr>
            <w:r w:rsidRPr="00781112">
              <w:rPr>
                <w:rFonts w:cs="Arial"/>
                <w:color w:val="000000" w:themeColor="text1"/>
                <w:szCs w:val="16"/>
              </w:rPr>
              <w:t>Met target</w:t>
            </w:r>
          </w:p>
        </w:tc>
        <w:tc>
          <w:tcPr>
            <w:tcW w:w="501" w:type="pct"/>
            <w:shd w:val="clear" w:color="auto" w:fill="auto"/>
            <w:vAlign w:val="center"/>
          </w:tcPr>
          <w:p w14:paraId="05322B0C" w14:textId="7DA1FCC0" w:rsidR="00AD0E97" w:rsidRPr="00781112" w:rsidRDefault="00AD0E97" w:rsidP="00AD0E97">
            <w:pPr>
              <w:jc w:val="center"/>
              <w:rPr>
                <w:rFonts w:cs="Arial"/>
                <w:color w:val="000000" w:themeColor="text1"/>
                <w:szCs w:val="16"/>
              </w:rPr>
            </w:pPr>
            <w:r w:rsidRPr="00781112">
              <w:rPr>
                <w:rFonts w:cs="Arial"/>
                <w:color w:val="000000" w:themeColor="text1"/>
                <w:szCs w:val="16"/>
              </w:rPr>
              <w:t>No Slippage</w:t>
            </w:r>
          </w:p>
        </w:tc>
      </w:tr>
      <w:tr w:rsidR="00AD0E97" w:rsidRPr="00781112" w14:paraId="7A5387EE" w14:textId="77777777" w:rsidTr="004B3F40">
        <w:tc>
          <w:tcPr>
            <w:tcW w:w="198" w:type="pct"/>
            <w:shd w:val="clear" w:color="auto" w:fill="auto"/>
            <w:vAlign w:val="center"/>
          </w:tcPr>
          <w:p w14:paraId="729AFDF4" w14:textId="72203283" w:rsidR="00AD0E97" w:rsidRPr="00781112" w:rsidRDefault="00AD0E97" w:rsidP="00AD0E97">
            <w:pPr>
              <w:pStyle w:val="Default"/>
              <w:jc w:val="center"/>
              <w:rPr>
                <w:rFonts w:eastAsiaTheme="minorHAnsi"/>
                <w:color w:val="000000" w:themeColor="text1"/>
                <w:sz w:val="16"/>
                <w:szCs w:val="16"/>
              </w:rPr>
            </w:pPr>
            <w:r w:rsidRPr="00781112">
              <w:rPr>
                <w:b/>
                <w:color w:val="000000" w:themeColor="text1"/>
                <w:sz w:val="16"/>
                <w:szCs w:val="16"/>
              </w:rPr>
              <w:t>B</w:t>
            </w:r>
          </w:p>
        </w:tc>
        <w:tc>
          <w:tcPr>
            <w:tcW w:w="411" w:type="pct"/>
            <w:shd w:val="clear" w:color="auto" w:fill="auto"/>
            <w:vAlign w:val="center"/>
          </w:tcPr>
          <w:p w14:paraId="33B7C97E" w14:textId="6E25E05B" w:rsidR="00AD0E97" w:rsidRPr="00781112" w:rsidDel="00DE5045" w:rsidRDefault="00AD0E97" w:rsidP="00AD0E97">
            <w:pPr>
              <w:jc w:val="center"/>
              <w:rPr>
                <w:rFonts w:cs="Arial"/>
                <w:color w:val="000000" w:themeColor="text1"/>
                <w:szCs w:val="16"/>
              </w:rPr>
            </w:pPr>
            <w:r w:rsidRPr="00781112">
              <w:rPr>
                <w:rFonts w:cs="Arial"/>
                <w:color w:val="000000" w:themeColor="text1"/>
                <w:szCs w:val="16"/>
              </w:rPr>
              <w:t>Grade 8</w:t>
            </w:r>
          </w:p>
        </w:tc>
        <w:tc>
          <w:tcPr>
            <w:tcW w:w="939" w:type="pct"/>
            <w:shd w:val="clear" w:color="auto" w:fill="auto"/>
            <w:vAlign w:val="center"/>
          </w:tcPr>
          <w:p w14:paraId="3F0D6576" w14:textId="39D13C81" w:rsidR="00AD0E97" w:rsidRPr="00781112" w:rsidRDefault="00AD0E97" w:rsidP="00AD0E97">
            <w:pPr>
              <w:jc w:val="center"/>
              <w:rPr>
                <w:rFonts w:cs="Arial"/>
                <w:color w:val="000000" w:themeColor="text1"/>
                <w:szCs w:val="16"/>
              </w:rPr>
            </w:pPr>
            <w:r w:rsidRPr="00781112">
              <w:rPr>
                <w:rFonts w:cs="Arial"/>
                <w:color w:val="000000"/>
                <w:szCs w:val="16"/>
              </w:rPr>
              <w:t>427</w:t>
            </w:r>
          </w:p>
        </w:tc>
        <w:tc>
          <w:tcPr>
            <w:tcW w:w="939" w:type="pct"/>
            <w:shd w:val="clear" w:color="auto" w:fill="auto"/>
            <w:vAlign w:val="center"/>
          </w:tcPr>
          <w:p w14:paraId="7FFA4863" w14:textId="2B0AF130" w:rsidR="00AD0E97" w:rsidRPr="00781112" w:rsidRDefault="00AD0E97" w:rsidP="00AD0E97">
            <w:pPr>
              <w:jc w:val="center"/>
              <w:rPr>
                <w:rFonts w:cs="Arial"/>
                <w:color w:val="000000" w:themeColor="text1"/>
                <w:szCs w:val="16"/>
              </w:rPr>
            </w:pPr>
            <w:r w:rsidRPr="00781112">
              <w:rPr>
                <w:rFonts w:cs="Arial"/>
                <w:color w:val="000000" w:themeColor="text1"/>
                <w:szCs w:val="16"/>
              </w:rPr>
              <w:t>3,947</w:t>
            </w:r>
          </w:p>
        </w:tc>
        <w:tc>
          <w:tcPr>
            <w:tcW w:w="503" w:type="pct"/>
            <w:shd w:val="clear" w:color="auto" w:fill="auto"/>
            <w:vAlign w:val="center"/>
          </w:tcPr>
          <w:p w14:paraId="3FB80D14" w14:textId="17D00589" w:rsidR="00AD0E97" w:rsidRPr="00781112" w:rsidRDefault="00AD0E97" w:rsidP="00AD0E97">
            <w:pPr>
              <w:jc w:val="center"/>
              <w:rPr>
                <w:rFonts w:cs="Arial"/>
                <w:color w:val="000000" w:themeColor="text1"/>
                <w:szCs w:val="16"/>
              </w:rPr>
            </w:pPr>
            <w:r w:rsidRPr="00781112">
              <w:rPr>
                <w:rFonts w:cs="Arial"/>
                <w:color w:val="000000" w:themeColor="text1"/>
                <w:szCs w:val="16"/>
              </w:rPr>
              <w:t>7.06%</w:t>
            </w:r>
          </w:p>
        </w:tc>
        <w:tc>
          <w:tcPr>
            <w:tcW w:w="503" w:type="pct"/>
            <w:shd w:val="clear" w:color="auto" w:fill="auto"/>
            <w:vAlign w:val="center"/>
          </w:tcPr>
          <w:p w14:paraId="12DA8FB6" w14:textId="2A9832BB" w:rsidR="00AD0E97" w:rsidRPr="00781112" w:rsidRDefault="00AD0E97" w:rsidP="00AD0E97">
            <w:pPr>
              <w:jc w:val="center"/>
              <w:rPr>
                <w:rFonts w:cs="Arial"/>
                <w:color w:val="000000" w:themeColor="text1"/>
                <w:szCs w:val="16"/>
              </w:rPr>
            </w:pPr>
            <w:r w:rsidRPr="00781112">
              <w:rPr>
                <w:rFonts w:cs="Arial"/>
                <w:color w:val="000000" w:themeColor="text1"/>
                <w:szCs w:val="16"/>
              </w:rPr>
              <w:t>7.51%</w:t>
            </w:r>
          </w:p>
        </w:tc>
        <w:tc>
          <w:tcPr>
            <w:tcW w:w="503" w:type="pct"/>
            <w:shd w:val="clear" w:color="auto" w:fill="auto"/>
            <w:vAlign w:val="center"/>
          </w:tcPr>
          <w:p w14:paraId="65C7EB9E" w14:textId="563BFA26" w:rsidR="00AD0E97" w:rsidRPr="00781112" w:rsidRDefault="00AD0E97" w:rsidP="00AD0E97">
            <w:pPr>
              <w:jc w:val="center"/>
              <w:rPr>
                <w:rFonts w:cs="Arial"/>
                <w:color w:val="000000" w:themeColor="text1"/>
                <w:szCs w:val="16"/>
              </w:rPr>
            </w:pPr>
            <w:r w:rsidRPr="00781112">
              <w:rPr>
                <w:rFonts w:cs="Arial"/>
                <w:color w:val="000000" w:themeColor="text1"/>
                <w:szCs w:val="16"/>
              </w:rPr>
              <w:t>10.82%</w:t>
            </w:r>
          </w:p>
        </w:tc>
        <w:tc>
          <w:tcPr>
            <w:tcW w:w="503" w:type="pct"/>
            <w:shd w:val="clear" w:color="auto" w:fill="auto"/>
            <w:vAlign w:val="center"/>
          </w:tcPr>
          <w:p w14:paraId="41A6F692" w14:textId="65CC6347" w:rsidR="00AD0E97" w:rsidRPr="00781112" w:rsidRDefault="00AD0E97" w:rsidP="00AD0E97">
            <w:pPr>
              <w:jc w:val="center"/>
              <w:rPr>
                <w:rFonts w:cs="Arial"/>
                <w:color w:val="000000" w:themeColor="text1"/>
                <w:szCs w:val="16"/>
              </w:rPr>
            </w:pPr>
            <w:r w:rsidRPr="00781112">
              <w:rPr>
                <w:rFonts w:cs="Arial"/>
                <w:color w:val="000000" w:themeColor="text1"/>
                <w:szCs w:val="16"/>
              </w:rPr>
              <w:t>Met target</w:t>
            </w:r>
          </w:p>
        </w:tc>
        <w:tc>
          <w:tcPr>
            <w:tcW w:w="501" w:type="pct"/>
            <w:shd w:val="clear" w:color="auto" w:fill="auto"/>
            <w:vAlign w:val="center"/>
          </w:tcPr>
          <w:p w14:paraId="3D4E27A4" w14:textId="7BDAA77C" w:rsidR="00AD0E97" w:rsidRPr="00781112" w:rsidRDefault="00AD0E97" w:rsidP="00AD0E97">
            <w:pPr>
              <w:jc w:val="center"/>
              <w:rPr>
                <w:rFonts w:cs="Arial"/>
                <w:color w:val="000000" w:themeColor="text1"/>
                <w:szCs w:val="16"/>
              </w:rPr>
            </w:pPr>
            <w:r w:rsidRPr="00781112">
              <w:rPr>
                <w:rFonts w:cs="Arial"/>
                <w:color w:val="000000" w:themeColor="text1"/>
                <w:szCs w:val="16"/>
              </w:rPr>
              <w:t>No Slippage</w:t>
            </w:r>
          </w:p>
        </w:tc>
      </w:tr>
      <w:tr w:rsidR="00AD0E97" w:rsidRPr="00781112" w14:paraId="26B346DD" w14:textId="77777777" w:rsidTr="004B3F40">
        <w:tc>
          <w:tcPr>
            <w:tcW w:w="198" w:type="pct"/>
            <w:shd w:val="clear" w:color="auto" w:fill="auto"/>
            <w:vAlign w:val="center"/>
          </w:tcPr>
          <w:p w14:paraId="2B13C665" w14:textId="583EB28A" w:rsidR="00AD0E97" w:rsidRPr="00781112" w:rsidRDefault="00AD0E97" w:rsidP="00AD0E97">
            <w:pPr>
              <w:pStyle w:val="Default"/>
              <w:jc w:val="center"/>
              <w:rPr>
                <w:rFonts w:eastAsiaTheme="minorHAnsi"/>
                <w:color w:val="000000" w:themeColor="text1"/>
                <w:sz w:val="16"/>
                <w:szCs w:val="16"/>
              </w:rPr>
            </w:pPr>
            <w:r w:rsidRPr="00781112">
              <w:rPr>
                <w:b/>
                <w:color w:val="000000" w:themeColor="text1"/>
                <w:sz w:val="16"/>
                <w:szCs w:val="16"/>
              </w:rPr>
              <w:t>C</w:t>
            </w:r>
          </w:p>
        </w:tc>
        <w:tc>
          <w:tcPr>
            <w:tcW w:w="411" w:type="pct"/>
            <w:shd w:val="clear" w:color="auto" w:fill="auto"/>
            <w:vAlign w:val="center"/>
          </w:tcPr>
          <w:p w14:paraId="6D97D346" w14:textId="75AC25C8" w:rsidR="00AD0E97" w:rsidRPr="00781112" w:rsidDel="00DE5045" w:rsidRDefault="00AD0E97" w:rsidP="00AD0E97">
            <w:pPr>
              <w:jc w:val="center"/>
              <w:rPr>
                <w:rFonts w:cs="Arial"/>
                <w:color w:val="000000" w:themeColor="text1"/>
                <w:szCs w:val="16"/>
              </w:rPr>
            </w:pPr>
            <w:r w:rsidRPr="00781112">
              <w:rPr>
                <w:rFonts w:cs="Arial"/>
                <w:color w:val="000000" w:themeColor="text1"/>
                <w:szCs w:val="16"/>
              </w:rPr>
              <w:t>Grade HS</w:t>
            </w:r>
          </w:p>
        </w:tc>
        <w:tc>
          <w:tcPr>
            <w:tcW w:w="939" w:type="pct"/>
            <w:shd w:val="clear" w:color="auto" w:fill="auto"/>
            <w:vAlign w:val="center"/>
          </w:tcPr>
          <w:p w14:paraId="30AED5C7" w14:textId="5DD38D7C" w:rsidR="00AD0E97" w:rsidRPr="00781112" w:rsidRDefault="00AD0E97" w:rsidP="00AD0E97">
            <w:pPr>
              <w:jc w:val="center"/>
              <w:rPr>
                <w:rFonts w:cs="Arial"/>
                <w:color w:val="000000" w:themeColor="text1"/>
                <w:szCs w:val="16"/>
              </w:rPr>
            </w:pPr>
            <w:r w:rsidRPr="00781112">
              <w:rPr>
                <w:rFonts w:cs="Arial"/>
                <w:color w:val="000000"/>
                <w:szCs w:val="16"/>
              </w:rPr>
              <w:t>203</w:t>
            </w:r>
          </w:p>
        </w:tc>
        <w:tc>
          <w:tcPr>
            <w:tcW w:w="939" w:type="pct"/>
            <w:shd w:val="clear" w:color="auto" w:fill="auto"/>
            <w:vAlign w:val="center"/>
          </w:tcPr>
          <w:p w14:paraId="3E4BF8E7" w14:textId="17E7C017" w:rsidR="00AD0E97" w:rsidRPr="00781112" w:rsidRDefault="00AD0E97" w:rsidP="00AD0E97">
            <w:pPr>
              <w:jc w:val="center"/>
              <w:rPr>
                <w:rFonts w:cs="Arial"/>
                <w:color w:val="000000" w:themeColor="text1"/>
                <w:szCs w:val="16"/>
              </w:rPr>
            </w:pPr>
            <w:r w:rsidRPr="00781112">
              <w:rPr>
                <w:rFonts w:cs="Arial"/>
                <w:color w:val="000000" w:themeColor="text1"/>
                <w:szCs w:val="16"/>
              </w:rPr>
              <w:t>2,645</w:t>
            </w:r>
          </w:p>
        </w:tc>
        <w:tc>
          <w:tcPr>
            <w:tcW w:w="503" w:type="pct"/>
            <w:shd w:val="clear" w:color="auto" w:fill="auto"/>
            <w:vAlign w:val="center"/>
          </w:tcPr>
          <w:p w14:paraId="039885F2" w14:textId="68486387" w:rsidR="00AD0E97" w:rsidRPr="00781112" w:rsidRDefault="00AD0E97" w:rsidP="00AD0E97">
            <w:pPr>
              <w:jc w:val="center"/>
              <w:rPr>
                <w:rFonts w:cs="Arial"/>
                <w:color w:val="000000" w:themeColor="text1"/>
                <w:szCs w:val="16"/>
              </w:rPr>
            </w:pPr>
            <w:r w:rsidRPr="00781112">
              <w:rPr>
                <w:rFonts w:cs="Arial"/>
                <w:color w:val="000000" w:themeColor="text1"/>
                <w:szCs w:val="16"/>
              </w:rPr>
              <w:t>6.32%</w:t>
            </w:r>
          </w:p>
        </w:tc>
        <w:tc>
          <w:tcPr>
            <w:tcW w:w="503" w:type="pct"/>
            <w:shd w:val="clear" w:color="auto" w:fill="auto"/>
            <w:vAlign w:val="center"/>
          </w:tcPr>
          <w:p w14:paraId="0D574818" w14:textId="0B8E29B8" w:rsidR="00AD0E97" w:rsidRPr="00781112" w:rsidRDefault="00AD0E97" w:rsidP="00AD0E97">
            <w:pPr>
              <w:jc w:val="center"/>
              <w:rPr>
                <w:rFonts w:cs="Arial"/>
                <w:color w:val="000000" w:themeColor="text1"/>
                <w:szCs w:val="16"/>
              </w:rPr>
            </w:pPr>
            <w:r w:rsidRPr="00781112">
              <w:rPr>
                <w:rFonts w:cs="Arial"/>
                <w:color w:val="000000" w:themeColor="text1"/>
                <w:szCs w:val="16"/>
              </w:rPr>
              <w:t>3.77%</w:t>
            </w:r>
          </w:p>
        </w:tc>
        <w:tc>
          <w:tcPr>
            <w:tcW w:w="503" w:type="pct"/>
            <w:shd w:val="clear" w:color="auto" w:fill="auto"/>
            <w:vAlign w:val="center"/>
          </w:tcPr>
          <w:p w14:paraId="68757684" w14:textId="14D897E8" w:rsidR="00AD0E97" w:rsidRPr="00781112" w:rsidRDefault="00AD0E97" w:rsidP="00AD0E97">
            <w:pPr>
              <w:jc w:val="center"/>
              <w:rPr>
                <w:rFonts w:cs="Arial"/>
                <w:color w:val="000000" w:themeColor="text1"/>
                <w:szCs w:val="16"/>
              </w:rPr>
            </w:pPr>
            <w:r w:rsidRPr="00781112">
              <w:rPr>
                <w:rFonts w:cs="Arial"/>
                <w:color w:val="000000" w:themeColor="text1"/>
                <w:szCs w:val="16"/>
              </w:rPr>
              <w:t>7.67%</w:t>
            </w:r>
          </w:p>
        </w:tc>
        <w:tc>
          <w:tcPr>
            <w:tcW w:w="503" w:type="pct"/>
            <w:shd w:val="clear" w:color="auto" w:fill="auto"/>
            <w:vAlign w:val="center"/>
          </w:tcPr>
          <w:p w14:paraId="7D508FD3" w14:textId="5052E8AD" w:rsidR="00AD0E97" w:rsidRPr="00781112" w:rsidRDefault="00AD0E97" w:rsidP="00AD0E97">
            <w:pPr>
              <w:jc w:val="center"/>
              <w:rPr>
                <w:rFonts w:cs="Arial"/>
                <w:color w:val="000000" w:themeColor="text1"/>
                <w:szCs w:val="16"/>
              </w:rPr>
            </w:pPr>
            <w:r w:rsidRPr="00781112">
              <w:rPr>
                <w:rFonts w:cs="Arial"/>
                <w:color w:val="000000" w:themeColor="text1"/>
                <w:szCs w:val="16"/>
              </w:rPr>
              <w:t>Met target</w:t>
            </w:r>
          </w:p>
        </w:tc>
        <w:tc>
          <w:tcPr>
            <w:tcW w:w="501" w:type="pct"/>
            <w:shd w:val="clear" w:color="auto" w:fill="auto"/>
            <w:vAlign w:val="center"/>
          </w:tcPr>
          <w:p w14:paraId="16AA84BF" w14:textId="66A4BF3F" w:rsidR="00AD0E97" w:rsidRPr="00781112" w:rsidRDefault="00AD0E97" w:rsidP="00AD0E97">
            <w:pPr>
              <w:jc w:val="center"/>
              <w:rPr>
                <w:rFonts w:cs="Arial"/>
                <w:color w:val="000000" w:themeColor="text1"/>
                <w:szCs w:val="16"/>
              </w:rPr>
            </w:pPr>
            <w:r w:rsidRPr="00781112">
              <w:rPr>
                <w:rFonts w:cs="Arial"/>
                <w:color w:val="000000" w:themeColor="text1"/>
                <w:szCs w:val="16"/>
              </w:rPr>
              <w:t>No Slippage</w:t>
            </w:r>
          </w:p>
        </w:tc>
      </w:tr>
    </w:tbl>
    <w:p w14:paraId="6907CCA3" w14:textId="77777777" w:rsidR="00C04118" w:rsidRPr="00781112" w:rsidRDefault="00C04118" w:rsidP="002423F2">
      <w:pPr>
        <w:rPr>
          <w:rFonts w:cs="Arial"/>
          <w:iCs/>
          <w:color w:val="000000" w:themeColor="text1"/>
          <w:szCs w:val="16"/>
        </w:rPr>
      </w:pPr>
    </w:p>
    <w:p w14:paraId="1E0C977F" w14:textId="77777777" w:rsidR="005004AB" w:rsidRPr="00781112" w:rsidRDefault="005004AB" w:rsidP="005004AB">
      <w:pPr>
        <w:rPr>
          <w:color w:val="000000" w:themeColor="text1"/>
        </w:rPr>
      </w:pPr>
    </w:p>
    <w:p w14:paraId="324457C6" w14:textId="259C146E" w:rsidR="00497DE4" w:rsidRPr="00781112" w:rsidRDefault="0047313F" w:rsidP="004369B2">
      <w:pPr>
        <w:rPr>
          <w:b/>
          <w:color w:val="000000" w:themeColor="text1"/>
        </w:rPr>
      </w:pPr>
      <w:r>
        <w:rPr>
          <w:b/>
          <w:color w:val="000000" w:themeColor="text1"/>
        </w:rPr>
        <w:t>FFY 2022 SPP/APR Data: Math Assessment</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FFYAPRDATAMATHASS"/>
      </w:tblPr>
      <w:tblGrid>
        <w:gridCol w:w="481"/>
        <w:gridCol w:w="1048"/>
        <w:gridCol w:w="1932"/>
        <w:gridCol w:w="1932"/>
        <w:gridCol w:w="1078"/>
        <w:gridCol w:w="1078"/>
        <w:gridCol w:w="1078"/>
        <w:gridCol w:w="1078"/>
        <w:gridCol w:w="1076"/>
      </w:tblGrid>
      <w:tr w:rsidR="00FA33C9" w:rsidRPr="00781112" w14:paraId="1ECD1184" w14:textId="77777777" w:rsidTr="00242D8A">
        <w:trPr>
          <w:tblHeader/>
          <w:jc w:val="center"/>
        </w:trPr>
        <w:tc>
          <w:tcPr>
            <w:tcW w:w="223" w:type="pct"/>
            <w:shd w:val="clear" w:color="auto" w:fill="auto"/>
            <w:vAlign w:val="bottom"/>
          </w:tcPr>
          <w:p w14:paraId="2B938423" w14:textId="01A79B33" w:rsidR="00FA33C9" w:rsidRPr="00781112" w:rsidRDefault="00FA33C9" w:rsidP="00FA33C9">
            <w:pPr>
              <w:jc w:val="center"/>
              <w:rPr>
                <w:b/>
                <w:color w:val="000000" w:themeColor="text1"/>
              </w:rPr>
            </w:pPr>
            <w:r w:rsidRPr="00781112">
              <w:rPr>
                <w:b/>
                <w:color w:val="000000" w:themeColor="text1"/>
              </w:rPr>
              <w:t>Group</w:t>
            </w:r>
          </w:p>
        </w:tc>
        <w:tc>
          <w:tcPr>
            <w:tcW w:w="486" w:type="pct"/>
            <w:shd w:val="clear" w:color="auto" w:fill="auto"/>
            <w:vAlign w:val="bottom"/>
          </w:tcPr>
          <w:p w14:paraId="45BFCF3F" w14:textId="3F4AB58B" w:rsidR="00FA33C9" w:rsidRPr="00781112" w:rsidRDefault="00FA33C9" w:rsidP="00FA33C9">
            <w:pPr>
              <w:jc w:val="center"/>
              <w:rPr>
                <w:b/>
                <w:color w:val="000000" w:themeColor="text1"/>
              </w:rPr>
            </w:pPr>
            <w:r w:rsidRPr="00781112">
              <w:rPr>
                <w:b/>
                <w:color w:val="000000" w:themeColor="text1"/>
              </w:rPr>
              <w:t>Group Name</w:t>
            </w:r>
          </w:p>
        </w:tc>
        <w:tc>
          <w:tcPr>
            <w:tcW w:w="896" w:type="pct"/>
            <w:shd w:val="clear" w:color="auto" w:fill="auto"/>
          </w:tcPr>
          <w:p w14:paraId="5541073C" w14:textId="30C0F75E" w:rsidR="00FA33C9" w:rsidRPr="00781112" w:rsidRDefault="00FA33C9" w:rsidP="00FA33C9">
            <w:pPr>
              <w:jc w:val="center"/>
              <w:rPr>
                <w:b/>
                <w:color w:val="000000" w:themeColor="text1"/>
              </w:rPr>
            </w:pPr>
            <w:r w:rsidRPr="00781112">
              <w:rPr>
                <w:b/>
                <w:bCs/>
              </w:rPr>
              <w:t>Number of Children with IEPs Scoring At or Above Proficient Against Grade Level Academic Achievement Standards</w:t>
            </w:r>
          </w:p>
        </w:tc>
        <w:tc>
          <w:tcPr>
            <w:tcW w:w="896" w:type="pct"/>
            <w:shd w:val="clear" w:color="auto" w:fill="auto"/>
          </w:tcPr>
          <w:p w14:paraId="3ABF5E71" w14:textId="763F0C86" w:rsidR="00FA33C9" w:rsidRPr="00781112" w:rsidRDefault="00FA33C9" w:rsidP="00FA33C9">
            <w:pPr>
              <w:jc w:val="center"/>
              <w:rPr>
                <w:b/>
                <w:color w:val="000000" w:themeColor="text1"/>
              </w:rPr>
            </w:pPr>
            <w:r w:rsidRPr="00781112">
              <w:rPr>
                <w:b/>
                <w:bCs/>
              </w:rPr>
              <w:t>Number of Children with IEPs who Received a Valid Score and for whom a Proficiency Level was Assigned for the Regular Assessment</w:t>
            </w:r>
          </w:p>
        </w:tc>
        <w:tc>
          <w:tcPr>
            <w:tcW w:w="500" w:type="pct"/>
            <w:shd w:val="clear" w:color="auto" w:fill="auto"/>
            <w:vAlign w:val="bottom"/>
          </w:tcPr>
          <w:p w14:paraId="5A96E021" w14:textId="6FC88C16" w:rsidR="00FA33C9" w:rsidRPr="00073BD7" w:rsidRDefault="00FA33C9" w:rsidP="00FA33C9">
            <w:pPr>
              <w:jc w:val="center"/>
              <w:rPr>
                <w:b/>
                <w:bCs/>
                <w:color w:val="000000" w:themeColor="text1"/>
              </w:rPr>
            </w:pPr>
            <w:r w:rsidRPr="00073BD7">
              <w:rPr>
                <w:b/>
                <w:bCs/>
              </w:rPr>
              <w:t>FFY 2021 Data</w:t>
            </w:r>
          </w:p>
        </w:tc>
        <w:tc>
          <w:tcPr>
            <w:tcW w:w="500" w:type="pct"/>
            <w:shd w:val="clear" w:color="auto" w:fill="auto"/>
            <w:vAlign w:val="bottom"/>
          </w:tcPr>
          <w:p w14:paraId="69212BFA" w14:textId="7BB316CF" w:rsidR="00FA33C9" w:rsidRPr="00073BD7" w:rsidRDefault="00FA33C9" w:rsidP="00FA33C9">
            <w:pPr>
              <w:jc w:val="center"/>
              <w:rPr>
                <w:b/>
                <w:bCs/>
                <w:color w:val="000000" w:themeColor="text1"/>
              </w:rPr>
            </w:pPr>
            <w:r w:rsidRPr="00073BD7">
              <w:rPr>
                <w:b/>
                <w:bCs/>
              </w:rPr>
              <w:t>FFY 2022 Target</w:t>
            </w:r>
          </w:p>
        </w:tc>
        <w:tc>
          <w:tcPr>
            <w:tcW w:w="500" w:type="pct"/>
            <w:shd w:val="clear" w:color="auto" w:fill="auto"/>
            <w:vAlign w:val="bottom"/>
          </w:tcPr>
          <w:p w14:paraId="38A0F56E" w14:textId="207EF5EB" w:rsidR="00FA33C9" w:rsidRPr="00073BD7" w:rsidRDefault="00FA33C9" w:rsidP="00FA33C9">
            <w:pPr>
              <w:jc w:val="center"/>
              <w:rPr>
                <w:b/>
                <w:bCs/>
                <w:color w:val="000000" w:themeColor="text1"/>
              </w:rPr>
            </w:pPr>
            <w:r w:rsidRPr="00073BD7">
              <w:rPr>
                <w:b/>
                <w:bCs/>
              </w:rPr>
              <w:t>FFY 2022 Data</w:t>
            </w:r>
          </w:p>
        </w:tc>
        <w:tc>
          <w:tcPr>
            <w:tcW w:w="500" w:type="pct"/>
            <w:shd w:val="clear" w:color="auto" w:fill="auto"/>
            <w:vAlign w:val="bottom"/>
          </w:tcPr>
          <w:p w14:paraId="11F44E1D" w14:textId="39A61F57" w:rsidR="00FA33C9" w:rsidRPr="00781112" w:rsidRDefault="00FA33C9" w:rsidP="00FA33C9">
            <w:pPr>
              <w:jc w:val="center"/>
              <w:rPr>
                <w:b/>
                <w:color w:val="000000" w:themeColor="text1"/>
              </w:rPr>
            </w:pPr>
            <w:r w:rsidRPr="00781112">
              <w:rPr>
                <w:b/>
                <w:color w:val="000000" w:themeColor="text1"/>
              </w:rPr>
              <w:t>Status</w:t>
            </w:r>
          </w:p>
        </w:tc>
        <w:tc>
          <w:tcPr>
            <w:tcW w:w="499" w:type="pct"/>
            <w:shd w:val="clear" w:color="auto" w:fill="auto"/>
            <w:vAlign w:val="bottom"/>
          </w:tcPr>
          <w:p w14:paraId="64655725" w14:textId="350D326F" w:rsidR="00FA33C9" w:rsidRPr="00781112" w:rsidRDefault="00FA33C9" w:rsidP="00FA33C9">
            <w:pPr>
              <w:jc w:val="center"/>
              <w:rPr>
                <w:b/>
                <w:color w:val="000000" w:themeColor="text1"/>
              </w:rPr>
            </w:pPr>
            <w:r w:rsidRPr="00781112">
              <w:rPr>
                <w:b/>
                <w:color w:val="000000" w:themeColor="text1"/>
              </w:rPr>
              <w:t>Slippage</w:t>
            </w:r>
          </w:p>
        </w:tc>
      </w:tr>
      <w:tr w:rsidR="00242D8A" w:rsidRPr="00781112" w14:paraId="14220C43" w14:textId="77777777" w:rsidTr="00242D8A">
        <w:trPr>
          <w:jc w:val="center"/>
        </w:trPr>
        <w:tc>
          <w:tcPr>
            <w:tcW w:w="223" w:type="pct"/>
            <w:shd w:val="clear" w:color="auto" w:fill="auto"/>
            <w:vAlign w:val="center"/>
          </w:tcPr>
          <w:p w14:paraId="16A9CDD2" w14:textId="5DBA3D3A" w:rsidR="00242D8A" w:rsidRPr="00781112" w:rsidRDefault="00242D8A" w:rsidP="00242D8A">
            <w:pPr>
              <w:pStyle w:val="Default"/>
              <w:jc w:val="center"/>
              <w:rPr>
                <w:b/>
                <w:color w:val="000000" w:themeColor="text1"/>
                <w:sz w:val="16"/>
                <w:szCs w:val="16"/>
              </w:rPr>
            </w:pPr>
            <w:r w:rsidRPr="00781112">
              <w:rPr>
                <w:rFonts w:eastAsiaTheme="minorHAnsi"/>
                <w:b/>
                <w:color w:val="000000" w:themeColor="text1"/>
                <w:sz w:val="16"/>
                <w:szCs w:val="16"/>
              </w:rPr>
              <w:t>A</w:t>
            </w:r>
          </w:p>
        </w:tc>
        <w:tc>
          <w:tcPr>
            <w:tcW w:w="486" w:type="pct"/>
            <w:shd w:val="clear" w:color="auto" w:fill="auto"/>
            <w:vAlign w:val="center"/>
          </w:tcPr>
          <w:p w14:paraId="1392C443" w14:textId="646DC1A9" w:rsidR="00242D8A" w:rsidRPr="00781112" w:rsidDel="00DE5045" w:rsidRDefault="00242D8A" w:rsidP="00242D8A">
            <w:pPr>
              <w:jc w:val="center"/>
              <w:rPr>
                <w:rFonts w:cs="Arial"/>
                <w:color w:val="000000" w:themeColor="text1"/>
                <w:szCs w:val="16"/>
              </w:rPr>
            </w:pPr>
            <w:r w:rsidRPr="00781112">
              <w:rPr>
                <w:rFonts w:cs="Arial"/>
                <w:color w:val="000000" w:themeColor="text1"/>
                <w:szCs w:val="16"/>
              </w:rPr>
              <w:t>Grade 4</w:t>
            </w:r>
          </w:p>
        </w:tc>
        <w:tc>
          <w:tcPr>
            <w:tcW w:w="896" w:type="pct"/>
            <w:shd w:val="clear" w:color="auto" w:fill="auto"/>
            <w:vAlign w:val="center"/>
          </w:tcPr>
          <w:p w14:paraId="0B49B780" w14:textId="151DA31E" w:rsidR="00242D8A" w:rsidRPr="00781112" w:rsidRDefault="00242D8A" w:rsidP="00242D8A">
            <w:pPr>
              <w:jc w:val="center"/>
              <w:rPr>
                <w:rFonts w:cs="Arial"/>
                <w:color w:val="000000" w:themeColor="text1"/>
                <w:szCs w:val="16"/>
              </w:rPr>
            </w:pPr>
            <w:r w:rsidRPr="00781112">
              <w:rPr>
                <w:rFonts w:cs="Arial"/>
                <w:color w:val="000000" w:themeColor="text1"/>
                <w:szCs w:val="16"/>
              </w:rPr>
              <w:t>318</w:t>
            </w:r>
          </w:p>
        </w:tc>
        <w:tc>
          <w:tcPr>
            <w:tcW w:w="896" w:type="pct"/>
            <w:shd w:val="clear" w:color="auto" w:fill="auto"/>
            <w:vAlign w:val="center"/>
          </w:tcPr>
          <w:p w14:paraId="2611648C" w14:textId="77D930AD" w:rsidR="00242D8A" w:rsidRPr="00781112" w:rsidRDefault="00242D8A" w:rsidP="00242D8A">
            <w:pPr>
              <w:jc w:val="center"/>
              <w:rPr>
                <w:rFonts w:cs="Arial"/>
                <w:color w:val="000000" w:themeColor="text1"/>
                <w:szCs w:val="16"/>
              </w:rPr>
            </w:pPr>
            <w:r w:rsidRPr="00242D8A">
              <w:rPr>
                <w:rFonts w:cs="Arial"/>
                <w:color w:val="000000" w:themeColor="text1"/>
                <w:szCs w:val="16"/>
              </w:rPr>
              <w:t>4,200</w:t>
            </w:r>
          </w:p>
        </w:tc>
        <w:tc>
          <w:tcPr>
            <w:tcW w:w="500" w:type="pct"/>
            <w:shd w:val="clear" w:color="auto" w:fill="auto"/>
            <w:vAlign w:val="center"/>
          </w:tcPr>
          <w:p w14:paraId="044B076F" w14:textId="2D73EFD2" w:rsidR="00242D8A" w:rsidRPr="00781112" w:rsidRDefault="00242D8A" w:rsidP="00242D8A">
            <w:pPr>
              <w:jc w:val="center"/>
              <w:rPr>
                <w:rFonts w:cs="Arial"/>
                <w:color w:val="000000" w:themeColor="text1"/>
                <w:szCs w:val="16"/>
              </w:rPr>
            </w:pPr>
            <w:r w:rsidRPr="00781112">
              <w:rPr>
                <w:rFonts w:cs="Arial"/>
                <w:color w:val="000000" w:themeColor="text1"/>
                <w:szCs w:val="16"/>
              </w:rPr>
              <w:t>6.00%</w:t>
            </w:r>
          </w:p>
        </w:tc>
        <w:tc>
          <w:tcPr>
            <w:tcW w:w="500" w:type="pct"/>
            <w:shd w:val="clear" w:color="auto" w:fill="auto"/>
            <w:vAlign w:val="center"/>
          </w:tcPr>
          <w:p w14:paraId="4D68E61F" w14:textId="36DB0B83" w:rsidR="00242D8A" w:rsidRPr="00781112" w:rsidRDefault="00242D8A" w:rsidP="00242D8A">
            <w:pPr>
              <w:jc w:val="center"/>
              <w:rPr>
                <w:rFonts w:cs="Arial"/>
                <w:color w:val="000000" w:themeColor="text1"/>
                <w:szCs w:val="16"/>
              </w:rPr>
            </w:pPr>
            <w:r w:rsidRPr="00781112">
              <w:rPr>
                <w:rFonts w:cs="Arial"/>
                <w:color w:val="000000" w:themeColor="text1"/>
                <w:szCs w:val="16"/>
              </w:rPr>
              <w:t>6.41%</w:t>
            </w:r>
          </w:p>
        </w:tc>
        <w:tc>
          <w:tcPr>
            <w:tcW w:w="500" w:type="pct"/>
            <w:shd w:val="clear" w:color="auto" w:fill="auto"/>
            <w:vAlign w:val="center"/>
          </w:tcPr>
          <w:p w14:paraId="4C5100F6" w14:textId="23EB35C9" w:rsidR="00242D8A" w:rsidRPr="00781112" w:rsidRDefault="00242D8A" w:rsidP="00242D8A">
            <w:pPr>
              <w:jc w:val="center"/>
              <w:rPr>
                <w:rFonts w:cs="Arial"/>
                <w:color w:val="000000" w:themeColor="text1"/>
                <w:szCs w:val="16"/>
              </w:rPr>
            </w:pPr>
            <w:r w:rsidRPr="00781112">
              <w:rPr>
                <w:rFonts w:cs="Arial"/>
                <w:color w:val="000000" w:themeColor="text1"/>
                <w:szCs w:val="16"/>
              </w:rPr>
              <w:t>7.57%</w:t>
            </w:r>
          </w:p>
        </w:tc>
        <w:tc>
          <w:tcPr>
            <w:tcW w:w="500" w:type="pct"/>
            <w:shd w:val="clear" w:color="auto" w:fill="auto"/>
            <w:vAlign w:val="center"/>
          </w:tcPr>
          <w:p w14:paraId="5A9EC511" w14:textId="6D6B7DF8" w:rsidR="00242D8A" w:rsidRPr="00781112" w:rsidRDefault="00242D8A" w:rsidP="00242D8A">
            <w:pPr>
              <w:jc w:val="center"/>
              <w:rPr>
                <w:rFonts w:cs="Arial"/>
                <w:color w:val="000000" w:themeColor="text1"/>
                <w:szCs w:val="16"/>
              </w:rPr>
            </w:pPr>
            <w:r w:rsidRPr="00781112">
              <w:rPr>
                <w:rFonts w:cs="Arial"/>
                <w:color w:val="000000" w:themeColor="text1"/>
                <w:szCs w:val="16"/>
              </w:rPr>
              <w:t>Met target</w:t>
            </w:r>
          </w:p>
        </w:tc>
        <w:tc>
          <w:tcPr>
            <w:tcW w:w="499" w:type="pct"/>
            <w:shd w:val="clear" w:color="auto" w:fill="auto"/>
            <w:vAlign w:val="center"/>
          </w:tcPr>
          <w:p w14:paraId="17FB0601" w14:textId="6AA7FF5B" w:rsidR="00242D8A" w:rsidRPr="00781112" w:rsidRDefault="00242D8A" w:rsidP="00242D8A">
            <w:pPr>
              <w:jc w:val="center"/>
              <w:rPr>
                <w:rFonts w:cs="Arial"/>
                <w:color w:val="000000" w:themeColor="text1"/>
                <w:szCs w:val="16"/>
              </w:rPr>
            </w:pPr>
            <w:r w:rsidRPr="00781112">
              <w:rPr>
                <w:rFonts w:cs="Arial"/>
                <w:color w:val="000000" w:themeColor="text1"/>
                <w:szCs w:val="16"/>
              </w:rPr>
              <w:t>No Slippage</w:t>
            </w:r>
          </w:p>
        </w:tc>
      </w:tr>
      <w:tr w:rsidR="00242D8A" w:rsidRPr="00781112" w14:paraId="33C5CE6C" w14:textId="77777777" w:rsidTr="00242D8A">
        <w:trPr>
          <w:jc w:val="center"/>
        </w:trPr>
        <w:tc>
          <w:tcPr>
            <w:tcW w:w="223" w:type="pct"/>
            <w:shd w:val="clear" w:color="auto" w:fill="auto"/>
            <w:vAlign w:val="center"/>
          </w:tcPr>
          <w:p w14:paraId="17123B1B" w14:textId="50BB2C71" w:rsidR="00242D8A" w:rsidRPr="00781112" w:rsidRDefault="00242D8A" w:rsidP="00242D8A">
            <w:pPr>
              <w:pStyle w:val="Default"/>
              <w:jc w:val="center"/>
              <w:rPr>
                <w:b/>
                <w:color w:val="000000" w:themeColor="text1"/>
                <w:sz w:val="16"/>
                <w:szCs w:val="16"/>
              </w:rPr>
            </w:pPr>
            <w:r w:rsidRPr="00781112">
              <w:rPr>
                <w:b/>
                <w:color w:val="000000" w:themeColor="text1"/>
                <w:sz w:val="16"/>
                <w:szCs w:val="16"/>
              </w:rPr>
              <w:t>B</w:t>
            </w:r>
          </w:p>
        </w:tc>
        <w:tc>
          <w:tcPr>
            <w:tcW w:w="486" w:type="pct"/>
            <w:shd w:val="clear" w:color="auto" w:fill="auto"/>
            <w:vAlign w:val="center"/>
          </w:tcPr>
          <w:p w14:paraId="45DA42B4" w14:textId="04F51E55" w:rsidR="00242D8A" w:rsidRPr="00781112" w:rsidDel="00DE5045" w:rsidRDefault="00242D8A" w:rsidP="00242D8A">
            <w:pPr>
              <w:jc w:val="center"/>
              <w:rPr>
                <w:rFonts w:cs="Arial"/>
                <w:color w:val="000000" w:themeColor="text1"/>
                <w:szCs w:val="16"/>
              </w:rPr>
            </w:pPr>
            <w:r w:rsidRPr="00781112">
              <w:rPr>
                <w:rFonts w:cs="Arial"/>
                <w:color w:val="000000" w:themeColor="text1"/>
                <w:szCs w:val="16"/>
              </w:rPr>
              <w:t>Grade 8</w:t>
            </w:r>
          </w:p>
        </w:tc>
        <w:tc>
          <w:tcPr>
            <w:tcW w:w="896" w:type="pct"/>
            <w:shd w:val="clear" w:color="auto" w:fill="auto"/>
            <w:vAlign w:val="center"/>
          </w:tcPr>
          <w:p w14:paraId="31722F1C" w14:textId="2D076448" w:rsidR="00242D8A" w:rsidRPr="00781112" w:rsidRDefault="00242D8A" w:rsidP="00242D8A">
            <w:pPr>
              <w:jc w:val="center"/>
              <w:rPr>
                <w:rFonts w:cs="Arial"/>
                <w:color w:val="000000" w:themeColor="text1"/>
                <w:szCs w:val="16"/>
              </w:rPr>
            </w:pPr>
            <w:r w:rsidRPr="00781112">
              <w:rPr>
                <w:rFonts w:cs="Arial"/>
                <w:color w:val="000000" w:themeColor="text1"/>
                <w:szCs w:val="16"/>
              </w:rPr>
              <w:t>131</w:t>
            </w:r>
          </w:p>
        </w:tc>
        <w:tc>
          <w:tcPr>
            <w:tcW w:w="896" w:type="pct"/>
            <w:shd w:val="clear" w:color="auto" w:fill="auto"/>
            <w:vAlign w:val="center"/>
          </w:tcPr>
          <w:p w14:paraId="048616C6" w14:textId="622D5B53" w:rsidR="00242D8A" w:rsidRPr="00781112" w:rsidRDefault="00242D8A" w:rsidP="00242D8A">
            <w:pPr>
              <w:jc w:val="center"/>
              <w:rPr>
                <w:rFonts w:cs="Arial"/>
                <w:color w:val="000000" w:themeColor="text1"/>
                <w:szCs w:val="16"/>
              </w:rPr>
            </w:pPr>
            <w:r w:rsidRPr="00242D8A">
              <w:rPr>
                <w:rFonts w:cs="Arial"/>
                <w:color w:val="000000" w:themeColor="text1"/>
                <w:szCs w:val="16"/>
              </w:rPr>
              <w:t>3,959</w:t>
            </w:r>
          </w:p>
        </w:tc>
        <w:tc>
          <w:tcPr>
            <w:tcW w:w="500" w:type="pct"/>
            <w:shd w:val="clear" w:color="auto" w:fill="auto"/>
            <w:vAlign w:val="center"/>
          </w:tcPr>
          <w:p w14:paraId="272455FD" w14:textId="25614537" w:rsidR="00242D8A" w:rsidRPr="00781112" w:rsidRDefault="00242D8A" w:rsidP="00242D8A">
            <w:pPr>
              <w:jc w:val="center"/>
              <w:rPr>
                <w:rFonts w:cs="Arial"/>
                <w:color w:val="000000" w:themeColor="text1"/>
                <w:szCs w:val="16"/>
              </w:rPr>
            </w:pPr>
            <w:r w:rsidRPr="00781112">
              <w:rPr>
                <w:rFonts w:cs="Arial"/>
                <w:color w:val="000000" w:themeColor="text1"/>
                <w:szCs w:val="16"/>
              </w:rPr>
              <w:t>2.84%</w:t>
            </w:r>
          </w:p>
        </w:tc>
        <w:tc>
          <w:tcPr>
            <w:tcW w:w="500" w:type="pct"/>
            <w:shd w:val="clear" w:color="auto" w:fill="auto"/>
            <w:vAlign w:val="center"/>
          </w:tcPr>
          <w:p w14:paraId="38039D42" w14:textId="45468742" w:rsidR="00242D8A" w:rsidRPr="00781112" w:rsidRDefault="00242D8A" w:rsidP="00242D8A">
            <w:pPr>
              <w:jc w:val="center"/>
              <w:rPr>
                <w:rFonts w:cs="Arial"/>
                <w:color w:val="000000" w:themeColor="text1"/>
                <w:szCs w:val="16"/>
              </w:rPr>
            </w:pPr>
            <w:r w:rsidRPr="00781112">
              <w:rPr>
                <w:rFonts w:cs="Arial"/>
                <w:color w:val="000000" w:themeColor="text1"/>
                <w:szCs w:val="16"/>
              </w:rPr>
              <w:t>3.25%</w:t>
            </w:r>
          </w:p>
        </w:tc>
        <w:tc>
          <w:tcPr>
            <w:tcW w:w="500" w:type="pct"/>
            <w:shd w:val="clear" w:color="auto" w:fill="auto"/>
            <w:vAlign w:val="center"/>
          </w:tcPr>
          <w:p w14:paraId="7DB4B85A" w14:textId="6DFB205A" w:rsidR="00242D8A" w:rsidRPr="00781112" w:rsidRDefault="00242D8A" w:rsidP="00242D8A">
            <w:pPr>
              <w:jc w:val="center"/>
              <w:rPr>
                <w:rFonts w:cs="Arial"/>
                <w:color w:val="000000" w:themeColor="text1"/>
                <w:szCs w:val="16"/>
              </w:rPr>
            </w:pPr>
            <w:r w:rsidRPr="00781112">
              <w:rPr>
                <w:rFonts w:cs="Arial"/>
                <w:color w:val="000000" w:themeColor="text1"/>
                <w:szCs w:val="16"/>
              </w:rPr>
              <w:t>3.31%</w:t>
            </w:r>
          </w:p>
        </w:tc>
        <w:tc>
          <w:tcPr>
            <w:tcW w:w="500" w:type="pct"/>
            <w:shd w:val="clear" w:color="auto" w:fill="auto"/>
            <w:vAlign w:val="center"/>
          </w:tcPr>
          <w:p w14:paraId="19114A8F" w14:textId="4F4B3C10" w:rsidR="00242D8A" w:rsidRPr="00781112" w:rsidRDefault="00242D8A" w:rsidP="00242D8A">
            <w:pPr>
              <w:jc w:val="center"/>
              <w:rPr>
                <w:rFonts w:cs="Arial"/>
                <w:color w:val="000000" w:themeColor="text1"/>
                <w:szCs w:val="16"/>
              </w:rPr>
            </w:pPr>
            <w:r w:rsidRPr="00781112">
              <w:rPr>
                <w:rFonts w:cs="Arial"/>
                <w:color w:val="000000" w:themeColor="text1"/>
                <w:szCs w:val="16"/>
              </w:rPr>
              <w:t>Met target</w:t>
            </w:r>
          </w:p>
        </w:tc>
        <w:tc>
          <w:tcPr>
            <w:tcW w:w="499" w:type="pct"/>
            <w:shd w:val="clear" w:color="auto" w:fill="auto"/>
            <w:vAlign w:val="center"/>
          </w:tcPr>
          <w:p w14:paraId="47661F26" w14:textId="727C9546" w:rsidR="00242D8A" w:rsidRPr="00781112" w:rsidRDefault="00242D8A" w:rsidP="00242D8A">
            <w:pPr>
              <w:jc w:val="center"/>
              <w:rPr>
                <w:rFonts w:cs="Arial"/>
                <w:color w:val="000000" w:themeColor="text1"/>
                <w:szCs w:val="16"/>
              </w:rPr>
            </w:pPr>
            <w:r w:rsidRPr="00781112">
              <w:rPr>
                <w:rFonts w:cs="Arial"/>
                <w:color w:val="000000" w:themeColor="text1"/>
                <w:szCs w:val="16"/>
              </w:rPr>
              <w:t>No Slippage</w:t>
            </w:r>
          </w:p>
        </w:tc>
      </w:tr>
      <w:tr w:rsidR="00242D8A" w:rsidRPr="00781112" w14:paraId="573A5711" w14:textId="77777777" w:rsidTr="00242D8A">
        <w:trPr>
          <w:jc w:val="center"/>
        </w:trPr>
        <w:tc>
          <w:tcPr>
            <w:tcW w:w="223" w:type="pct"/>
            <w:shd w:val="clear" w:color="auto" w:fill="auto"/>
            <w:vAlign w:val="center"/>
          </w:tcPr>
          <w:p w14:paraId="3C25BE15" w14:textId="77777777" w:rsidR="00242D8A" w:rsidRPr="00781112" w:rsidRDefault="00242D8A" w:rsidP="00242D8A">
            <w:pPr>
              <w:pStyle w:val="Default"/>
              <w:jc w:val="center"/>
              <w:rPr>
                <w:rFonts w:eastAsiaTheme="minorHAnsi"/>
                <w:color w:val="000000" w:themeColor="text1"/>
                <w:sz w:val="16"/>
                <w:szCs w:val="16"/>
              </w:rPr>
            </w:pPr>
            <w:r w:rsidRPr="00781112">
              <w:rPr>
                <w:b/>
                <w:color w:val="000000" w:themeColor="text1"/>
                <w:sz w:val="16"/>
                <w:szCs w:val="16"/>
              </w:rPr>
              <w:t>C</w:t>
            </w:r>
          </w:p>
        </w:tc>
        <w:tc>
          <w:tcPr>
            <w:tcW w:w="486" w:type="pct"/>
            <w:shd w:val="clear" w:color="auto" w:fill="auto"/>
            <w:vAlign w:val="center"/>
          </w:tcPr>
          <w:p w14:paraId="1B1F6BC3" w14:textId="7816ECC7" w:rsidR="00242D8A" w:rsidRPr="00781112" w:rsidDel="00DE5045" w:rsidRDefault="00242D8A" w:rsidP="00242D8A">
            <w:pPr>
              <w:jc w:val="center"/>
              <w:rPr>
                <w:rFonts w:cs="Arial"/>
                <w:color w:val="000000" w:themeColor="text1"/>
                <w:szCs w:val="16"/>
              </w:rPr>
            </w:pPr>
            <w:r w:rsidRPr="00781112">
              <w:rPr>
                <w:rFonts w:cs="Arial"/>
                <w:color w:val="000000" w:themeColor="text1"/>
                <w:szCs w:val="16"/>
              </w:rPr>
              <w:t>Grade HS</w:t>
            </w:r>
          </w:p>
        </w:tc>
        <w:tc>
          <w:tcPr>
            <w:tcW w:w="896" w:type="pct"/>
            <w:shd w:val="clear" w:color="auto" w:fill="auto"/>
            <w:vAlign w:val="center"/>
          </w:tcPr>
          <w:p w14:paraId="0EFA1043" w14:textId="0F9EE258" w:rsidR="00242D8A" w:rsidRPr="00781112" w:rsidRDefault="00242D8A" w:rsidP="00242D8A">
            <w:pPr>
              <w:jc w:val="center"/>
              <w:rPr>
                <w:rFonts w:cs="Arial"/>
                <w:color w:val="000000" w:themeColor="text1"/>
                <w:szCs w:val="16"/>
              </w:rPr>
            </w:pPr>
            <w:r w:rsidRPr="00781112">
              <w:rPr>
                <w:rFonts w:cs="Arial"/>
                <w:color w:val="000000" w:themeColor="text1"/>
                <w:szCs w:val="16"/>
              </w:rPr>
              <w:t>55</w:t>
            </w:r>
          </w:p>
        </w:tc>
        <w:tc>
          <w:tcPr>
            <w:tcW w:w="896" w:type="pct"/>
            <w:shd w:val="clear" w:color="auto" w:fill="auto"/>
            <w:vAlign w:val="center"/>
          </w:tcPr>
          <w:p w14:paraId="2A4E8BA5" w14:textId="01157060" w:rsidR="00242D8A" w:rsidRPr="00781112" w:rsidRDefault="00242D8A" w:rsidP="00242D8A">
            <w:pPr>
              <w:jc w:val="center"/>
              <w:rPr>
                <w:rFonts w:cs="Arial"/>
                <w:color w:val="000000" w:themeColor="text1"/>
                <w:szCs w:val="16"/>
              </w:rPr>
            </w:pPr>
            <w:r w:rsidRPr="00242D8A">
              <w:rPr>
                <w:rFonts w:cs="Arial"/>
                <w:color w:val="000000" w:themeColor="text1"/>
                <w:szCs w:val="16"/>
              </w:rPr>
              <w:t>2,644</w:t>
            </w:r>
          </w:p>
        </w:tc>
        <w:tc>
          <w:tcPr>
            <w:tcW w:w="500" w:type="pct"/>
            <w:shd w:val="clear" w:color="auto" w:fill="auto"/>
            <w:vAlign w:val="center"/>
          </w:tcPr>
          <w:p w14:paraId="2250005A" w14:textId="360EA34B" w:rsidR="00242D8A" w:rsidRPr="00781112" w:rsidRDefault="00242D8A" w:rsidP="00242D8A">
            <w:pPr>
              <w:jc w:val="center"/>
              <w:rPr>
                <w:rFonts w:cs="Arial"/>
                <w:color w:val="000000" w:themeColor="text1"/>
                <w:szCs w:val="16"/>
              </w:rPr>
            </w:pPr>
            <w:r w:rsidRPr="00781112">
              <w:rPr>
                <w:rFonts w:cs="Arial"/>
                <w:color w:val="000000" w:themeColor="text1"/>
                <w:szCs w:val="16"/>
              </w:rPr>
              <w:t>1.93%</w:t>
            </w:r>
          </w:p>
        </w:tc>
        <w:tc>
          <w:tcPr>
            <w:tcW w:w="500" w:type="pct"/>
            <w:shd w:val="clear" w:color="auto" w:fill="auto"/>
            <w:vAlign w:val="center"/>
          </w:tcPr>
          <w:p w14:paraId="722A3424" w14:textId="24478E1D" w:rsidR="00242D8A" w:rsidRPr="00781112" w:rsidRDefault="00242D8A" w:rsidP="00242D8A">
            <w:pPr>
              <w:jc w:val="center"/>
              <w:rPr>
                <w:rFonts w:cs="Arial"/>
                <w:color w:val="000000" w:themeColor="text1"/>
                <w:szCs w:val="16"/>
              </w:rPr>
            </w:pPr>
            <w:r w:rsidRPr="00781112">
              <w:rPr>
                <w:rFonts w:cs="Arial"/>
                <w:color w:val="000000" w:themeColor="text1"/>
                <w:szCs w:val="16"/>
              </w:rPr>
              <w:t>2.40%</w:t>
            </w:r>
          </w:p>
        </w:tc>
        <w:tc>
          <w:tcPr>
            <w:tcW w:w="500" w:type="pct"/>
            <w:shd w:val="clear" w:color="auto" w:fill="auto"/>
            <w:vAlign w:val="center"/>
          </w:tcPr>
          <w:p w14:paraId="581F32CD" w14:textId="4D615B60" w:rsidR="00242D8A" w:rsidRPr="00781112" w:rsidRDefault="00242D8A" w:rsidP="00242D8A">
            <w:pPr>
              <w:jc w:val="center"/>
              <w:rPr>
                <w:rFonts w:cs="Arial"/>
                <w:color w:val="000000" w:themeColor="text1"/>
                <w:szCs w:val="16"/>
              </w:rPr>
            </w:pPr>
            <w:r w:rsidRPr="00781112">
              <w:rPr>
                <w:rFonts w:cs="Arial"/>
                <w:color w:val="000000" w:themeColor="text1"/>
                <w:szCs w:val="16"/>
              </w:rPr>
              <w:t>2.08%</w:t>
            </w:r>
          </w:p>
        </w:tc>
        <w:tc>
          <w:tcPr>
            <w:tcW w:w="500" w:type="pct"/>
            <w:shd w:val="clear" w:color="auto" w:fill="auto"/>
            <w:vAlign w:val="center"/>
          </w:tcPr>
          <w:p w14:paraId="3FECC7B3" w14:textId="2C921A8F" w:rsidR="00242D8A" w:rsidRPr="00781112" w:rsidRDefault="00242D8A" w:rsidP="00242D8A">
            <w:pPr>
              <w:jc w:val="center"/>
              <w:rPr>
                <w:rFonts w:cs="Arial"/>
                <w:color w:val="000000" w:themeColor="text1"/>
                <w:szCs w:val="16"/>
              </w:rPr>
            </w:pPr>
            <w:r w:rsidRPr="00781112">
              <w:rPr>
                <w:rFonts w:cs="Arial"/>
                <w:color w:val="000000" w:themeColor="text1"/>
                <w:szCs w:val="16"/>
              </w:rPr>
              <w:t>Did not meet target</w:t>
            </w:r>
          </w:p>
        </w:tc>
        <w:tc>
          <w:tcPr>
            <w:tcW w:w="499" w:type="pct"/>
            <w:shd w:val="clear" w:color="auto" w:fill="auto"/>
            <w:vAlign w:val="center"/>
          </w:tcPr>
          <w:p w14:paraId="79B60713" w14:textId="20FD7180" w:rsidR="00242D8A" w:rsidRPr="00781112" w:rsidRDefault="00242D8A" w:rsidP="00242D8A">
            <w:pPr>
              <w:jc w:val="center"/>
              <w:rPr>
                <w:rFonts w:cs="Arial"/>
                <w:color w:val="000000" w:themeColor="text1"/>
                <w:szCs w:val="16"/>
              </w:rPr>
            </w:pPr>
            <w:r w:rsidRPr="00781112">
              <w:rPr>
                <w:rFonts w:cs="Arial"/>
                <w:color w:val="000000" w:themeColor="text1"/>
                <w:szCs w:val="16"/>
              </w:rPr>
              <w:t>No Slippage</w:t>
            </w:r>
          </w:p>
        </w:tc>
      </w:tr>
    </w:tbl>
    <w:p w14:paraId="197C30C8" w14:textId="77777777" w:rsidR="00CF57A2" w:rsidRPr="00781112" w:rsidRDefault="00CF57A2" w:rsidP="00580134">
      <w:pPr>
        <w:rPr>
          <w:rFonts w:cs="Arial"/>
          <w:iCs/>
          <w:color w:val="000000" w:themeColor="text1"/>
          <w:szCs w:val="16"/>
        </w:rPr>
      </w:pPr>
    </w:p>
    <w:p w14:paraId="491BF673" w14:textId="01A5E679" w:rsidR="00140972" w:rsidRDefault="00140972">
      <w:pPr>
        <w:spacing w:before="0" w:after="200" w:line="276" w:lineRule="auto"/>
        <w:rPr>
          <w:color w:val="000000" w:themeColor="text1"/>
        </w:rPr>
      </w:pPr>
      <w:r>
        <w:rPr>
          <w:color w:val="000000" w:themeColor="text1"/>
        </w:rPr>
        <w:br w:type="page"/>
      </w:r>
    </w:p>
    <w:p w14:paraId="548763BB" w14:textId="77777777" w:rsidR="00585959" w:rsidRPr="00781112" w:rsidRDefault="00585959" w:rsidP="005004AB">
      <w:pPr>
        <w:rPr>
          <w:color w:val="000000" w:themeColor="text1"/>
        </w:rPr>
      </w:pPr>
    </w:p>
    <w:p w14:paraId="3D6382E8" w14:textId="3FF585D4" w:rsidR="00497DE4" w:rsidRPr="00781112" w:rsidRDefault="00497DE4" w:rsidP="004369B2">
      <w:pPr>
        <w:rPr>
          <w:color w:val="000000" w:themeColor="text1"/>
        </w:rPr>
      </w:pPr>
      <w:r w:rsidRPr="00781112">
        <w:rPr>
          <w:b/>
          <w:color w:val="000000" w:themeColor="text1"/>
        </w:rPr>
        <w:t>Regulatory Information</w:t>
      </w:r>
    </w:p>
    <w:p w14:paraId="3C6B4961" w14:textId="47AFDEDF" w:rsidR="00497DE4" w:rsidRPr="00781112" w:rsidRDefault="00A14B5D" w:rsidP="00552927">
      <w:pPr>
        <w:rPr>
          <w:rFonts w:cs="Arial"/>
          <w:b/>
          <w:color w:val="000000" w:themeColor="text1"/>
          <w:szCs w:val="16"/>
          <w:shd w:val="clear" w:color="auto" w:fill="FFFFFF"/>
        </w:rPr>
      </w:pPr>
      <w:r w:rsidRPr="00781112">
        <w:rPr>
          <w:rFonts w:cs="Arial"/>
          <w:b/>
          <w:color w:val="000000" w:themeColor="text1"/>
          <w:szCs w:val="16"/>
        </w:rPr>
        <w:t>The SEA, (or, in the case of a district-wide assessment, LEA) must make available to the public, and report to the public with the same frequency and in the same detail as it reports on the assessment of nondisabled children: (1) the number of children with disabilities participating in: (a) regular assessments, and the number of those children who were provided accommodations in order to participate in those assessments; and (b) alternate assessments aligned with alternate achievement standards; and (2) the performance of children with disabilities on regular assessments and on alternate assessments, compared with the achievement of all children, including children with disabilities, on those assessments. [20 U.S.C. 1412 (a)(16)(D); 34 CFR §300.160(f)]</w:t>
      </w:r>
      <w:r w:rsidR="00497DE4" w:rsidRPr="00781112">
        <w:rPr>
          <w:rFonts w:cs="Arial"/>
          <w:b/>
          <w:color w:val="000000" w:themeColor="text1"/>
          <w:szCs w:val="16"/>
          <w:shd w:val="clear" w:color="auto" w:fill="FFFFFF"/>
        </w:rPr>
        <w:t xml:space="preserve"> </w:t>
      </w:r>
    </w:p>
    <w:p w14:paraId="0071F535" w14:textId="77777777" w:rsidR="00585959" w:rsidRPr="00781112" w:rsidRDefault="00585959" w:rsidP="004369B2">
      <w:pPr>
        <w:rPr>
          <w:color w:val="000000" w:themeColor="text1"/>
        </w:rPr>
      </w:pPr>
    </w:p>
    <w:p w14:paraId="36CE185D" w14:textId="50CA6AD9" w:rsidR="000A5A2E" w:rsidRPr="00781112" w:rsidRDefault="000A5A2E" w:rsidP="004369B2">
      <w:pPr>
        <w:rPr>
          <w:color w:val="000000" w:themeColor="text1"/>
        </w:rPr>
      </w:pPr>
      <w:r w:rsidRPr="00781112">
        <w:rPr>
          <w:b/>
          <w:color w:val="000000" w:themeColor="text1"/>
        </w:rPr>
        <w:t>Public Reporting Information</w:t>
      </w:r>
    </w:p>
    <w:p w14:paraId="09EDA537" w14:textId="77777777" w:rsidR="00E539AB" w:rsidRPr="00781112" w:rsidRDefault="00E539AB" w:rsidP="00E539AB">
      <w:pPr>
        <w:rPr>
          <w:rFonts w:cs="Arial"/>
          <w:b/>
          <w:color w:val="000000" w:themeColor="text1"/>
          <w:szCs w:val="16"/>
        </w:rPr>
      </w:pPr>
      <w:r w:rsidRPr="00781112">
        <w:rPr>
          <w:rFonts w:cs="Arial"/>
          <w:b/>
          <w:color w:val="000000" w:themeColor="text1"/>
          <w:szCs w:val="16"/>
        </w:rPr>
        <w:t xml:space="preserve">Provide links to the page(s) where you provide public reports of assessment results. </w:t>
      </w:r>
    </w:p>
    <w:p w14:paraId="111DD1A5" w14:textId="0E809EBD" w:rsidR="00A869E9" w:rsidRPr="00781112" w:rsidRDefault="002B7490" w:rsidP="00E539AB">
      <w:pPr>
        <w:rPr>
          <w:rFonts w:cs="Arial"/>
          <w:color w:val="000000" w:themeColor="text1"/>
          <w:szCs w:val="16"/>
        </w:rPr>
      </w:pPr>
      <w:r w:rsidRPr="00781112">
        <w:rPr>
          <w:rFonts w:cs="Arial"/>
          <w:color w:val="000000" w:themeColor="text1"/>
          <w:szCs w:val="16"/>
        </w:rPr>
        <w:t>Public reports for assessment results can be found at:  https://webnew.ped.state.nm.us/bureaus/special-education/district-data/.</w:t>
      </w:r>
    </w:p>
    <w:p w14:paraId="2BE473B4" w14:textId="77777777" w:rsidR="00053391" w:rsidRPr="00781112" w:rsidRDefault="00053391" w:rsidP="004369B2">
      <w:pPr>
        <w:rPr>
          <w:b/>
          <w:color w:val="000000" w:themeColor="text1"/>
        </w:rPr>
      </w:pPr>
      <w:bookmarkStart w:id="18" w:name="_Toc382082367"/>
      <w:bookmarkStart w:id="19" w:name="_Toc392159276"/>
      <w:r w:rsidRPr="00781112">
        <w:rPr>
          <w:b/>
          <w:color w:val="000000" w:themeColor="text1"/>
        </w:rPr>
        <w:t>Provide additional information about this indicator (optional)</w:t>
      </w:r>
    </w:p>
    <w:p w14:paraId="3E9E8793" w14:textId="126D5C73" w:rsidR="00A869E9" w:rsidRPr="00781112" w:rsidRDefault="002B7490" w:rsidP="000E33D0">
      <w:pPr>
        <w:rPr>
          <w:rFonts w:cs="Arial"/>
          <w:color w:val="000000" w:themeColor="text1"/>
          <w:szCs w:val="16"/>
        </w:rPr>
      </w:pPr>
      <w:r w:rsidRPr="00781112">
        <w:rPr>
          <w:rFonts w:cs="Arial"/>
          <w:color w:val="000000" w:themeColor="text1"/>
          <w:szCs w:val="16"/>
        </w:rPr>
        <w:t/>
      </w:r>
    </w:p>
    <w:p w14:paraId="7E90E47A" w14:textId="1FCF2660" w:rsidR="000A2C83" w:rsidRPr="00781112" w:rsidRDefault="00573F6C" w:rsidP="008645AD">
      <w:pPr>
        <w:pStyle w:val="Heading2"/>
      </w:pPr>
      <w:r w:rsidRPr="00781112">
        <w:t>3B</w:t>
      </w:r>
      <w:r w:rsidR="00BB4FD7" w:rsidRPr="00781112">
        <w:t xml:space="preserve"> </w:t>
      </w:r>
      <w:r w:rsidRPr="00781112">
        <w:t xml:space="preserve">- </w:t>
      </w:r>
      <w:r w:rsidR="000A2C83" w:rsidRPr="00781112">
        <w:t>Prior FFY Required Actions</w:t>
      </w:r>
    </w:p>
    <w:p w14:paraId="020116A7" w14:textId="30989224" w:rsidR="00CA1E5A" w:rsidRPr="00781112" w:rsidRDefault="002B7490" w:rsidP="000A2C83">
      <w:pPr>
        <w:rPr>
          <w:rFonts w:cs="Arial"/>
          <w:color w:val="000000" w:themeColor="text1"/>
          <w:szCs w:val="16"/>
        </w:rPr>
      </w:pPr>
      <w:r w:rsidRPr="00781112">
        <w:rPr>
          <w:rFonts w:cs="Arial"/>
          <w:color w:val="000000" w:themeColor="text1"/>
          <w:szCs w:val="16"/>
        </w:rPr>
        <w:t>None</w:t>
      </w:r>
    </w:p>
    <w:p w14:paraId="40E83F51" w14:textId="68FFF50F" w:rsidR="00053391" w:rsidRPr="00781112" w:rsidRDefault="00573F6C" w:rsidP="008645AD">
      <w:pPr>
        <w:pStyle w:val="Heading2"/>
      </w:pPr>
      <w:r w:rsidRPr="00781112">
        <w:t>3B - OSEP Response</w:t>
      </w:r>
    </w:p>
    <w:p w14:paraId="3ED35024" w14:textId="0A8D2725" w:rsidR="00A869E9" w:rsidRPr="00781112" w:rsidRDefault="002B7490" w:rsidP="001F692C">
      <w:pPr>
        <w:rPr>
          <w:rFonts w:cs="Arial"/>
          <w:color w:val="000000" w:themeColor="text1"/>
          <w:szCs w:val="16"/>
        </w:rPr>
      </w:pPr>
      <w:r w:rsidRPr="00781112">
        <w:rPr>
          <w:rFonts w:cs="Arial"/>
          <w:color w:val="000000" w:themeColor="text1"/>
          <w:szCs w:val="16"/>
          <w:shd w:val="clear" w:color="auto" w:fill="FFFFFF"/>
        </w:rPr>
        <w:t>
</w:t>
      </w:r>
    </w:p>
    <w:p w14:paraId="4E98DE68" w14:textId="3E692587" w:rsidR="00053391" w:rsidRPr="00781112" w:rsidRDefault="00573F6C" w:rsidP="008645AD">
      <w:pPr>
        <w:pStyle w:val="Heading2"/>
      </w:pPr>
      <w:r w:rsidRPr="00781112">
        <w:t>3B - Required Actions</w:t>
      </w:r>
    </w:p>
    <w:p w14:paraId="54E3AE73" w14:textId="681577C9" w:rsidR="00A869E9" w:rsidRPr="00781112" w:rsidRDefault="002B7490" w:rsidP="001F692C">
      <w:pPr>
        <w:rPr>
          <w:rFonts w:cs="Arial"/>
          <w:color w:val="000000" w:themeColor="text1"/>
          <w:szCs w:val="16"/>
        </w:rPr>
      </w:pPr>
      <w:r w:rsidRPr="00781112">
        <w:rPr>
          <w:rFonts w:cs="Arial"/>
          <w:color w:val="000000" w:themeColor="text1"/>
          <w:szCs w:val="16"/>
          <w:shd w:val="clear" w:color="auto" w:fill="FFFFFF"/>
        </w:rPr>
        <w:t/>
      </w:r>
    </w:p>
    <w:p w14:paraId="4DBC1CB9" w14:textId="77777777" w:rsidR="00D37BF0" w:rsidRPr="00781112" w:rsidRDefault="00D37BF0">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162E86A4" w14:textId="6BD07048" w:rsidR="009D378C" w:rsidRPr="00781112" w:rsidRDefault="009D378C">
      <w:pPr>
        <w:pStyle w:val="Heading1"/>
        <w:rPr>
          <w:color w:val="000000" w:themeColor="text1"/>
          <w:sz w:val="22"/>
        </w:rPr>
      </w:pPr>
      <w:r w:rsidRPr="00781112">
        <w:rPr>
          <w:color w:val="000000" w:themeColor="text1"/>
          <w:sz w:val="22"/>
        </w:rPr>
        <w:lastRenderedPageBreak/>
        <w:t>Indicator 3C: Proficiency for Children with IEPs (Alternate Academic Achievement Standards)</w:t>
      </w:r>
      <w:bookmarkEnd w:id="18"/>
      <w:bookmarkEnd w:id="19"/>
    </w:p>
    <w:p w14:paraId="52EFBCBE" w14:textId="26DA486B" w:rsidR="008878CC" w:rsidRPr="00781112" w:rsidRDefault="008878CC" w:rsidP="00A018D4">
      <w:pPr>
        <w:rPr>
          <w:color w:val="000000" w:themeColor="text1"/>
          <w:szCs w:val="20"/>
        </w:rPr>
      </w:pPr>
      <w:r w:rsidRPr="00781112">
        <w:rPr>
          <w:b/>
          <w:color w:val="000000" w:themeColor="text1"/>
          <w:sz w:val="20"/>
          <w:szCs w:val="20"/>
        </w:rPr>
        <w:t xml:space="preserve">Instructions and Measurement </w:t>
      </w:r>
    </w:p>
    <w:p w14:paraId="241F1C78" w14:textId="77777777" w:rsidR="000A5A2E" w:rsidRPr="00781112" w:rsidRDefault="000A5A2E" w:rsidP="004369B2">
      <w:pPr>
        <w:rPr>
          <w:color w:val="000000" w:themeColor="text1"/>
        </w:rPr>
      </w:pPr>
      <w:bookmarkStart w:id="20" w:name="_Toc384383330"/>
      <w:bookmarkStart w:id="21" w:name="_Toc392159282"/>
      <w:bookmarkStart w:id="22" w:name="_Toc382082372"/>
      <w:r w:rsidRPr="00781112">
        <w:rPr>
          <w:b/>
          <w:color w:val="000000" w:themeColor="text1"/>
        </w:rPr>
        <w:t xml:space="preserve">Monitoring Priority: </w:t>
      </w:r>
      <w:r w:rsidRPr="00781112">
        <w:rPr>
          <w:color w:val="000000" w:themeColor="text1"/>
        </w:rPr>
        <w:t>FAPE in the LRE</w:t>
      </w:r>
    </w:p>
    <w:p w14:paraId="40B194E0" w14:textId="1AA1580D" w:rsidR="000A5A2E" w:rsidRPr="00781112" w:rsidRDefault="000A5A2E" w:rsidP="00552927">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Participation and performance </w:t>
      </w:r>
      <w:r w:rsidR="00DA7FAE" w:rsidRPr="00781112">
        <w:rPr>
          <w:rFonts w:cs="Arial"/>
          <w:color w:val="000000" w:themeColor="text1"/>
          <w:szCs w:val="16"/>
        </w:rPr>
        <w:t xml:space="preserve">of </w:t>
      </w:r>
      <w:r w:rsidRPr="00781112">
        <w:rPr>
          <w:rFonts w:cs="Arial"/>
          <w:color w:val="000000" w:themeColor="text1"/>
          <w:szCs w:val="16"/>
        </w:rPr>
        <w:t>children with IEPs on statewide assessments:</w:t>
      </w:r>
    </w:p>
    <w:p w14:paraId="7F5EE1FA" w14:textId="77777777" w:rsidR="00385214" w:rsidRPr="00781112" w:rsidRDefault="00385214" w:rsidP="00385214">
      <w:pPr>
        <w:ind w:firstLine="720"/>
        <w:rPr>
          <w:rFonts w:cs="Arial"/>
          <w:color w:val="000000" w:themeColor="text1"/>
          <w:szCs w:val="16"/>
        </w:rPr>
      </w:pPr>
      <w:r w:rsidRPr="00781112">
        <w:rPr>
          <w:rFonts w:cs="Arial"/>
          <w:color w:val="000000" w:themeColor="text1"/>
          <w:szCs w:val="16"/>
        </w:rPr>
        <w:t>A. Participation rate for children with IEPs.</w:t>
      </w:r>
    </w:p>
    <w:p w14:paraId="76102D80" w14:textId="77777777" w:rsidR="00385214" w:rsidRPr="00781112" w:rsidRDefault="00385214" w:rsidP="00385214">
      <w:pPr>
        <w:ind w:firstLine="720"/>
        <w:rPr>
          <w:rFonts w:cs="Arial"/>
          <w:color w:val="000000" w:themeColor="text1"/>
          <w:szCs w:val="16"/>
        </w:rPr>
      </w:pPr>
      <w:r w:rsidRPr="00781112">
        <w:rPr>
          <w:rFonts w:cs="Arial"/>
          <w:color w:val="000000" w:themeColor="text1"/>
          <w:szCs w:val="16"/>
        </w:rPr>
        <w:t xml:space="preserve">B. </w:t>
      </w:r>
      <w:r w:rsidRPr="00781112">
        <w:rPr>
          <w:rFonts w:cs="Arial"/>
          <w:szCs w:val="16"/>
        </w:rPr>
        <w:t>Proficiency rate for children with IEPs against grade level academic achievement standards.</w:t>
      </w:r>
    </w:p>
    <w:p w14:paraId="65AE871A" w14:textId="77777777" w:rsidR="00385214" w:rsidRPr="00781112" w:rsidRDefault="00385214" w:rsidP="00385214">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14:paraId="7381D72B" w14:textId="77777777" w:rsidR="00385214" w:rsidRPr="00781112" w:rsidRDefault="00385214" w:rsidP="00385214">
      <w:pPr>
        <w:ind w:firstLine="720"/>
        <w:rPr>
          <w:rFonts w:cs="Arial"/>
          <w:color w:val="000000" w:themeColor="text1"/>
          <w:szCs w:val="16"/>
        </w:rPr>
      </w:pPr>
      <w:r w:rsidRPr="00781112">
        <w:rPr>
          <w:rFonts w:cs="Arial"/>
          <w:color w:val="000000" w:themeColor="text1"/>
          <w:szCs w:val="16"/>
        </w:rPr>
        <w:t>D.</w:t>
      </w:r>
      <w:r w:rsidRPr="00781112">
        <w:rPr>
          <w:rFonts w:cs="Arial"/>
          <w:szCs w:val="16"/>
        </w:rPr>
        <w:t xml:space="preserve"> Gap in proficiency rates for children with IEPs and all students against grade level academic achievement standards.</w:t>
      </w:r>
    </w:p>
    <w:p w14:paraId="57288DF2" w14:textId="77777777" w:rsidR="00385214" w:rsidRPr="00781112" w:rsidRDefault="00385214" w:rsidP="00385214">
      <w:pPr>
        <w:rPr>
          <w:rFonts w:cs="Arial"/>
          <w:color w:val="000000" w:themeColor="text1"/>
          <w:szCs w:val="16"/>
        </w:rPr>
      </w:pPr>
      <w:r w:rsidRPr="00781112">
        <w:rPr>
          <w:rFonts w:cs="Arial"/>
          <w:color w:val="000000" w:themeColor="text1"/>
          <w:szCs w:val="16"/>
        </w:rPr>
        <w:t>(20 U.S.C. 1416 (a)(3)(A))</w:t>
      </w:r>
    </w:p>
    <w:p w14:paraId="363AAB3C" w14:textId="77777777" w:rsidR="000A5A2E" w:rsidRPr="00781112" w:rsidRDefault="000A5A2E" w:rsidP="004369B2">
      <w:pPr>
        <w:rPr>
          <w:color w:val="000000" w:themeColor="text1"/>
        </w:rPr>
      </w:pPr>
      <w:r w:rsidRPr="00781112">
        <w:rPr>
          <w:b/>
          <w:color w:val="000000" w:themeColor="text1"/>
        </w:rPr>
        <w:t>Data Source</w:t>
      </w:r>
    </w:p>
    <w:p w14:paraId="274B140A" w14:textId="3ABBB221" w:rsidR="000A5A2E" w:rsidRPr="00781112" w:rsidRDefault="000A5A2E" w:rsidP="00552927">
      <w:pPr>
        <w:rPr>
          <w:rFonts w:cs="Arial"/>
          <w:color w:val="000000" w:themeColor="text1"/>
          <w:szCs w:val="16"/>
        </w:rPr>
      </w:pPr>
      <w:r w:rsidRPr="00781112">
        <w:rPr>
          <w:rFonts w:cs="Arial"/>
          <w:color w:val="000000" w:themeColor="text1"/>
          <w:szCs w:val="16"/>
        </w:rPr>
        <w:t xml:space="preserve">3C. Same data as used for reporting to the Department under Title I of the ESEA, using </w:t>
      </w:r>
      <w:proofErr w:type="spellStart"/>
      <w:r w:rsidRPr="00781112">
        <w:rPr>
          <w:rFonts w:cs="Arial"/>
          <w:color w:val="000000" w:themeColor="text1"/>
          <w:szCs w:val="16"/>
        </w:rPr>
        <w:t>ED</w:t>
      </w:r>
      <w:r w:rsidRPr="00BA3DBE">
        <w:rPr>
          <w:rFonts w:cs="Arial"/>
          <w:i/>
          <w:iCs/>
          <w:color w:val="000000" w:themeColor="text1"/>
          <w:szCs w:val="16"/>
        </w:rPr>
        <w:t>Facts</w:t>
      </w:r>
      <w:proofErr w:type="spellEnd"/>
      <w:r w:rsidRPr="00781112">
        <w:rPr>
          <w:rFonts w:cs="Arial"/>
          <w:color w:val="000000" w:themeColor="text1"/>
          <w:szCs w:val="16"/>
        </w:rPr>
        <w:t xml:space="preserve"> file specifications FS175 and 178.</w:t>
      </w:r>
    </w:p>
    <w:p w14:paraId="064C7F6E" w14:textId="77777777" w:rsidR="000A5A2E" w:rsidRPr="00781112" w:rsidRDefault="000A5A2E" w:rsidP="004369B2">
      <w:pPr>
        <w:rPr>
          <w:color w:val="000000" w:themeColor="text1"/>
        </w:rPr>
      </w:pPr>
      <w:r w:rsidRPr="00781112">
        <w:rPr>
          <w:b/>
          <w:color w:val="000000" w:themeColor="text1"/>
        </w:rPr>
        <w:t>Measurement</w:t>
      </w:r>
    </w:p>
    <w:p w14:paraId="7639A7B8" w14:textId="3B2FB141" w:rsidR="000A5A2E" w:rsidRPr="00781112" w:rsidRDefault="000A5A2E" w:rsidP="00552927">
      <w:pPr>
        <w:rPr>
          <w:rFonts w:cs="Arial"/>
          <w:color w:val="000000" w:themeColor="text1"/>
          <w:szCs w:val="16"/>
        </w:rPr>
      </w:pPr>
      <w:r w:rsidRPr="00781112">
        <w:rPr>
          <w:rFonts w:cs="Arial"/>
          <w:color w:val="000000" w:themeColor="text1"/>
          <w:szCs w:val="16"/>
        </w:rPr>
        <w:t xml:space="preserve">C. </w:t>
      </w:r>
      <w:r w:rsidR="00385214" w:rsidRPr="00781112">
        <w:rPr>
          <w:rFonts w:cs="Arial"/>
          <w:szCs w:val="16"/>
        </w:rPr>
        <w:t>Proficiency rate percent = [(# of children with IEPs scoring at or above proficient against alternate academic achievement standards) divided by the (total # of children with IEPs who received a valid score and for whom a proficiency level was assigned for the alternate assessment)]. Calculate separately for reading and math.  Calculate separately for grades 4, 8, and high school. The proficiency rate includes both children with IEPs enrolled for a full academic year and those not enrolled for a full academic year.</w:t>
      </w:r>
    </w:p>
    <w:p w14:paraId="1CE435A8" w14:textId="77777777" w:rsidR="000A5A2E" w:rsidRPr="00781112" w:rsidRDefault="000A5A2E" w:rsidP="004369B2">
      <w:pPr>
        <w:rPr>
          <w:color w:val="000000" w:themeColor="text1"/>
        </w:rPr>
      </w:pPr>
      <w:r w:rsidRPr="00781112">
        <w:rPr>
          <w:b/>
          <w:color w:val="000000" w:themeColor="text1"/>
        </w:rPr>
        <w:t>Instructions</w:t>
      </w:r>
    </w:p>
    <w:p w14:paraId="79EB3296" w14:textId="77777777" w:rsidR="000A5A2E" w:rsidRPr="00781112" w:rsidRDefault="000A5A2E" w:rsidP="00552927">
      <w:pPr>
        <w:rPr>
          <w:rFonts w:cs="Arial"/>
          <w:color w:val="000000" w:themeColor="text1"/>
          <w:szCs w:val="16"/>
        </w:rPr>
      </w:pPr>
      <w:r w:rsidRPr="00781112">
        <w:rPr>
          <w:rFonts w:cs="Arial"/>
          <w:color w:val="000000" w:themeColor="text1"/>
          <w:szCs w:val="16"/>
        </w:rPr>
        <w:t>Describe the results of the calculations and compare the results to the targets. Provide the actual numbers used in the calculation.</w:t>
      </w:r>
    </w:p>
    <w:p w14:paraId="4F00AC69" w14:textId="77777777" w:rsidR="000A5A2E" w:rsidRPr="00781112" w:rsidRDefault="000A5A2E" w:rsidP="00552927">
      <w:pPr>
        <w:rPr>
          <w:rFonts w:cs="Arial"/>
          <w:color w:val="000000" w:themeColor="text1"/>
          <w:szCs w:val="16"/>
        </w:rPr>
      </w:pPr>
      <w:r w:rsidRPr="00781112">
        <w:rPr>
          <w:rFonts w:cs="Arial"/>
          <w:color w:val="000000" w:themeColor="text1"/>
          <w:szCs w:val="16"/>
        </w:rPr>
        <w:t>Include information regarding where to find public reports of assessment participation and performance results, as required by 34 CFR §300.160(f), i.e., a link to the Web site where these data are reported.</w:t>
      </w:r>
    </w:p>
    <w:p w14:paraId="04E96BDA" w14:textId="77777777" w:rsidR="00385214" w:rsidRPr="00781112" w:rsidRDefault="000A5A2E" w:rsidP="00385214">
      <w:pPr>
        <w:rPr>
          <w:rFonts w:cs="Arial"/>
          <w:szCs w:val="16"/>
        </w:rPr>
      </w:pPr>
      <w:r w:rsidRPr="00781112">
        <w:rPr>
          <w:rFonts w:cs="Arial"/>
          <w:color w:val="000000" w:themeColor="text1"/>
          <w:szCs w:val="16"/>
        </w:rPr>
        <w:t xml:space="preserve">Indicator 3C: </w:t>
      </w:r>
      <w:r w:rsidR="00385214" w:rsidRPr="00781112">
        <w:rPr>
          <w:rFonts w:cs="Arial"/>
          <w:szCs w:val="16"/>
        </w:rPr>
        <w:t>Proficiency calculations in this SPP/APR must result in proficiency rates for children with IEPs on the alternate assessment in reading/language arts and mathematics assessments (separately) in each of the following grades: 4, 8, and high school, including both children with IEPs enrolled for a full academic year and those not enrolled for a full academic year. Only include children with disabilities who had an IEP at the time</w:t>
      </w:r>
    </w:p>
    <w:p w14:paraId="1015A11D" w14:textId="071607C2" w:rsidR="000A5A2E" w:rsidRPr="00781112" w:rsidRDefault="00385214" w:rsidP="00385214">
      <w:pPr>
        <w:rPr>
          <w:rFonts w:cs="Arial"/>
          <w:color w:val="000000" w:themeColor="text1"/>
          <w:szCs w:val="16"/>
        </w:rPr>
      </w:pPr>
      <w:r w:rsidRPr="00781112">
        <w:rPr>
          <w:rFonts w:cs="Arial"/>
          <w:szCs w:val="16"/>
        </w:rPr>
        <w:t>of testing.</w:t>
      </w:r>
    </w:p>
    <w:p w14:paraId="7CE600A3" w14:textId="62D18727" w:rsidR="001B5210" w:rsidRPr="00781112" w:rsidRDefault="00573F6C" w:rsidP="008645AD">
      <w:pPr>
        <w:pStyle w:val="Heading2"/>
      </w:pPr>
      <w:r w:rsidRPr="00781112">
        <w:t>3C</w:t>
      </w:r>
      <w:r w:rsidR="00BB4FD7" w:rsidRPr="00781112">
        <w:t xml:space="preserve"> </w:t>
      </w:r>
      <w:r w:rsidRPr="00781112">
        <w:t xml:space="preserve">- </w:t>
      </w:r>
      <w:r w:rsidR="001B5210" w:rsidRPr="00781112">
        <w:t>Indicator Data</w:t>
      </w:r>
    </w:p>
    <w:p w14:paraId="0B1C0DD7" w14:textId="51BE70AF" w:rsidR="00A10323" w:rsidRPr="00781112" w:rsidRDefault="00A10323">
      <w:pPr>
        <w:rPr>
          <w:b/>
          <w:color w:val="000000" w:themeColor="text1"/>
        </w:rPr>
      </w:pPr>
      <w:r w:rsidRPr="00781112">
        <w:rPr>
          <w:b/>
          <w:color w:val="000000" w:themeColor="text1"/>
        </w:rPr>
        <w:t xml:space="preserve">Historical Data: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CHISTDATA"/>
      </w:tblPr>
      <w:tblGrid>
        <w:gridCol w:w="1588"/>
        <w:gridCol w:w="1588"/>
        <w:gridCol w:w="2538"/>
        <w:gridCol w:w="2538"/>
        <w:gridCol w:w="2538"/>
      </w:tblGrid>
      <w:tr w:rsidR="00537221" w:rsidRPr="00781112" w14:paraId="5299B4E6" w14:textId="77777777" w:rsidTr="009725F4">
        <w:trPr>
          <w:trHeight w:val="368"/>
          <w:tblHeader/>
        </w:trPr>
        <w:tc>
          <w:tcPr>
            <w:tcW w:w="736" w:type="pct"/>
            <w:tcBorders>
              <w:top w:val="single" w:sz="4" w:space="0" w:color="auto"/>
            </w:tcBorders>
            <w:vAlign w:val="center"/>
          </w:tcPr>
          <w:p w14:paraId="43B0649B"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sz="4" w:space="0" w:color="auto"/>
            </w:tcBorders>
            <w:shd w:val="clear" w:color="auto" w:fill="auto"/>
            <w:vAlign w:val="center"/>
          </w:tcPr>
          <w:p w14:paraId="611078A1"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sz="4" w:space="0" w:color="auto"/>
            </w:tcBorders>
            <w:shd w:val="clear" w:color="auto" w:fill="auto"/>
            <w:vAlign w:val="center"/>
          </w:tcPr>
          <w:p w14:paraId="4FF0AF06"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sz="4" w:space="0" w:color="auto"/>
            </w:tcBorders>
            <w:shd w:val="clear" w:color="auto" w:fill="auto"/>
            <w:vAlign w:val="center"/>
          </w:tcPr>
          <w:p w14:paraId="5F7760A7"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sz="4" w:space="0" w:color="auto"/>
            </w:tcBorders>
            <w:vAlign w:val="center"/>
          </w:tcPr>
          <w:p w14:paraId="01C3E0F4"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Baseline Data</w:t>
            </w:r>
          </w:p>
        </w:tc>
      </w:tr>
      <w:tr w:rsidR="00537221" w:rsidRPr="00781112" w14:paraId="62CCD80E" w14:textId="77777777" w:rsidTr="00827FF4">
        <w:trPr>
          <w:trHeight w:val="368"/>
        </w:trPr>
        <w:tc>
          <w:tcPr>
            <w:tcW w:w="736" w:type="pct"/>
            <w:vAlign w:val="center"/>
          </w:tcPr>
          <w:p w14:paraId="6DBDC79A"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249F4CF1"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0E5785E8" w14:textId="11F5BAE0" w:rsidR="00537221" w:rsidRPr="00781112" w:rsidRDefault="00537221" w:rsidP="00827FF4">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4EB8CC47" w14:textId="1B0ED9ED" w:rsidR="00537221" w:rsidRPr="00781112" w:rsidRDefault="00537221"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2281A612" w14:textId="23CB1591" w:rsidR="00537221" w:rsidRPr="00781112" w:rsidRDefault="00537221" w:rsidP="00827FF4">
            <w:pPr>
              <w:spacing w:before="0" w:after="0"/>
              <w:jc w:val="center"/>
              <w:rPr>
                <w:color w:val="000000" w:themeColor="text1"/>
              </w:rPr>
            </w:pPr>
            <w:r w:rsidRPr="00781112">
              <w:rPr>
                <w:rFonts w:cs="Arial"/>
                <w:color w:val="000000" w:themeColor="text1"/>
                <w:szCs w:val="16"/>
              </w:rPr>
              <w:t>7.69%</w:t>
            </w:r>
          </w:p>
        </w:tc>
      </w:tr>
      <w:tr w:rsidR="00537221" w:rsidRPr="00781112" w14:paraId="1C24E702" w14:textId="77777777" w:rsidTr="00827FF4">
        <w:trPr>
          <w:trHeight w:val="368"/>
        </w:trPr>
        <w:tc>
          <w:tcPr>
            <w:tcW w:w="736" w:type="pct"/>
            <w:vAlign w:val="center"/>
          </w:tcPr>
          <w:p w14:paraId="678970EB"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1EBDCD6D"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727E9135" w14:textId="4107258E"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7C958A72" w14:textId="4A38962C" w:rsidR="00537221" w:rsidRPr="00781112" w:rsidRDefault="00537221"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0FED42B6" w14:textId="77E5EACD"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7.55%</w:t>
            </w:r>
          </w:p>
        </w:tc>
      </w:tr>
      <w:tr w:rsidR="00537221" w:rsidRPr="00781112" w14:paraId="59B71803" w14:textId="77777777" w:rsidTr="00827FF4">
        <w:trPr>
          <w:trHeight w:val="368"/>
        </w:trPr>
        <w:tc>
          <w:tcPr>
            <w:tcW w:w="736" w:type="pct"/>
            <w:vAlign w:val="center"/>
          </w:tcPr>
          <w:p w14:paraId="4EBEF59E"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0EE18997"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7D681B80" w14:textId="4A6DABFD" w:rsidR="00537221" w:rsidRPr="00781112" w:rsidRDefault="00537221" w:rsidP="00827FF4">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1DF3FFCD" w14:textId="6C6BE9F1" w:rsidR="00537221" w:rsidRPr="00781112" w:rsidRDefault="00537221"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34A93084" w14:textId="02FAA503"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35.71%</w:t>
            </w:r>
          </w:p>
        </w:tc>
      </w:tr>
      <w:tr w:rsidR="00537221" w:rsidRPr="00781112" w14:paraId="05A06BC9" w14:textId="77777777" w:rsidTr="00827FF4">
        <w:trPr>
          <w:trHeight w:val="368"/>
        </w:trPr>
        <w:tc>
          <w:tcPr>
            <w:tcW w:w="736" w:type="pct"/>
            <w:vAlign w:val="center"/>
          </w:tcPr>
          <w:p w14:paraId="6020FFAF"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6CFDB92F"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5CB62D65" w14:textId="5E527C8F"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53F85621" w14:textId="1D815BA8" w:rsidR="00537221" w:rsidRPr="00781112" w:rsidRDefault="00537221"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790D130A" w14:textId="06A6107B"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13.21%</w:t>
            </w:r>
          </w:p>
        </w:tc>
      </w:tr>
      <w:tr w:rsidR="00537221" w:rsidRPr="00781112" w14:paraId="086B388C" w14:textId="77777777" w:rsidTr="00827FF4">
        <w:trPr>
          <w:trHeight w:val="368"/>
        </w:trPr>
        <w:tc>
          <w:tcPr>
            <w:tcW w:w="736" w:type="pct"/>
            <w:vAlign w:val="center"/>
          </w:tcPr>
          <w:p w14:paraId="7653A8F3"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0285758E"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54FB850D" w14:textId="54F493D6" w:rsidR="00537221" w:rsidRPr="00781112" w:rsidRDefault="00537221" w:rsidP="00827FF4">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502C33F8" w14:textId="45D8525B" w:rsidR="00537221" w:rsidRPr="00781112" w:rsidRDefault="00537221"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4AD27F52" w14:textId="16DC5031"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1.92%</w:t>
            </w:r>
          </w:p>
        </w:tc>
      </w:tr>
      <w:tr w:rsidR="00537221" w:rsidRPr="00781112" w14:paraId="43D0DD14" w14:textId="77777777" w:rsidTr="00827FF4">
        <w:trPr>
          <w:trHeight w:val="368"/>
        </w:trPr>
        <w:tc>
          <w:tcPr>
            <w:tcW w:w="736" w:type="pct"/>
            <w:vAlign w:val="center"/>
          </w:tcPr>
          <w:p w14:paraId="1464F87A"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009D1AD8"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261B7EA0" w14:textId="1CFD2731"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07D595C6" w14:textId="36D54FE7" w:rsidR="00537221" w:rsidRPr="00781112" w:rsidRDefault="00537221"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27DF7D26" w14:textId="3067273D"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29.63%</w:t>
            </w:r>
          </w:p>
        </w:tc>
      </w:tr>
    </w:tbl>
    <w:p w14:paraId="4679A4B4" w14:textId="77777777" w:rsidR="00537221" w:rsidRPr="00781112" w:rsidRDefault="00537221">
      <w:pPr>
        <w:rPr>
          <w:b/>
          <w:color w:val="000000" w:themeColor="text1"/>
        </w:rPr>
      </w:pPr>
    </w:p>
    <w:p w14:paraId="764C016B" w14:textId="48180105" w:rsidR="00A10323" w:rsidRPr="00781112" w:rsidRDefault="00A10323" w:rsidP="004369B2">
      <w:pPr>
        <w:rPr>
          <w:b/>
          <w:color w:val="000000" w:themeColor="text1"/>
        </w:rPr>
      </w:pPr>
      <w:r w:rsidRPr="00781112">
        <w:rPr>
          <w:b/>
          <w:color w:val="000000" w:themeColor="text1"/>
        </w:rPr>
        <w:t>Targets</w:t>
      </w:r>
    </w:p>
    <w:tbl>
      <w:tblPr>
        <w:tblW w:w="38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CTARGETS"/>
      </w:tblPr>
      <w:tblGrid>
        <w:gridCol w:w="812"/>
        <w:gridCol w:w="697"/>
        <w:gridCol w:w="1739"/>
        <w:gridCol w:w="1256"/>
        <w:gridCol w:w="1256"/>
        <w:gridCol w:w="1256"/>
        <w:gridCol w:w="1256"/>
      </w:tblGrid>
      <w:tr w:rsidR="00B67FCE" w:rsidRPr="00781112" w14:paraId="6FE97918" w14:textId="1BF8CF9D" w:rsidTr="00845B9B">
        <w:tc>
          <w:tcPr>
            <w:tcW w:w="491" w:type="pct"/>
            <w:tcBorders>
              <w:bottom w:val="single" w:sz="4" w:space="0" w:color="auto"/>
            </w:tcBorders>
            <w:shd w:val="clear" w:color="auto" w:fill="auto"/>
          </w:tcPr>
          <w:p w14:paraId="5CDF6985" w14:textId="5342FC63" w:rsidR="00B67FCE" w:rsidRPr="00781112" w:rsidRDefault="00B67FCE" w:rsidP="00561042">
            <w:pPr>
              <w:jc w:val="center"/>
              <w:rPr>
                <w:b/>
                <w:color w:val="000000" w:themeColor="text1"/>
              </w:rPr>
            </w:pPr>
            <w:r w:rsidRPr="00781112">
              <w:rPr>
                <w:b/>
                <w:color w:val="000000" w:themeColor="text1"/>
              </w:rPr>
              <w:t>Subject</w:t>
            </w:r>
          </w:p>
        </w:tc>
        <w:tc>
          <w:tcPr>
            <w:tcW w:w="421" w:type="pct"/>
            <w:tcBorders>
              <w:bottom w:val="single" w:sz="4" w:space="0" w:color="auto"/>
            </w:tcBorders>
            <w:shd w:val="clear" w:color="auto" w:fill="auto"/>
          </w:tcPr>
          <w:p w14:paraId="01DFF2B4" w14:textId="2094C240" w:rsidR="00B67FCE" w:rsidRPr="00781112" w:rsidRDefault="00B67FCE" w:rsidP="00561042">
            <w:pPr>
              <w:jc w:val="center"/>
              <w:rPr>
                <w:b/>
                <w:color w:val="000000" w:themeColor="text1"/>
              </w:rPr>
            </w:pPr>
            <w:r w:rsidRPr="00781112">
              <w:rPr>
                <w:b/>
                <w:color w:val="000000" w:themeColor="text1"/>
              </w:rPr>
              <w:t>Group</w:t>
            </w:r>
          </w:p>
        </w:tc>
        <w:tc>
          <w:tcPr>
            <w:tcW w:w="1051" w:type="pct"/>
            <w:shd w:val="clear" w:color="auto" w:fill="auto"/>
          </w:tcPr>
          <w:p w14:paraId="3976F221" w14:textId="32F28582" w:rsidR="00B67FCE" w:rsidRPr="00781112" w:rsidDel="008E7B87" w:rsidRDefault="00B67FCE" w:rsidP="00561042">
            <w:pPr>
              <w:jc w:val="center"/>
              <w:rPr>
                <w:b/>
                <w:color w:val="000000" w:themeColor="text1"/>
              </w:rPr>
            </w:pPr>
            <w:r w:rsidRPr="00781112">
              <w:rPr>
                <w:b/>
                <w:color w:val="000000" w:themeColor="text1"/>
              </w:rPr>
              <w:t>Group Name</w:t>
            </w:r>
          </w:p>
        </w:tc>
        <w:tc>
          <w:tcPr>
            <w:tcW w:w="759" w:type="pct"/>
            <w:shd w:val="clear" w:color="auto" w:fill="auto"/>
          </w:tcPr>
          <w:p w14:paraId="076E9FA3" w14:textId="2BDFEC53" w:rsidR="00B67FCE" w:rsidRPr="00781112" w:rsidRDefault="00B67FCE" w:rsidP="00561042">
            <w:pPr>
              <w:jc w:val="center"/>
              <w:rPr>
                <w:b/>
                <w:color w:val="000000" w:themeColor="text1"/>
              </w:rPr>
            </w:pPr>
            <w:r w:rsidRPr="00781112">
              <w:rPr>
                <w:b/>
                <w:color w:val="000000" w:themeColor="text1"/>
              </w:rPr>
              <w:t>2022</w:t>
            </w:r>
          </w:p>
        </w:tc>
        <w:tc>
          <w:tcPr>
            <w:tcW w:w="759" w:type="pct"/>
            <w:vAlign w:val="center"/>
          </w:tcPr>
          <w:p w14:paraId="2A95FA03" w14:textId="46828D1C" w:rsidR="00B67FCE" w:rsidRPr="00781112" w:rsidRDefault="00B67FCE" w:rsidP="00561042">
            <w:pPr>
              <w:jc w:val="center"/>
              <w:rPr>
                <w:b/>
                <w:color w:val="000000" w:themeColor="text1"/>
              </w:rPr>
            </w:pPr>
            <w:r w:rsidRPr="00781112">
              <w:rPr>
                <w:rFonts w:cs="Arial"/>
                <w:b/>
                <w:color w:val="000000" w:themeColor="text1"/>
                <w:szCs w:val="16"/>
              </w:rPr>
              <w:t>2023</w:t>
            </w:r>
          </w:p>
        </w:tc>
        <w:tc>
          <w:tcPr>
            <w:tcW w:w="759" w:type="pct"/>
            <w:vAlign w:val="center"/>
          </w:tcPr>
          <w:p w14:paraId="56A4FE1C" w14:textId="196C362E" w:rsidR="00B67FCE" w:rsidRPr="00781112" w:rsidRDefault="00B67FCE" w:rsidP="00561042">
            <w:pPr>
              <w:jc w:val="center"/>
              <w:rPr>
                <w:b/>
                <w:color w:val="000000" w:themeColor="text1"/>
              </w:rPr>
            </w:pPr>
            <w:r w:rsidRPr="00781112">
              <w:rPr>
                <w:rFonts w:cs="Arial"/>
                <w:b/>
                <w:color w:val="000000" w:themeColor="text1"/>
                <w:szCs w:val="16"/>
              </w:rPr>
              <w:t>2024</w:t>
            </w:r>
          </w:p>
        </w:tc>
        <w:tc>
          <w:tcPr>
            <w:tcW w:w="759" w:type="pct"/>
            <w:vAlign w:val="center"/>
          </w:tcPr>
          <w:p w14:paraId="6FCB9B7C" w14:textId="67672F5E" w:rsidR="00B67FCE" w:rsidRPr="00781112" w:rsidRDefault="00B67FCE" w:rsidP="00561042">
            <w:pPr>
              <w:jc w:val="center"/>
              <w:rPr>
                <w:b/>
                <w:color w:val="000000" w:themeColor="text1"/>
              </w:rPr>
            </w:pPr>
            <w:r w:rsidRPr="00781112">
              <w:rPr>
                <w:rFonts w:cs="Arial"/>
                <w:b/>
                <w:color w:val="000000" w:themeColor="text1"/>
                <w:szCs w:val="16"/>
              </w:rPr>
              <w:t>2025</w:t>
            </w:r>
          </w:p>
        </w:tc>
      </w:tr>
      <w:tr w:rsidR="00B67FCE" w:rsidRPr="00781112" w14:paraId="24016D03" w14:textId="0FC0BA7B" w:rsidTr="00845B9B">
        <w:tc>
          <w:tcPr>
            <w:tcW w:w="491" w:type="pct"/>
            <w:shd w:val="clear" w:color="auto" w:fill="auto"/>
            <w:vAlign w:val="center"/>
          </w:tcPr>
          <w:p w14:paraId="6AD78348" w14:textId="77777777"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Reading</w:t>
            </w:r>
          </w:p>
        </w:tc>
        <w:tc>
          <w:tcPr>
            <w:tcW w:w="421" w:type="pct"/>
            <w:shd w:val="clear" w:color="auto" w:fill="auto"/>
            <w:vAlign w:val="center"/>
          </w:tcPr>
          <w:p w14:paraId="68D451C5" w14:textId="0D62DF33"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A &gt;=</w:t>
            </w:r>
          </w:p>
        </w:tc>
        <w:tc>
          <w:tcPr>
            <w:tcW w:w="1051" w:type="pct"/>
            <w:shd w:val="clear" w:color="auto" w:fill="auto"/>
            <w:vAlign w:val="center"/>
          </w:tcPr>
          <w:p w14:paraId="10A86524" w14:textId="5A63BB47" w:rsidR="00B67FCE" w:rsidRPr="00781112" w:rsidDel="00DE5045" w:rsidRDefault="00B67FCE" w:rsidP="00D13592">
            <w:pPr>
              <w:jc w:val="center"/>
              <w:rPr>
                <w:rFonts w:cs="Arial"/>
                <w:color w:val="000000" w:themeColor="text1"/>
                <w:szCs w:val="16"/>
              </w:rPr>
            </w:pPr>
            <w:r w:rsidRPr="00781112">
              <w:rPr>
                <w:rFonts w:cs="Arial"/>
                <w:color w:val="000000" w:themeColor="text1"/>
                <w:szCs w:val="16"/>
              </w:rPr>
              <w:t>Grade 4</w:t>
            </w:r>
          </w:p>
        </w:tc>
        <w:tc>
          <w:tcPr>
            <w:tcW w:w="759" w:type="pct"/>
            <w:shd w:val="clear" w:color="auto" w:fill="auto"/>
            <w:vAlign w:val="center"/>
          </w:tcPr>
          <w:p w14:paraId="3451F312" w14:textId="2295E6F6" w:rsidR="00B67FCE" w:rsidRPr="00781112" w:rsidRDefault="00B67FCE" w:rsidP="00D13592">
            <w:pPr>
              <w:jc w:val="center"/>
              <w:rPr>
                <w:rFonts w:cs="Arial"/>
                <w:color w:val="000000" w:themeColor="text1"/>
                <w:szCs w:val="16"/>
              </w:rPr>
            </w:pPr>
            <w:r w:rsidRPr="00781112">
              <w:rPr>
                <w:rFonts w:cs="Arial"/>
                <w:color w:val="000000" w:themeColor="text1"/>
                <w:szCs w:val="16"/>
              </w:rPr>
              <w:t>8.59%</w:t>
            </w:r>
          </w:p>
        </w:tc>
        <w:tc>
          <w:tcPr>
            <w:tcW w:w="759" w:type="pct"/>
            <w:vAlign w:val="center"/>
          </w:tcPr>
          <w:p w14:paraId="1A23D563" w14:textId="56F68959" w:rsidR="00B67FCE" w:rsidRPr="00781112" w:rsidRDefault="00B67FCE" w:rsidP="00D13592">
            <w:pPr>
              <w:jc w:val="center"/>
              <w:rPr>
                <w:rFonts w:cs="Arial"/>
                <w:color w:val="000000" w:themeColor="text1"/>
                <w:szCs w:val="16"/>
              </w:rPr>
            </w:pPr>
            <w:r w:rsidRPr="00781112">
              <w:rPr>
                <w:rFonts w:cs="Arial"/>
                <w:color w:val="000000" w:themeColor="text1"/>
                <w:szCs w:val="16"/>
              </w:rPr>
              <w:t>9.04%</w:t>
            </w:r>
          </w:p>
        </w:tc>
        <w:tc>
          <w:tcPr>
            <w:tcW w:w="759" w:type="pct"/>
            <w:vAlign w:val="center"/>
          </w:tcPr>
          <w:p w14:paraId="6BBDE651" w14:textId="47B65FE0" w:rsidR="00B67FCE" w:rsidRPr="00781112" w:rsidRDefault="00B67FCE" w:rsidP="00D13592">
            <w:pPr>
              <w:jc w:val="center"/>
              <w:rPr>
                <w:rFonts w:cs="Arial"/>
                <w:color w:val="000000" w:themeColor="text1"/>
                <w:szCs w:val="16"/>
              </w:rPr>
            </w:pPr>
            <w:r w:rsidRPr="00781112">
              <w:rPr>
                <w:rFonts w:cs="Arial"/>
                <w:color w:val="000000" w:themeColor="text1"/>
                <w:szCs w:val="16"/>
              </w:rPr>
              <w:t>9.49%</w:t>
            </w:r>
          </w:p>
        </w:tc>
        <w:tc>
          <w:tcPr>
            <w:tcW w:w="759" w:type="pct"/>
            <w:vAlign w:val="center"/>
          </w:tcPr>
          <w:p w14:paraId="5A275577" w14:textId="6DCA94CB" w:rsidR="00B67FCE" w:rsidRPr="00781112" w:rsidRDefault="00B67FCE" w:rsidP="00D13592">
            <w:pPr>
              <w:jc w:val="center"/>
              <w:rPr>
                <w:rFonts w:cs="Arial"/>
                <w:color w:val="000000" w:themeColor="text1"/>
                <w:szCs w:val="16"/>
              </w:rPr>
            </w:pPr>
            <w:r w:rsidRPr="00781112">
              <w:rPr>
                <w:rFonts w:cs="Arial"/>
                <w:color w:val="000000" w:themeColor="text1"/>
                <w:szCs w:val="16"/>
              </w:rPr>
              <w:t>9.94%</w:t>
            </w:r>
          </w:p>
        </w:tc>
      </w:tr>
      <w:tr w:rsidR="00B67FCE" w:rsidRPr="00781112" w14:paraId="4229AE62" w14:textId="33381C2A" w:rsidTr="00845B9B">
        <w:tc>
          <w:tcPr>
            <w:tcW w:w="491" w:type="pct"/>
            <w:shd w:val="clear" w:color="auto" w:fill="auto"/>
            <w:vAlign w:val="center"/>
          </w:tcPr>
          <w:p w14:paraId="65BFCE1A" w14:textId="0D697A5F"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Reading</w:t>
            </w:r>
          </w:p>
        </w:tc>
        <w:tc>
          <w:tcPr>
            <w:tcW w:w="421" w:type="pct"/>
            <w:shd w:val="clear" w:color="auto" w:fill="auto"/>
            <w:vAlign w:val="center"/>
          </w:tcPr>
          <w:p w14:paraId="0A529643" w14:textId="25196352"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B &gt;=</w:t>
            </w:r>
          </w:p>
        </w:tc>
        <w:tc>
          <w:tcPr>
            <w:tcW w:w="1051" w:type="pct"/>
            <w:shd w:val="clear" w:color="auto" w:fill="auto"/>
            <w:vAlign w:val="center"/>
          </w:tcPr>
          <w:p w14:paraId="62F8D3A7" w14:textId="0DE3112A" w:rsidR="00B67FCE" w:rsidRPr="00781112" w:rsidDel="00DE5045" w:rsidRDefault="00B67FCE" w:rsidP="00D13592">
            <w:pPr>
              <w:jc w:val="center"/>
              <w:rPr>
                <w:rFonts w:cs="Arial"/>
                <w:color w:val="000000" w:themeColor="text1"/>
                <w:szCs w:val="16"/>
              </w:rPr>
            </w:pPr>
            <w:r w:rsidRPr="00781112">
              <w:rPr>
                <w:rFonts w:cs="Arial"/>
                <w:color w:val="000000" w:themeColor="text1"/>
                <w:szCs w:val="16"/>
              </w:rPr>
              <w:t>Grade 8</w:t>
            </w:r>
          </w:p>
        </w:tc>
        <w:tc>
          <w:tcPr>
            <w:tcW w:w="759" w:type="pct"/>
            <w:shd w:val="clear" w:color="auto" w:fill="auto"/>
            <w:vAlign w:val="center"/>
          </w:tcPr>
          <w:p w14:paraId="1D5B4183" w14:textId="1238BC64" w:rsidR="00B67FCE" w:rsidRPr="00781112" w:rsidRDefault="00B67FCE" w:rsidP="00D13592">
            <w:pPr>
              <w:jc w:val="center"/>
              <w:rPr>
                <w:rFonts w:cs="Arial"/>
                <w:color w:val="000000" w:themeColor="text1"/>
                <w:szCs w:val="16"/>
              </w:rPr>
            </w:pPr>
            <w:r w:rsidRPr="00781112">
              <w:rPr>
                <w:rFonts w:cs="Arial"/>
                <w:color w:val="000000" w:themeColor="text1"/>
                <w:szCs w:val="16"/>
              </w:rPr>
              <w:t>8.45%</w:t>
            </w:r>
          </w:p>
        </w:tc>
        <w:tc>
          <w:tcPr>
            <w:tcW w:w="759" w:type="pct"/>
            <w:vAlign w:val="center"/>
          </w:tcPr>
          <w:p w14:paraId="200F306C" w14:textId="40F15380" w:rsidR="00B67FCE" w:rsidRPr="00781112" w:rsidRDefault="00B67FCE" w:rsidP="00D13592">
            <w:pPr>
              <w:jc w:val="center"/>
              <w:rPr>
                <w:rFonts w:cs="Arial"/>
                <w:color w:val="000000" w:themeColor="text1"/>
                <w:szCs w:val="16"/>
              </w:rPr>
            </w:pPr>
            <w:r w:rsidRPr="00781112">
              <w:rPr>
                <w:rFonts w:cs="Arial"/>
                <w:color w:val="000000" w:themeColor="text1"/>
                <w:szCs w:val="16"/>
              </w:rPr>
              <w:t>8.90%</w:t>
            </w:r>
          </w:p>
        </w:tc>
        <w:tc>
          <w:tcPr>
            <w:tcW w:w="759" w:type="pct"/>
            <w:vAlign w:val="center"/>
          </w:tcPr>
          <w:p w14:paraId="01C155DC" w14:textId="32FC3C15" w:rsidR="00B67FCE" w:rsidRPr="00781112" w:rsidRDefault="00B67FCE" w:rsidP="00D13592">
            <w:pPr>
              <w:jc w:val="center"/>
              <w:rPr>
                <w:rFonts w:cs="Arial"/>
                <w:color w:val="000000" w:themeColor="text1"/>
                <w:szCs w:val="16"/>
              </w:rPr>
            </w:pPr>
            <w:r w:rsidRPr="00781112">
              <w:rPr>
                <w:rFonts w:cs="Arial"/>
                <w:color w:val="000000" w:themeColor="text1"/>
                <w:szCs w:val="16"/>
              </w:rPr>
              <w:t>9.35%</w:t>
            </w:r>
          </w:p>
        </w:tc>
        <w:tc>
          <w:tcPr>
            <w:tcW w:w="759" w:type="pct"/>
            <w:vAlign w:val="center"/>
          </w:tcPr>
          <w:p w14:paraId="31A2EE92" w14:textId="183FF0A7" w:rsidR="00B67FCE" w:rsidRPr="00781112" w:rsidRDefault="00B67FCE" w:rsidP="00D13592">
            <w:pPr>
              <w:jc w:val="center"/>
              <w:rPr>
                <w:rFonts w:cs="Arial"/>
                <w:color w:val="000000" w:themeColor="text1"/>
                <w:szCs w:val="16"/>
              </w:rPr>
            </w:pPr>
            <w:r w:rsidRPr="00781112">
              <w:rPr>
                <w:rFonts w:cs="Arial"/>
                <w:color w:val="000000" w:themeColor="text1"/>
                <w:szCs w:val="16"/>
              </w:rPr>
              <w:t>9.80%</w:t>
            </w:r>
          </w:p>
        </w:tc>
      </w:tr>
      <w:tr w:rsidR="00B67FCE" w:rsidRPr="00781112" w14:paraId="53D446D4" w14:textId="31EA6E11" w:rsidTr="00845B9B">
        <w:tc>
          <w:tcPr>
            <w:tcW w:w="491" w:type="pct"/>
            <w:shd w:val="clear" w:color="auto" w:fill="auto"/>
            <w:vAlign w:val="center"/>
          </w:tcPr>
          <w:p w14:paraId="5413BB65" w14:textId="22884284"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Reading</w:t>
            </w:r>
          </w:p>
        </w:tc>
        <w:tc>
          <w:tcPr>
            <w:tcW w:w="421" w:type="pct"/>
            <w:shd w:val="clear" w:color="auto" w:fill="auto"/>
            <w:vAlign w:val="center"/>
          </w:tcPr>
          <w:p w14:paraId="1408EAB6" w14:textId="5A0418AE"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C &gt;=</w:t>
            </w:r>
          </w:p>
        </w:tc>
        <w:tc>
          <w:tcPr>
            <w:tcW w:w="1051" w:type="pct"/>
            <w:shd w:val="clear" w:color="auto" w:fill="auto"/>
            <w:vAlign w:val="center"/>
          </w:tcPr>
          <w:p w14:paraId="6E4FCBFF" w14:textId="158A4AA0" w:rsidR="00B67FCE" w:rsidRPr="00781112" w:rsidDel="00DE5045" w:rsidRDefault="00B67FCE" w:rsidP="00D13592">
            <w:pPr>
              <w:jc w:val="center"/>
              <w:rPr>
                <w:rFonts w:cs="Arial"/>
                <w:color w:val="000000" w:themeColor="text1"/>
                <w:szCs w:val="16"/>
              </w:rPr>
            </w:pPr>
            <w:r w:rsidRPr="00781112">
              <w:rPr>
                <w:rFonts w:cs="Arial"/>
                <w:color w:val="000000" w:themeColor="text1"/>
                <w:szCs w:val="16"/>
              </w:rPr>
              <w:t>Grade HS</w:t>
            </w:r>
          </w:p>
        </w:tc>
        <w:tc>
          <w:tcPr>
            <w:tcW w:w="759" w:type="pct"/>
            <w:shd w:val="clear" w:color="auto" w:fill="auto"/>
            <w:vAlign w:val="center"/>
          </w:tcPr>
          <w:p w14:paraId="3520F380" w14:textId="38C36219" w:rsidR="00B67FCE" w:rsidRPr="00781112" w:rsidRDefault="00B67FCE" w:rsidP="00D13592">
            <w:pPr>
              <w:jc w:val="center"/>
              <w:rPr>
                <w:rFonts w:cs="Arial"/>
                <w:color w:val="000000" w:themeColor="text1"/>
                <w:szCs w:val="16"/>
              </w:rPr>
            </w:pPr>
            <w:r w:rsidRPr="00781112">
              <w:rPr>
                <w:rFonts w:cs="Arial"/>
                <w:color w:val="000000" w:themeColor="text1"/>
                <w:szCs w:val="16"/>
              </w:rPr>
              <w:t>36.61%</w:t>
            </w:r>
          </w:p>
        </w:tc>
        <w:tc>
          <w:tcPr>
            <w:tcW w:w="759" w:type="pct"/>
            <w:vAlign w:val="center"/>
          </w:tcPr>
          <w:p w14:paraId="3305DD14" w14:textId="4DBBF69C" w:rsidR="00B67FCE" w:rsidRPr="00781112" w:rsidRDefault="00B67FCE" w:rsidP="00D13592">
            <w:pPr>
              <w:jc w:val="center"/>
              <w:rPr>
                <w:rFonts w:cs="Arial"/>
                <w:color w:val="000000" w:themeColor="text1"/>
                <w:szCs w:val="16"/>
              </w:rPr>
            </w:pPr>
            <w:r w:rsidRPr="00781112">
              <w:rPr>
                <w:rFonts w:cs="Arial"/>
                <w:color w:val="000000" w:themeColor="text1"/>
                <w:szCs w:val="16"/>
              </w:rPr>
              <w:t>37.06%</w:t>
            </w:r>
          </w:p>
        </w:tc>
        <w:tc>
          <w:tcPr>
            <w:tcW w:w="759" w:type="pct"/>
            <w:vAlign w:val="center"/>
          </w:tcPr>
          <w:p w14:paraId="02FF2601" w14:textId="545909AE" w:rsidR="00B67FCE" w:rsidRPr="00781112" w:rsidRDefault="00B67FCE" w:rsidP="00D13592">
            <w:pPr>
              <w:jc w:val="center"/>
              <w:rPr>
                <w:rFonts w:cs="Arial"/>
                <w:color w:val="000000" w:themeColor="text1"/>
                <w:szCs w:val="16"/>
              </w:rPr>
            </w:pPr>
            <w:r w:rsidRPr="00781112">
              <w:rPr>
                <w:rFonts w:cs="Arial"/>
                <w:color w:val="000000" w:themeColor="text1"/>
                <w:szCs w:val="16"/>
              </w:rPr>
              <w:t>37.51%</w:t>
            </w:r>
          </w:p>
        </w:tc>
        <w:tc>
          <w:tcPr>
            <w:tcW w:w="759" w:type="pct"/>
            <w:vAlign w:val="center"/>
          </w:tcPr>
          <w:p w14:paraId="607B9906" w14:textId="6058F884" w:rsidR="00B67FCE" w:rsidRPr="00781112" w:rsidRDefault="00B67FCE" w:rsidP="00D13592">
            <w:pPr>
              <w:jc w:val="center"/>
              <w:rPr>
                <w:rFonts w:cs="Arial"/>
                <w:color w:val="000000" w:themeColor="text1"/>
                <w:szCs w:val="16"/>
              </w:rPr>
            </w:pPr>
            <w:r w:rsidRPr="00781112">
              <w:rPr>
                <w:rFonts w:cs="Arial"/>
                <w:color w:val="000000" w:themeColor="text1"/>
                <w:szCs w:val="16"/>
              </w:rPr>
              <w:t>37.96%</w:t>
            </w:r>
          </w:p>
        </w:tc>
      </w:tr>
      <w:tr w:rsidR="00B67FCE" w:rsidRPr="00781112" w14:paraId="4D7E1CB4" w14:textId="31C0C80F" w:rsidTr="00845B9B">
        <w:tc>
          <w:tcPr>
            <w:tcW w:w="491" w:type="pct"/>
            <w:shd w:val="clear" w:color="auto" w:fill="auto"/>
            <w:vAlign w:val="center"/>
          </w:tcPr>
          <w:p w14:paraId="3E17FC71" w14:textId="77777777"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Math</w:t>
            </w:r>
          </w:p>
        </w:tc>
        <w:tc>
          <w:tcPr>
            <w:tcW w:w="421" w:type="pct"/>
            <w:shd w:val="clear" w:color="auto" w:fill="auto"/>
            <w:vAlign w:val="center"/>
          </w:tcPr>
          <w:p w14:paraId="393C59D6" w14:textId="4FA6AC82"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A &gt;=</w:t>
            </w:r>
          </w:p>
        </w:tc>
        <w:tc>
          <w:tcPr>
            <w:tcW w:w="1051" w:type="pct"/>
            <w:shd w:val="clear" w:color="auto" w:fill="auto"/>
            <w:vAlign w:val="center"/>
          </w:tcPr>
          <w:p w14:paraId="06CBBAA1" w14:textId="25010E97" w:rsidR="00B67FCE" w:rsidRPr="00781112" w:rsidDel="00DE5045" w:rsidRDefault="00B67FCE" w:rsidP="00D13592">
            <w:pPr>
              <w:jc w:val="center"/>
              <w:rPr>
                <w:rFonts w:cs="Arial"/>
                <w:color w:val="000000" w:themeColor="text1"/>
                <w:szCs w:val="16"/>
              </w:rPr>
            </w:pPr>
            <w:r w:rsidRPr="00781112">
              <w:rPr>
                <w:rFonts w:cs="Arial"/>
                <w:color w:val="000000" w:themeColor="text1"/>
                <w:szCs w:val="16"/>
              </w:rPr>
              <w:t>Grade 4</w:t>
            </w:r>
          </w:p>
        </w:tc>
        <w:tc>
          <w:tcPr>
            <w:tcW w:w="759" w:type="pct"/>
            <w:shd w:val="clear" w:color="auto" w:fill="auto"/>
            <w:vAlign w:val="center"/>
          </w:tcPr>
          <w:p w14:paraId="5B4F37F7" w14:textId="0586B65B" w:rsidR="00B67FCE" w:rsidRPr="00781112" w:rsidRDefault="00B67FCE" w:rsidP="00D13592">
            <w:pPr>
              <w:jc w:val="center"/>
              <w:rPr>
                <w:rFonts w:cs="Arial"/>
                <w:color w:val="000000" w:themeColor="text1"/>
                <w:szCs w:val="16"/>
              </w:rPr>
            </w:pPr>
            <w:r w:rsidRPr="00781112">
              <w:rPr>
                <w:rFonts w:cs="Arial"/>
                <w:color w:val="000000" w:themeColor="text1"/>
                <w:szCs w:val="16"/>
              </w:rPr>
              <w:t>14.03%</w:t>
            </w:r>
          </w:p>
        </w:tc>
        <w:tc>
          <w:tcPr>
            <w:tcW w:w="759" w:type="pct"/>
            <w:vAlign w:val="center"/>
          </w:tcPr>
          <w:p w14:paraId="5BCC413B" w14:textId="09A05E02" w:rsidR="00B67FCE" w:rsidRPr="00781112" w:rsidRDefault="00B67FCE" w:rsidP="00D13592">
            <w:pPr>
              <w:jc w:val="center"/>
              <w:rPr>
                <w:rFonts w:cs="Arial"/>
                <w:color w:val="000000" w:themeColor="text1"/>
                <w:szCs w:val="16"/>
              </w:rPr>
            </w:pPr>
            <w:r w:rsidRPr="00781112">
              <w:rPr>
                <w:rFonts w:cs="Arial"/>
                <w:color w:val="000000" w:themeColor="text1"/>
                <w:szCs w:val="16"/>
              </w:rPr>
              <w:t>14.44%</w:t>
            </w:r>
          </w:p>
        </w:tc>
        <w:tc>
          <w:tcPr>
            <w:tcW w:w="759" w:type="pct"/>
            <w:vAlign w:val="center"/>
          </w:tcPr>
          <w:p w14:paraId="45EF5FCE" w14:textId="00D7D29B" w:rsidR="00B67FCE" w:rsidRPr="00781112" w:rsidRDefault="00B67FCE" w:rsidP="00D13592">
            <w:pPr>
              <w:jc w:val="center"/>
              <w:rPr>
                <w:rFonts w:cs="Arial"/>
                <w:color w:val="000000" w:themeColor="text1"/>
                <w:szCs w:val="16"/>
              </w:rPr>
            </w:pPr>
            <w:r w:rsidRPr="00781112">
              <w:rPr>
                <w:rFonts w:cs="Arial"/>
                <w:color w:val="000000" w:themeColor="text1"/>
                <w:szCs w:val="16"/>
              </w:rPr>
              <w:t>14.85%</w:t>
            </w:r>
          </w:p>
        </w:tc>
        <w:tc>
          <w:tcPr>
            <w:tcW w:w="759" w:type="pct"/>
            <w:vAlign w:val="center"/>
          </w:tcPr>
          <w:p w14:paraId="68AE213E" w14:textId="4ECF4085" w:rsidR="00B67FCE" w:rsidRPr="00781112" w:rsidRDefault="00B67FCE" w:rsidP="00D13592">
            <w:pPr>
              <w:jc w:val="center"/>
              <w:rPr>
                <w:rFonts w:cs="Arial"/>
                <w:color w:val="000000" w:themeColor="text1"/>
                <w:szCs w:val="16"/>
              </w:rPr>
            </w:pPr>
            <w:r w:rsidRPr="00781112">
              <w:rPr>
                <w:rFonts w:cs="Arial"/>
                <w:color w:val="000000" w:themeColor="text1"/>
                <w:szCs w:val="16"/>
              </w:rPr>
              <w:t>15.26%</w:t>
            </w:r>
          </w:p>
        </w:tc>
      </w:tr>
      <w:tr w:rsidR="00B67FCE" w:rsidRPr="00781112" w14:paraId="6A0B25C6" w14:textId="3CA923D5" w:rsidTr="00845B9B">
        <w:tc>
          <w:tcPr>
            <w:tcW w:w="491" w:type="pct"/>
            <w:shd w:val="clear" w:color="auto" w:fill="auto"/>
            <w:vAlign w:val="center"/>
          </w:tcPr>
          <w:p w14:paraId="7A201508" w14:textId="57E216ED"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Math</w:t>
            </w:r>
          </w:p>
        </w:tc>
        <w:tc>
          <w:tcPr>
            <w:tcW w:w="421" w:type="pct"/>
            <w:shd w:val="clear" w:color="auto" w:fill="auto"/>
            <w:vAlign w:val="center"/>
          </w:tcPr>
          <w:p w14:paraId="3BD3C679" w14:textId="4834DDCE"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B &gt;=</w:t>
            </w:r>
          </w:p>
        </w:tc>
        <w:tc>
          <w:tcPr>
            <w:tcW w:w="1051" w:type="pct"/>
            <w:shd w:val="clear" w:color="auto" w:fill="auto"/>
            <w:vAlign w:val="center"/>
          </w:tcPr>
          <w:p w14:paraId="75E8E6D8" w14:textId="7D040B60" w:rsidR="00B67FCE" w:rsidRPr="00781112" w:rsidDel="00DE5045" w:rsidRDefault="00B67FCE" w:rsidP="00D13592">
            <w:pPr>
              <w:jc w:val="center"/>
              <w:rPr>
                <w:rFonts w:cs="Arial"/>
                <w:color w:val="000000" w:themeColor="text1"/>
                <w:szCs w:val="16"/>
              </w:rPr>
            </w:pPr>
            <w:r w:rsidRPr="00781112">
              <w:rPr>
                <w:rFonts w:cs="Arial"/>
                <w:color w:val="000000" w:themeColor="text1"/>
                <w:szCs w:val="16"/>
              </w:rPr>
              <w:t>Grade 8</w:t>
            </w:r>
          </w:p>
        </w:tc>
        <w:tc>
          <w:tcPr>
            <w:tcW w:w="759" w:type="pct"/>
            <w:shd w:val="clear" w:color="auto" w:fill="auto"/>
            <w:vAlign w:val="center"/>
          </w:tcPr>
          <w:p w14:paraId="4671DF75" w14:textId="2CD78B1B" w:rsidR="00B67FCE" w:rsidRPr="00781112" w:rsidRDefault="00B67FCE" w:rsidP="00D13592">
            <w:pPr>
              <w:jc w:val="center"/>
              <w:rPr>
                <w:rFonts w:cs="Arial"/>
                <w:color w:val="000000" w:themeColor="text1"/>
                <w:szCs w:val="16"/>
              </w:rPr>
            </w:pPr>
            <w:r w:rsidRPr="00781112">
              <w:rPr>
                <w:rFonts w:cs="Arial"/>
                <w:color w:val="000000" w:themeColor="text1"/>
                <w:szCs w:val="16"/>
              </w:rPr>
              <w:t>2.74%</w:t>
            </w:r>
          </w:p>
        </w:tc>
        <w:tc>
          <w:tcPr>
            <w:tcW w:w="759" w:type="pct"/>
            <w:vAlign w:val="center"/>
          </w:tcPr>
          <w:p w14:paraId="0BF63C58" w14:textId="72F24C80" w:rsidR="00B67FCE" w:rsidRPr="00781112" w:rsidRDefault="00B67FCE" w:rsidP="00D13592">
            <w:pPr>
              <w:jc w:val="center"/>
              <w:rPr>
                <w:rFonts w:cs="Arial"/>
                <w:color w:val="000000" w:themeColor="text1"/>
                <w:szCs w:val="16"/>
              </w:rPr>
            </w:pPr>
            <w:r w:rsidRPr="00781112">
              <w:rPr>
                <w:rFonts w:cs="Arial"/>
                <w:color w:val="000000" w:themeColor="text1"/>
                <w:szCs w:val="16"/>
              </w:rPr>
              <w:t>3.15%</w:t>
            </w:r>
          </w:p>
        </w:tc>
        <w:tc>
          <w:tcPr>
            <w:tcW w:w="759" w:type="pct"/>
            <w:vAlign w:val="center"/>
          </w:tcPr>
          <w:p w14:paraId="0075BBBD" w14:textId="7AFABF25" w:rsidR="00B67FCE" w:rsidRPr="00781112" w:rsidRDefault="00B67FCE" w:rsidP="00D13592">
            <w:pPr>
              <w:jc w:val="center"/>
              <w:rPr>
                <w:rFonts w:cs="Arial"/>
                <w:color w:val="000000" w:themeColor="text1"/>
                <w:szCs w:val="16"/>
              </w:rPr>
            </w:pPr>
            <w:r w:rsidRPr="00781112">
              <w:rPr>
                <w:rFonts w:cs="Arial"/>
                <w:color w:val="000000" w:themeColor="text1"/>
                <w:szCs w:val="16"/>
              </w:rPr>
              <w:t>3.56%</w:t>
            </w:r>
          </w:p>
        </w:tc>
        <w:tc>
          <w:tcPr>
            <w:tcW w:w="759" w:type="pct"/>
            <w:vAlign w:val="center"/>
          </w:tcPr>
          <w:p w14:paraId="0162408E" w14:textId="763A5CFC" w:rsidR="00B67FCE" w:rsidRPr="00781112" w:rsidRDefault="00B67FCE" w:rsidP="00D13592">
            <w:pPr>
              <w:jc w:val="center"/>
              <w:rPr>
                <w:rFonts w:cs="Arial"/>
                <w:color w:val="000000" w:themeColor="text1"/>
                <w:szCs w:val="16"/>
              </w:rPr>
            </w:pPr>
            <w:r w:rsidRPr="00781112">
              <w:rPr>
                <w:rFonts w:cs="Arial"/>
                <w:color w:val="000000" w:themeColor="text1"/>
                <w:szCs w:val="16"/>
              </w:rPr>
              <w:t>3.97%</w:t>
            </w:r>
          </w:p>
        </w:tc>
      </w:tr>
      <w:tr w:rsidR="00B67FCE" w:rsidRPr="00781112" w14:paraId="72653908" w14:textId="04D938F0" w:rsidTr="00845B9B">
        <w:tc>
          <w:tcPr>
            <w:tcW w:w="491" w:type="pct"/>
            <w:shd w:val="clear" w:color="auto" w:fill="auto"/>
            <w:vAlign w:val="center"/>
          </w:tcPr>
          <w:p w14:paraId="48B507DA" w14:textId="179672F1"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Math</w:t>
            </w:r>
          </w:p>
        </w:tc>
        <w:tc>
          <w:tcPr>
            <w:tcW w:w="421" w:type="pct"/>
            <w:shd w:val="clear" w:color="auto" w:fill="auto"/>
            <w:vAlign w:val="center"/>
          </w:tcPr>
          <w:p w14:paraId="63FB17C0" w14:textId="2F2DF4DD"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C &gt;=</w:t>
            </w:r>
          </w:p>
        </w:tc>
        <w:tc>
          <w:tcPr>
            <w:tcW w:w="1051" w:type="pct"/>
            <w:shd w:val="clear" w:color="auto" w:fill="auto"/>
            <w:vAlign w:val="center"/>
          </w:tcPr>
          <w:p w14:paraId="54F8A2F9" w14:textId="5C3A3F72" w:rsidR="00B67FCE" w:rsidRPr="00781112" w:rsidDel="00DE5045" w:rsidRDefault="00B67FCE" w:rsidP="00D13592">
            <w:pPr>
              <w:jc w:val="center"/>
              <w:rPr>
                <w:rFonts w:cs="Arial"/>
                <w:color w:val="000000" w:themeColor="text1"/>
                <w:szCs w:val="16"/>
              </w:rPr>
            </w:pPr>
            <w:r w:rsidRPr="00781112">
              <w:rPr>
                <w:rFonts w:cs="Arial"/>
                <w:color w:val="000000" w:themeColor="text1"/>
                <w:szCs w:val="16"/>
              </w:rPr>
              <w:t>Grade HS</w:t>
            </w:r>
          </w:p>
        </w:tc>
        <w:tc>
          <w:tcPr>
            <w:tcW w:w="759" w:type="pct"/>
            <w:shd w:val="clear" w:color="auto" w:fill="auto"/>
            <w:vAlign w:val="center"/>
          </w:tcPr>
          <w:p w14:paraId="32CB0D9F" w14:textId="65605481" w:rsidR="00B67FCE" w:rsidRPr="00781112" w:rsidRDefault="00B67FCE" w:rsidP="00D13592">
            <w:pPr>
              <w:jc w:val="center"/>
              <w:rPr>
                <w:rFonts w:cs="Arial"/>
                <w:color w:val="000000" w:themeColor="text1"/>
                <w:szCs w:val="16"/>
              </w:rPr>
            </w:pPr>
            <w:r w:rsidRPr="00781112">
              <w:rPr>
                <w:rFonts w:cs="Arial"/>
                <w:color w:val="000000" w:themeColor="text1"/>
                <w:szCs w:val="16"/>
              </w:rPr>
              <w:t>30.45%</w:t>
            </w:r>
          </w:p>
        </w:tc>
        <w:tc>
          <w:tcPr>
            <w:tcW w:w="759" w:type="pct"/>
            <w:vAlign w:val="center"/>
          </w:tcPr>
          <w:p w14:paraId="72012D7E" w14:textId="10B8E7BA" w:rsidR="00B67FCE" w:rsidRPr="00781112" w:rsidRDefault="00B67FCE" w:rsidP="00D13592">
            <w:pPr>
              <w:jc w:val="center"/>
              <w:rPr>
                <w:rFonts w:cs="Arial"/>
                <w:color w:val="000000" w:themeColor="text1"/>
                <w:szCs w:val="16"/>
              </w:rPr>
            </w:pPr>
            <w:r w:rsidRPr="00781112">
              <w:rPr>
                <w:rFonts w:cs="Arial"/>
                <w:color w:val="000000" w:themeColor="text1"/>
                <w:szCs w:val="16"/>
              </w:rPr>
              <w:t>30.86%</w:t>
            </w:r>
          </w:p>
        </w:tc>
        <w:tc>
          <w:tcPr>
            <w:tcW w:w="759" w:type="pct"/>
            <w:vAlign w:val="center"/>
          </w:tcPr>
          <w:p w14:paraId="323B3F79" w14:textId="5FA94A39" w:rsidR="00B67FCE" w:rsidRPr="00781112" w:rsidRDefault="00B67FCE" w:rsidP="00D13592">
            <w:pPr>
              <w:jc w:val="center"/>
              <w:rPr>
                <w:rFonts w:cs="Arial"/>
                <w:color w:val="000000" w:themeColor="text1"/>
                <w:szCs w:val="16"/>
              </w:rPr>
            </w:pPr>
            <w:r w:rsidRPr="00781112">
              <w:rPr>
                <w:rFonts w:cs="Arial"/>
                <w:color w:val="000000" w:themeColor="text1"/>
                <w:szCs w:val="16"/>
              </w:rPr>
              <w:t>31.27%</w:t>
            </w:r>
          </w:p>
        </w:tc>
        <w:tc>
          <w:tcPr>
            <w:tcW w:w="759" w:type="pct"/>
            <w:vAlign w:val="center"/>
          </w:tcPr>
          <w:p w14:paraId="4A1DD032" w14:textId="1316ECD4" w:rsidR="00B67FCE" w:rsidRPr="00781112" w:rsidRDefault="00B67FCE" w:rsidP="00D13592">
            <w:pPr>
              <w:jc w:val="center"/>
              <w:rPr>
                <w:rFonts w:cs="Arial"/>
                <w:color w:val="000000" w:themeColor="text1"/>
                <w:szCs w:val="16"/>
              </w:rPr>
            </w:pPr>
            <w:r w:rsidRPr="00781112">
              <w:rPr>
                <w:rFonts w:cs="Arial"/>
                <w:color w:val="000000" w:themeColor="text1"/>
                <w:szCs w:val="16"/>
              </w:rPr>
              <w:t>31.68%</w:t>
            </w:r>
          </w:p>
        </w:tc>
      </w:tr>
    </w:tbl>
    <w:p w14:paraId="113C15D2" w14:textId="77777777" w:rsidR="00140972" w:rsidRDefault="00140972">
      <w:pPr>
        <w:spacing w:before="0" w:after="200" w:line="276" w:lineRule="auto"/>
        <w:rPr>
          <w:b/>
          <w:color w:val="000000" w:themeColor="text1"/>
        </w:rPr>
      </w:pPr>
      <w:r>
        <w:rPr>
          <w:b/>
          <w:color w:val="000000" w:themeColor="text1"/>
        </w:rPr>
        <w:br w:type="page"/>
      </w:r>
    </w:p>
    <w:p w14:paraId="0A08A514" w14:textId="090EA0D1" w:rsidR="002D145D" w:rsidRPr="00781112" w:rsidRDefault="002D145D" w:rsidP="004369B2">
      <w:pPr>
        <w:rPr>
          <w:b/>
          <w:color w:val="000000" w:themeColor="text1"/>
        </w:rPr>
      </w:pPr>
      <w:r w:rsidRPr="00781112">
        <w:rPr>
          <w:b/>
          <w:color w:val="000000" w:themeColor="text1"/>
        </w:rPr>
        <w:lastRenderedPageBreak/>
        <w:t xml:space="preserve">Targets: Description of Stakeholder Input </w:t>
      </w:r>
    </w:p>
    <w:p w14:paraId="08B1A70A" w14:textId="19A83495" w:rsidR="002D145D" w:rsidRPr="00781112" w:rsidRDefault="002B7490" w:rsidP="002D145D">
      <w:pPr>
        <w:rPr>
          <w:rFonts w:cs="Arial"/>
          <w:color w:val="000000" w:themeColor="text1"/>
          <w:szCs w:val="16"/>
        </w:rPr>
      </w:pPr>
      <w:r w:rsidRPr="00781112">
        <w:rPr>
          <w:rFonts w:cs="Arial"/>
          <w:color w:val="000000" w:themeColor="text1"/>
          <w:szCs w:val="16"/>
        </w:rPr>
        <w:t>Mechanism for Broad Stakeholder Input:</w:t>
        <w:br/>
        <w:t xml:space="preserve">During FFY2022, the State held stakeholder meetings as the mechanism for soliciting broad stakeholder input on the State’s targets in the SPP/APR and any subsequent revisions. The meetings were held in-person for the first time following the COVID-19 pandemic. An online option was available for stakeholders that were not able to meet in person. In the meetings, Stakeholder groups reviewed the FFY2021 data, and the baselines and targets established for FFY 2020-2025. The groups analyzed the data to determine if established baselines and targets established in the prior year, were still an accurate depiction of the state’s performance trajectory. The meetings also allowed time for stakeholders to provide input on improvement strategies and progress for the SPP/APR indicators. The State also revised its methodology for Indicators 4a and 4b in which the information was shared with stakeholders and input was sought. In addition, the State also proposed a revised LEA annual determination rubric to include target indicators. The revised rubric will be used with FFY2023 LEA annual determinations and is consistent with the information in the OSEP Question and Answer document QA 23-01. </w:t>
        <w:br/>
        <w:t/>
        <w:br/>
        <w:t xml:space="preserve">Stakeholder meeting information including meeting logistics and presentations are available on the Special Education Division (SED) website for the public and any interested individual to access. Flyers were created and LEAs were asked to disseminate the information to their staff, parents, and students. The Parent Training Centers (PTCs) were asked to share the meeting information with parents including through social media. Other groups such as tribes, IDEA panel members, the State Special Education Ombud, and other parent advocacy groups were sent invitations to each of the meetings. </w:t>
        <w:br/>
        <w:t/>
        <w:br/>
        <w:t>Any stakeholder that wanted to provide feedback but could not attend the meetings, had an opportunity to do so. On the State’s stakeholder page, individuals can click on the link and share their input with the state staff by completing an input form. The feedback received from the website is also considered when making revisions and establishing targets.</w:t>
        <w:br/>
        <w:t/>
        <w:br/>
        <w:t>Feedback Summary:</w:t>
        <w:br/>
        <w:t>For Indicators 4a and 4b, the State’s methodology was proposed to be changed to meet OSEP requirements as indicated in the FFY2021, SPP/APR OSEP Responses and Required Actions. Stakeholders were presented with the new proposed methodology in which the cell size of 10 requirement was removed, the N size was reduced to 10 and a rate ratio of 3.0 was introduced. In comparison to the previous methodology, where a cell size and N size of 10 were required as well as a risk ratio of 1 percentage point above the state rate. Stakeholders had no objections or concerns with the new methodology. The State will use the new methodology to apply to the Indicator 4 data reported in this FFY2022 State Performance Plan/Annual Performance Report (SPP/APR).</w:t>
        <w:br/>
        <w:t/>
        <w:br/>
        <w:t>Indicator 17, State Systemic Improvement Plan:</w:t>
        <w:br/>
        <w:t xml:space="preserve">1. ECLIPSE program coordinators presented data and program updates to the state IDEA Panel (members include parents, advocates, state staff, and educators) during the 2022-2023 school year. IDEA panel members were engaged in the ECLIPSE program presentation on Indicator 17 and updates. An ECLIPSE panel committee provided qualitative feedback via a Google Form survey. The panel members conveyed the program is making progress in improving literacy outcomes forward for students with disabilities. Recommendations included increasing parental involvement and increased awareness of the program's successes. </w:t>
        <w:br/>
        <w:t>2. A virtual ECLIPSE stakeholder meeting was held during the 2022-2023 school year. Stakeholders in attendance included the ECLIPSE staff, Regional Education Cooperative (REC) coordinators, Special Education Directors, and ECLIPSE school principals. Stakeholders in attendance were provided with ECLIPSE program details for the upcoming school year and verbal feedback about the ECLIPSE Program at the end of the meeting.</w:t>
        <w:br/>
        <w:t xml:space="preserve">3. Parent engagement stakeholder meetings were held in-person and through online platforms where they were provided direct literacy training via hands-on activities. If the meeting was online, materials were provided to the schools prior to the meeting. The Regional Education Cooperative (REC) contractors provided materials, activities, and training to parents in-person. The REC initiated Google Pre and Post surveys following the trainings and it indicated that the level of understanding to support reading at home increased. Parental understanding of what the predicator of reading success was increased dramatically between pre and post surveys. A summary of parent comments included that the engagement sessions provided a lot of great information, it was a fun learning experience, and they looked forward to future meetings. </w:t>
        <w:br/>
        <w:t xml:space="preserve">4. The ECLIPSE staff initiated surveys during 2022-2023 to principals and teachers through Google Forms survey. Teachers showed dramatic increases in their knowledge of the incorporation of engagement strategies with their students due to their coaches. In a pre-survey, administrators listed that professional development on literacy is one of the greatest needs of the teachers they support. They also stated that time and equitable feedback were areas of administrative need. </w:t>
        <w:br/>
        <w:t>5. An online end of year survey was sent to all ECLIPSE stakeholders as the 2022-2023 school year ended. The main consensus from the survey supported the ongoing development of the program to illustrate its impact so adjustments can be made to better inform ourselves and our stakeholders of progress.</w:t>
      </w:r>
    </w:p>
    <w:p w14:paraId="2261CE05" w14:textId="31E113F2" w:rsidR="002D145D" w:rsidRPr="00781112" w:rsidRDefault="002B7490" w:rsidP="002D145D">
      <w:pPr>
        <w:rPr>
          <w:rFonts w:cs="Arial"/>
          <w:color w:val="000000" w:themeColor="text1"/>
          <w:szCs w:val="16"/>
        </w:rPr>
      </w:pPr>
      <w:r w:rsidRPr="00781112">
        <w:rPr>
          <w:rFonts w:cs="Arial"/>
          <w:color w:val="000000" w:themeColor="text1"/>
          <w:szCs w:val="16"/>
        </w:rPr>
        <w:t/>
      </w:r>
    </w:p>
    <w:p w14:paraId="4A15E54A" w14:textId="77777777" w:rsidR="00B8751C" w:rsidRPr="00781112" w:rsidRDefault="00B8751C">
      <w:pPr>
        <w:rPr>
          <w:b/>
          <w:color w:val="000000" w:themeColor="text1"/>
        </w:rPr>
      </w:pPr>
    </w:p>
    <w:p w14:paraId="01651096" w14:textId="226AAF4C" w:rsidR="000A5A2E" w:rsidRPr="00781112" w:rsidRDefault="00FA33C9">
      <w:pPr>
        <w:rPr>
          <w:b/>
          <w:color w:val="000000" w:themeColor="text1"/>
        </w:rPr>
      </w:pPr>
      <w:r>
        <w:rPr>
          <w:b/>
          <w:color w:val="000000" w:themeColor="text1"/>
        </w:rPr>
        <w:t xml:space="preserve">FFY 2022 Data Disaggregation from </w:t>
      </w:r>
      <w:proofErr w:type="spellStart"/>
      <w:r>
        <w:rPr>
          <w:b/>
          <w:color w:val="000000" w:themeColor="text1"/>
        </w:rPr>
        <w:t>ED</w:t>
      </w:r>
      <w:r w:rsidRPr="00BA3DBE">
        <w:rPr>
          <w:b/>
          <w:i/>
          <w:iCs/>
          <w:color w:val="000000" w:themeColor="text1"/>
        </w:rPr>
        <w:t>Facts</w:t>
      </w:r>
      <w:proofErr w:type="spellEnd"/>
    </w:p>
    <w:p w14:paraId="42AECFE6" w14:textId="77777777" w:rsidR="00F41DFF" w:rsidRPr="00781112" w:rsidRDefault="00A10323" w:rsidP="00286BDF">
      <w:pPr>
        <w:rPr>
          <w:rFonts w:cs="Arial"/>
          <w:b/>
          <w:color w:val="000000" w:themeColor="text1"/>
          <w:szCs w:val="16"/>
        </w:rPr>
      </w:pPr>
      <w:r w:rsidRPr="00781112">
        <w:rPr>
          <w:rFonts w:cs="Arial"/>
          <w:b/>
          <w:color w:val="000000" w:themeColor="text1"/>
          <w:szCs w:val="16"/>
        </w:rPr>
        <w:t xml:space="preserve">Data Source: </w:t>
      </w:r>
    </w:p>
    <w:p w14:paraId="4E62FCFE" w14:textId="0B9900E2" w:rsidR="00A10323" w:rsidRPr="00781112" w:rsidRDefault="002B7490" w:rsidP="00286BDF">
      <w:pPr>
        <w:rPr>
          <w:rFonts w:cs="Arial"/>
          <w:color w:val="000000" w:themeColor="text1"/>
          <w:szCs w:val="16"/>
        </w:rPr>
      </w:pPr>
      <w:r w:rsidRPr="00781112">
        <w:rPr>
          <w:rFonts w:cs="Arial"/>
          <w:color w:val="000000" w:themeColor="text1"/>
          <w:szCs w:val="16"/>
        </w:rPr>
        <w:t>SY 2022-23 Assessment Data Groups - Reading (EDFacts file spec FS178; Data Group: 584)</w:t>
      </w:r>
    </w:p>
    <w:p w14:paraId="5E404A07" w14:textId="77777777" w:rsidR="00F41DFF" w:rsidRPr="00781112" w:rsidRDefault="00A10323" w:rsidP="00286BDF">
      <w:pPr>
        <w:rPr>
          <w:rFonts w:cs="Arial"/>
          <w:b/>
          <w:color w:val="000000" w:themeColor="text1"/>
          <w:szCs w:val="16"/>
        </w:rPr>
      </w:pPr>
      <w:r w:rsidRPr="00781112">
        <w:rPr>
          <w:rFonts w:cs="Arial"/>
          <w:b/>
          <w:color w:val="000000" w:themeColor="text1"/>
          <w:szCs w:val="16"/>
        </w:rPr>
        <w:t xml:space="preserve">Date: </w:t>
      </w:r>
    </w:p>
    <w:p w14:paraId="46908A6B" w14:textId="07C3945A" w:rsidR="00A10323" w:rsidRPr="00781112" w:rsidRDefault="002B7490" w:rsidP="00286BDF">
      <w:pPr>
        <w:rPr>
          <w:rFonts w:cs="Arial"/>
          <w:color w:val="000000" w:themeColor="text1"/>
          <w:szCs w:val="16"/>
        </w:rPr>
      </w:pPr>
      <w:r w:rsidRPr="00781112">
        <w:rPr>
          <w:rFonts w:cs="Arial"/>
          <w:color w:val="000000" w:themeColor="text1"/>
          <w:szCs w:val="16"/>
        </w:rPr>
        <w:t>01/10/2024</w:t>
      </w:r>
    </w:p>
    <w:p w14:paraId="7A786FF9" w14:textId="77777777" w:rsidR="00A63347" w:rsidRPr="00781112" w:rsidRDefault="00A63347">
      <w:pPr>
        <w:rPr>
          <w:b/>
          <w:color w:val="000000" w:themeColor="text1"/>
        </w:rPr>
      </w:pPr>
    </w:p>
    <w:p w14:paraId="603FD8CB" w14:textId="05C9185C" w:rsidR="00162F4A" w:rsidRPr="00781112" w:rsidRDefault="00162F4A">
      <w:pPr>
        <w:rPr>
          <w:b/>
          <w:color w:val="000000" w:themeColor="text1"/>
        </w:rPr>
      </w:pPr>
      <w:r w:rsidRPr="00781112">
        <w:rPr>
          <w:b/>
          <w:color w:val="000000" w:themeColor="text1"/>
        </w:rPr>
        <w:t>Reading Assessment Proficiency Data by Grade</w:t>
      </w:r>
    </w:p>
    <w:tbl>
      <w:tblPr>
        <w:tblStyle w:val="TableGrid"/>
        <w:tblW w:w="10795" w:type="dxa"/>
        <w:tblLayout w:type="fixed"/>
        <w:tblLook w:val="04A0" w:firstRow="1" w:lastRow="0" w:firstColumn="1" w:lastColumn="0" w:noHBand="0" w:noVBand="1"/>
        <w:tblCaption w:val="B03CASSPARTDATABYGRDRLA"/>
      </w:tblPr>
      <w:tblGrid>
        <w:gridCol w:w="2695"/>
        <w:gridCol w:w="2700"/>
        <w:gridCol w:w="2700"/>
        <w:gridCol w:w="2700"/>
      </w:tblGrid>
      <w:tr w:rsidR="003403B4" w:rsidRPr="00781112" w14:paraId="428FB0F7" w14:textId="08DAAE1B" w:rsidTr="00E95FBF">
        <w:tc>
          <w:tcPr>
            <w:tcW w:w="2695" w:type="dxa"/>
            <w:shd w:val="clear" w:color="auto" w:fill="auto"/>
          </w:tcPr>
          <w:p w14:paraId="3C2A5B11" w14:textId="73EE4867" w:rsidR="003403B4" w:rsidRPr="00781112" w:rsidRDefault="00835EAD" w:rsidP="003403B4">
            <w:pPr>
              <w:jc w:val="center"/>
              <w:rPr>
                <w:b/>
                <w:color w:val="000000" w:themeColor="text1"/>
              </w:rPr>
            </w:pPr>
            <w:r w:rsidRPr="00781112">
              <w:rPr>
                <w:rFonts w:cs="Arial"/>
                <w:b/>
                <w:bCs/>
                <w:color w:val="000000" w:themeColor="text1"/>
                <w:szCs w:val="16"/>
              </w:rPr>
              <w:t>Group</w:t>
            </w:r>
          </w:p>
        </w:tc>
        <w:tc>
          <w:tcPr>
            <w:tcW w:w="2700" w:type="dxa"/>
            <w:shd w:val="clear" w:color="auto" w:fill="auto"/>
            <w:vAlign w:val="center"/>
          </w:tcPr>
          <w:p w14:paraId="3FF46CFF" w14:textId="175C9EF7" w:rsidR="003403B4" w:rsidRPr="00781112" w:rsidRDefault="003403B4" w:rsidP="00196CE6">
            <w:pPr>
              <w:jc w:val="center"/>
              <w:rPr>
                <w:b/>
                <w:color w:val="000000" w:themeColor="text1"/>
              </w:rPr>
            </w:pPr>
            <w:r w:rsidRPr="00781112">
              <w:rPr>
                <w:rFonts w:cs="Arial"/>
                <w:b/>
                <w:bCs/>
                <w:color w:val="000000" w:themeColor="text1"/>
                <w:szCs w:val="16"/>
              </w:rPr>
              <w:t>Grade 4</w:t>
            </w:r>
          </w:p>
        </w:tc>
        <w:tc>
          <w:tcPr>
            <w:tcW w:w="2700" w:type="dxa"/>
            <w:shd w:val="clear" w:color="auto" w:fill="auto"/>
            <w:vAlign w:val="center"/>
          </w:tcPr>
          <w:p w14:paraId="1F0659F7" w14:textId="574B33D5" w:rsidR="003403B4" w:rsidRPr="00781112" w:rsidRDefault="003403B4" w:rsidP="00315E88">
            <w:pPr>
              <w:jc w:val="center"/>
              <w:rPr>
                <w:b/>
                <w:color w:val="000000" w:themeColor="text1"/>
              </w:rPr>
            </w:pPr>
            <w:r w:rsidRPr="00781112">
              <w:rPr>
                <w:rFonts w:cs="Arial"/>
                <w:b/>
                <w:bCs/>
                <w:color w:val="000000" w:themeColor="text1"/>
                <w:szCs w:val="16"/>
              </w:rPr>
              <w:t>Grade 8</w:t>
            </w:r>
          </w:p>
        </w:tc>
        <w:tc>
          <w:tcPr>
            <w:tcW w:w="2700" w:type="dxa"/>
            <w:shd w:val="clear" w:color="auto" w:fill="auto"/>
            <w:vAlign w:val="center"/>
          </w:tcPr>
          <w:p w14:paraId="51B61EB6" w14:textId="7B1064DE" w:rsidR="003403B4" w:rsidRPr="00781112" w:rsidRDefault="003403B4" w:rsidP="00E14CF0">
            <w:pPr>
              <w:jc w:val="center"/>
              <w:rPr>
                <w:b/>
                <w:color w:val="000000" w:themeColor="text1"/>
              </w:rPr>
            </w:pPr>
            <w:r w:rsidRPr="00781112">
              <w:rPr>
                <w:rFonts w:cs="Arial"/>
                <w:b/>
                <w:bCs/>
                <w:color w:val="000000" w:themeColor="text1"/>
                <w:szCs w:val="16"/>
              </w:rPr>
              <w:t>Grade HS</w:t>
            </w:r>
          </w:p>
        </w:tc>
      </w:tr>
      <w:tr w:rsidR="005A486A" w:rsidRPr="00781112" w14:paraId="15C4E2F5" w14:textId="23A18F5A" w:rsidTr="00E95FBF">
        <w:tc>
          <w:tcPr>
            <w:tcW w:w="2695" w:type="dxa"/>
            <w:shd w:val="clear" w:color="auto" w:fill="auto"/>
          </w:tcPr>
          <w:p w14:paraId="1D84B931" w14:textId="3EFA8778" w:rsidR="005A486A" w:rsidRPr="00781112" w:rsidRDefault="005A486A" w:rsidP="005A486A">
            <w:pPr>
              <w:rPr>
                <w:b/>
                <w:color w:val="000000" w:themeColor="text1"/>
              </w:rPr>
            </w:pPr>
            <w:r w:rsidRPr="00781112">
              <w:rPr>
                <w:rFonts w:cs="Arial"/>
                <w:szCs w:val="16"/>
                <w:shd w:val="clear" w:color="auto" w:fill="FFFFFF"/>
              </w:rPr>
              <w:t xml:space="preserve">a. Children with IEPs who received a valid score and a proficiency level was assigned </w:t>
            </w:r>
            <w:r w:rsidRPr="0075451F">
              <w:rPr>
                <w:rFonts w:cs="Arial"/>
                <w:szCs w:val="16"/>
              </w:rPr>
              <w:t>for the alternate assessment</w:t>
            </w:r>
          </w:p>
        </w:tc>
        <w:tc>
          <w:tcPr>
            <w:tcW w:w="2700" w:type="dxa"/>
            <w:shd w:val="clear" w:color="auto" w:fill="auto"/>
            <w:vAlign w:val="center"/>
          </w:tcPr>
          <w:p w14:paraId="07C14EE4" w14:textId="28486B47" w:rsidR="005A486A" w:rsidRPr="00781112" w:rsidRDefault="005A486A" w:rsidP="00360DD6">
            <w:pPr>
              <w:jc w:val="center"/>
              <w:rPr>
                <w:b/>
                <w:color w:val="000000" w:themeColor="text1"/>
              </w:rPr>
            </w:pPr>
            <w:r w:rsidRPr="00781112">
              <w:rPr>
                <w:color w:val="000000" w:themeColor="text1"/>
              </w:rPr>
              <w:t>296</w:t>
            </w:r>
          </w:p>
        </w:tc>
        <w:tc>
          <w:tcPr>
            <w:tcW w:w="2700" w:type="dxa"/>
            <w:shd w:val="clear" w:color="auto" w:fill="auto"/>
            <w:vAlign w:val="center"/>
          </w:tcPr>
          <w:p w14:paraId="1DFC3C40" w14:textId="5833F145" w:rsidR="005A486A" w:rsidRPr="00781112" w:rsidRDefault="005A486A" w:rsidP="00360DD6">
            <w:pPr>
              <w:jc w:val="center"/>
              <w:rPr>
                <w:b/>
                <w:color w:val="000000" w:themeColor="text1"/>
              </w:rPr>
            </w:pPr>
            <w:r w:rsidRPr="00781112">
              <w:rPr>
                <w:color w:val="000000" w:themeColor="text1"/>
              </w:rPr>
              <w:t>316</w:t>
            </w:r>
          </w:p>
        </w:tc>
        <w:tc>
          <w:tcPr>
            <w:tcW w:w="2700" w:type="dxa"/>
            <w:shd w:val="clear" w:color="auto" w:fill="auto"/>
            <w:vAlign w:val="center"/>
          </w:tcPr>
          <w:p w14:paraId="70A0184C" w14:textId="4D57349B" w:rsidR="005A486A" w:rsidRPr="00781112" w:rsidRDefault="005A486A" w:rsidP="00360DD6">
            <w:pPr>
              <w:jc w:val="center"/>
              <w:rPr>
                <w:b/>
                <w:color w:val="000000" w:themeColor="text1"/>
              </w:rPr>
            </w:pPr>
            <w:r w:rsidRPr="00781112">
              <w:rPr>
                <w:color w:val="000000" w:themeColor="text1"/>
              </w:rPr>
              <w:t>254</w:t>
            </w:r>
          </w:p>
        </w:tc>
      </w:tr>
      <w:tr w:rsidR="005A486A" w:rsidRPr="00781112" w14:paraId="3BE009FE" w14:textId="48A19AF7" w:rsidTr="00E95FBF">
        <w:tc>
          <w:tcPr>
            <w:tcW w:w="2695" w:type="dxa"/>
            <w:shd w:val="clear" w:color="auto" w:fill="auto"/>
          </w:tcPr>
          <w:p w14:paraId="3D43994F" w14:textId="3B46415A" w:rsidR="005A486A" w:rsidRPr="00781112" w:rsidRDefault="003403B4" w:rsidP="005A486A">
            <w:pPr>
              <w:rPr>
                <w:b/>
                <w:color w:val="000000" w:themeColor="text1"/>
              </w:rPr>
            </w:pPr>
            <w:r w:rsidRPr="00781112">
              <w:rPr>
                <w:rFonts w:cs="Arial"/>
                <w:szCs w:val="16"/>
                <w:shd w:val="clear" w:color="auto" w:fill="FFFFFF"/>
              </w:rPr>
              <w:t>b. Children with IEPs in alternate assessment against alternate standards scored at or above proficient</w:t>
            </w:r>
          </w:p>
        </w:tc>
        <w:tc>
          <w:tcPr>
            <w:tcW w:w="2700" w:type="dxa"/>
            <w:shd w:val="clear" w:color="auto" w:fill="auto"/>
            <w:vAlign w:val="center"/>
          </w:tcPr>
          <w:p w14:paraId="655D5067" w14:textId="45460D4D" w:rsidR="005A486A" w:rsidRPr="00781112" w:rsidRDefault="005A486A" w:rsidP="00360DD6">
            <w:pPr>
              <w:jc w:val="center"/>
              <w:rPr>
                <w:b/>
                <w:color w:val="000000" w:themeColor="text1"/>
              </w:rPr>
            </w:pPr>
            <w:r w:rsidRPr="00781112">
              <w:rPr>
                <w:color w:val="000000" w:themeColor="text1"/>
              </w:rPr>
              <w:t>46</w:t>
            </w:r>
          </w:p>
        </w:tc>
        <w:tc>
          <w:tcPr>
            <w:tcW w:w="2700" w:type="dxa"/>
            <w:shd w:val="clear" w:color="auto" w:fill="auto"/>
            <w:vAlign w:val="center"/>
          </w:tcPr>
          <w:p w14:paraId="47E25E0D" w14:textId="60D76349" w:rsidR="005A486A" w:rsidRPr="00781112" w:rsidRDefault="005A486A" w:rsidP="00360DD6">
            <w:pPr>
              <w:jc w:val="center"/>
              <w:rPr>
                <w:b/>
                <w:color w:val="000000" w:themeColor="text1"/>
              </w:rPr>
            </w:pPr>
            <w:r w:rsidRPr="00781112">
              <w:rPr>
                <w:color w:val="000000" w:themeColor="text1"/>
              </w:rPr>
              <w:t>77</w:t>
            </w:r>
          </w:p>
        </w:tc>
        <w:tc>
          <w:tcPr>
            <w:tcW w:w="2700" w:type="dxa"/>
            <w:shd w:val="clear" w:color="auto" w:fill="auto"/>
            <w:vAlign w:val="center"/>
          </w:tcPr>
          <w:p w14:paraId="523F025F" w14:textId="6533B4FD" w:rsidR="005A486A" w:rsidRPr="00781112" w:rsidRDefault="005A486A" w:rsidP="00360DD6">
            <w:pPr>
              <w:jc w:val="center"/>
              <w:rPr>
                <w:b/>
                <w:color w:val="000000" w:themeColor="text1"/>
              </w:rPr>
            </w:pPr>
            <w:r w:rsidRPr="00781112">
              <w:rPr>
                <w:color w:val="000000" w:themeColor="text1"/>
              </w:rPr>
              <w:t>82</w:t>
            </w:r>
          </w:p>
        </w:tc>
      </w:tr>
    </w:tbl>
    <w:p w14:paraId="31899BDA" w14:textId="77777777" w:rsidR="00F41DFF" w:rsidRPr="00781112" w:rsidRDefault="00BD7229" w:rsidP="00286BDF">
      <w:pPr>
        <w:rPr>
          <w:rFonts w:cs="Arial"/>
          <w:b/>
          <w:color w:val="000000" w:themeColor="text1"/>
          <w:szCs w:val="16"/>
        </w:rPr>
      </w:pPr>
      <w:r w:rsidRPr="00781112">
        <w:rPr>
          <w:rFonts w:cs="Arial"/>
          <w:b/>
          <w:color w:val="000000" w:themeColor="text1"/>
          <w:szCs w:val="16"/>
        </w:rPr>
        <w:t xml:space="preserve">Data Source:  </w:t>
      </w:r>
    </w:p>
    <w:p w14:paraId="6AEE1AE1" w14:textId="785594EB" w:rsidR="00BD7229" w:rsidRPr="00781112" w:rsidRDefault="002B7490" w:rsidP="00286BDF">
      <w:pPr>
        <w:rPr>
          <w:rFonts w:cs="Arial"/>
          <w:color w:val="000000" w:themeColor="text1"/>
          <w:szCs w:val="16"/>
        </w:rPr>
      </w:pPr>
      <w:r w:rsidRPr="00781112">
        <w:rPr>
          <w:rFonts w:cs="Arial"/>
          <w:color w:val="000000" w:themeColor="text1"/>
          <w:szCs w:val="16"/>
        </w:rPr>
        <w:t>SY 2022-23 Assessment Data Groups - Math (EDFacts file spec FS175; Data Group: 583)</w:t>
      </w:r>
    </w:p>
    <w:p w14:paraId="59F25B6E" w14:textId="77777777" w:rsidR="00F41DFF" w:rsidRPr="00781112" w:rsidRDefault="00BD7229" w:rsidP="00286BDF">
      <w:pPr>
        <w:rPr>
          <w:rFonts w:cs="Arial"/>
          <w:b/>
          <w:color w:val="000000" w:themeColor="text1"/>
          <w:szCs w:val="16"/>
        </w:rPr>
      </w:pPr>
      <w:r w:rsidRPr="00781112">
        <w:rPr>
          <w:rFonts w:cs="Arial"/>
          <w:b/>
          <w:color w:val="000000" w:themeColor="text1"/>
          <w:szCs w:val="16"/>
        </w:rPr>
        <w:t xml:space="preserve">Date: </w:t>
      </w:r>
    </w:p>
    <w:p w14:paraId="4B8A206D" w14:textId="36B0E5E5" w:rsidR="00BD7229" w:rsidRPr="00781112" w:rsidRDefault="002B7490" w:rsidP="00286BDF">
      <w:pPr>
        <w:rPr>
          <w:rFonts w:cs="Arial"/>
          <w:color w:val="000000" w:themeColor="text1"/>
          <w:szCs w:val="16"/>
        </w:rPr>
      </w:pPr>
      <w:r w:rsidRPr="00781112">
        <w:rPr>
          <w:rFonts w:cs="Arial"/>
          <w:color w:val="000000" w:themeColor="text1"/>
          <w:szCs w:val="16"/>
        </w:rPr>
        <w:t>01/10/2024</w:t>
      </w:r>
    </w:p>
    <w:p w14:paraId="3365AF3D" w14:textId="2AFA5758" w:rsidR="00162F4A" w:rsidRPr="00781112" w:rsidRDefault="00162F4A">
      <w:pPr>
        <w:rPr>
          <w:b/>
          <w:color w:val="000000" w:themeColor="text1"/>
        </w:rPr>
      </w:pPr>
      <w:r w:rsidRPr="00781112">
        <w:rPr>
          <w:b/>
          <w:color w:val="000000" w:themeColor="text1"/>
        </w:rPr>
        <w:t>Math Assessment Proficiency Data by Grade</w:t>
      </w:r>
    </w:p>
    <w:tbl>
      <w:tblPr>
        <w:tblStyle w:val="TableGrid"/>
        <w:tblW w:w="10795" w:type="dxa"/>
        <w:tblLayout w:type="fixed"/>
        <w:tblLook w:val="04A0" w:firstRow="1" w:lastRow="0" w:firstColumn="1" w:lastColumn="0" w:noHBand="0" w:noVBand="1"/>
        <w:tblCaption w:val="B03CASSPARTDATABYGRDMATH"/>
      </w:tblPr>
      <w:tblGrid>
        <w:gridCol w:w="2695"/>
        <w:gridCol w:w="2700"/>
        <w:gridCol w:w="2700"/>
        <w:gridCol w:w="2700"/>
      </w:tblGrid>
      <w:tr w:rsidR="0084736E" w:rsidRPr="00781112" w14:paraId="62DE1B1F" w14:textId="77777777" w:rsidTr="00E95FBF">
        <w:tc>
          <w:tcPr>
            <w:tcW w:w="2695" w:type="dxa"/>
            <w:shd w:val="clear" w:color="auto" w:fill="auto"/>
          </w:tcPr>
          <w:p w14:paraId="190C09EE" w14:textId="0BB3377D" w:rsidR="0084736E" w:rsidRPr="00781112" w:rsidRDefault="00835EAD" w:rsidP="0084736E">
            <w:pPr>
              <w:jc w:val="center"/>
              <w:rPr>
                <w:b/>
                <w:color w:val="000000" w:themeColor="text1"/>
              </w:rPr>
            </w:pPr>
            <w:r w:rsidRPr="00781112">
              <w:rPr>
                <w:rFonts w:cs="Arial"/>
                <w:b/>
                <w:bCs/>
                <w:color w:val="000000" w:themeColor="text1"/>
                <w:szCs w:val="16"/>
              </w:rPr>
              <w:t>Group</w:t>
            </w:r>
          </w:p>
        </w:tc>
        <w:tc>
          <w:tcPr>
            <w:tcW w:w="2700" w:type="dxa"/>
            <w:shd w:val="clear" w:color="auto" w:fill="auto"/>
            <w:vAlign w:val="center"/>
          </w:tcPr>
          <w:p w14:paraId="7DE5B404" w14:textId="75646743" w:rsidR="0084736E" w:rsidRPr="00781112" w:rsidRDefault="0084736E" w:rsidP="0084736E">
            <w:pPr>
              <w:jc w:val="center"/>
              <w:rPr>
                <w:b/>
                <w:color w:val="000000" w:themeColor="text1"/>
              </w:rPr>
            </w:pPr>
            <w:r w:rsidRPr="00781112">
              <w:rPr>
                <w:rFonts w:cs="Arial"/>
                <w:b/>
                <w:bCs/>
                <w:color w:val="000000" w:themeColor="text1"/>
                <w:szCs w:val="16"/>
              </w:rPr>
              <w:t>Grade 4</w:t>
            </w:r>
          </w:p>
        </w:tc>
        <w:tc>
          <w:tcPr>
            <w:tcW w:w="2700" w:type="dxa"/>
            <w:shd w:val="clear" w:color="auto" w:fill="auto"/>
            <w:vAlign w:val="center"/>
          </w:tcPr>
          <w:p w14:paraId="7038055F" w14:textId="27DA5FAA" w:rsidR="0084736E" w:rsidRPr="00781112" w:rsidRDefault="0084736E" w:rsidP="0084736E">
            <w:pPr>
              <w:jc w:val="center"/>
              <w:rPr>
                <w:b/>
                <w:color w:val="000000" w:themeColor="text1"/>
              </w:rPr>
            </w:pPr>
            <w:r w:rsidRPr="00781112">
              <w:rPr>
                <w:rFonts w:cs="Arial"/>
                <w:b/>
                <w:bCs/>
                <w:color w:val="000000" w:themeColor="text1"/>
                <w:szCs w:val="16"/>
              </w:rPr>
              <w:t>Grade 8</w:t>
            </w:r>
          </w:p>
        </w:tc>
        <w:tc>
          <w:tcPr>
            <w:tcW w:w="2700" w:type="dxa"/>
            <w:shd w:val="clear" w:color="auto" w:fill="auto"/>
            <w:vAlign w:val="center"/>
          </w:tcPr>
          <w:p w14:paraId="3032FA89" w14:textId="7F94CD01" w:rsidR="0084736E" w:rsidRPr="00781112" w:rsidRDefault="0084736E" w:rsidP="0084736E">
            <w:pPr>
              <w:jc w:val="center"/>
              <w:rPr>
                <w:b/>
                <w:color w:val="000000" w:themeColor="text1"/>
              </w:rPr>
            </w:pPr>
            <w:r w:rsidRPr="00781112">
              <w:rPr>
                <w:rFonts w:cs="Arial"/>
                <w:b/>
                <w:bCs/>
                <w:color w:val="000000" w:themeColor="text1"/>
                <w:szCs w:val="16"/>
              </w:rPr>
              <w:t>Grade HS</w:t>
            </w:r>
          </w:p>
        </w:tc>
      </w:tr>
      <w:tr w:rsidR="00660173" w:rsidRPr="00781112" w14:paraId="33333988" w14:textId="77777777" w:rsidTr="00E95FBF">
        <w:tc>
          <w:tcPr>
            <w:tcW w:w="2695" w:type="dxa"/>
            <w:shd w:val="clear" w:color="auto" w:fill="auto"/>
          </w:tcPr>
          <w:p w14:paraId="7DC36ACB" w14:textId="0A898DD0" w:rsidR="00660173" w:rsidRPr="00781112" w:rsidRDefault="00660173" w:rsidP="00660173">
            <w:pPr>
              <w:rPr>
                <w:b/>
                <w:color w:val="000000" w:themeColor="text1"/>
              </w:rPr>
            </w:pPr>
            <w:r w:rsidRPr="00781112">
              <w:rPr>
                <w:rFonts w:cs="Arial"/>
                <w:szCs w:val="16"/>
                <w:shd w:val="clear" w:color="auto" w:fill="FFFFFF"/>
              </w:rPr>
              <w:t xml:space="preserve">a. Children with IEPs who received a valid score and a proficiency level was assigned </w:t>
            </w:r>
            <w:r w:rsidRPr="0075451F">
              <w:rPr>
                <w:rFonts w:cs="Arial"/>
                <w:szCs w:val="16"/>
              </w:rPr>
              <w:t>for the alternate assessment</w:t>
            </w:r>
          </w:p>
        </w:tc>
        <w:tc>
          <w:tcPr>
            <w:tcW w:w="2700" w:type="dxa"/>
            <w:shd w:val="clear" w:color="auto" w:fill="auto"/>
            <w:vAlign w:val="center"/>
          </w:tcPr>
          <w:p w14:paraId="4CE4FB96" w14:textId="01B59A61" w:rsidR="00660173" w:rsidRPr="00781112" w:rsidRDefault="00660173" w:rsidP="00360DD6">
            <w:pPr>
              <w:jc w:val="center"/>
              <w:rPr>
                <w:b/>
                <w:color w:val="000000" w:themeColor="text1"/>
              </w:rPr>
            </w:pPr>
            <w:r w:rsidRPr="00781112">
              <w:rPr>
                <w:color w:val="000000" w:themeColor="text1"/>
              </w:rPr>
              <w:t>293</w:t>
            </w:r>
          </w:p>
        </w:tc>
        <w:tc>
          <w:tcPr>
            <w:tcW w:w="2700" w:type="dxa"/>
            <w:shd w:val="clear" w:color="auto" w:fill="auto"/>
            <w:vAlign w:val="center"/>
          </w:tcPr>
          <w:p w14:paraId="07947D7E" w14:textId="50342908" w:rsidR="00660173" w:rsidRPr="00781112" w:rsidRDefault="00660173" w:rsidP="00360DD6">
            <w:pPr>
              <w:jc w:val="center"/>
              <w:rPr>
                <w:b/>
                <w:color w:val="000000" w:themeColor="text1"/>
              </w:rPr>
            </w:pPr>
            <w:r w:rsidRPr="00781112">
              <w:rPr>
                <w:color w:val="000000" w:themeColor="text1"/>
              </w:rPr>
              <w:t>315</w:t>
            </w:r>
          </w:p>
        </w:tc>
        <w:tc>
          <w:tcPr>
            <w:tcW w:w="2700" w:type="dxa"/>
            <w:shd w:val="clear" w:color="auto" w:fill="auto"/>
            <w:vAlign w:val="center"/>
          </w:tcPr>
          <w:p w14:paraId="669EEFA3" w14:textId="194786E9" w:rsidR="00660173" w:rsidRPr="00781112" w:rsidRDefault="00660173" w:rsidP="00360DD6">
            <w:pPr>
              <w:jc w:val="center"/>
              <w:rPr>
                <w:b/>
                <w:color w:val="000000" w:themeColor="text1"/>
              </w:rPr>
            </w:pPr>
            <w:r w:rsidRPr="00781112">
              <w:rPr>
                <w:color w:val="000000" w:themeColor="text1"/>
              </w:rPr>
              <w:t>254</w:t>
            </w:r>
          </w:p>
        </w:tc>
      </w:tr>
      <w:tr w:rsidR="00660173" w:rsidRPr="00781112" w14:paraId="7E58498F" w14:textId="77777777" w:rsidTr="00E95FBF">
        <w:tc>
          <w:tcPr>
            <w:tcW w:w="2695" w:type="dxa"/>
            <w:shd w:val="clear" w:color="auto" w:fill="auto"/>
          </w:tcPr>
          <w:p w14:paraId="4F32E0BC" w14:textId="3249207F" w:rsidR="00660173" w:rsidRPr="00781112" w:rsidRDefault="00660173" w:rsidP="00660173">
            <w:pPr>
              <w:rPr>
                <w:b/>
                <w:color w:val="000000" w:themeColor="text1"/>
              </w:rPr>
            </w:pPr>
            <w:r w:rsidRPr="00781112">
              <w:rPr>
                <w:rFonts w:cs="Arial"/>
                <w:szCs w:val="16"/>
                <w:shd w:val="clear" w:color="auto" w:fill="FFFFFF"/>
              </w:rPr>
              <w:t>b. Children with IEPs in alternate assessment against alternate standards scored at or above proficient</w:t>
            </w:r>
          </w:p>
        </w:tc>
        <w:tc>
          <w:tcPr>
            <w:tcW w:w="2700" w:type="dxa"/>
            <w:shd w:val="clear" w:color="auto" w:fill="auto"/>
            <w:vAlign w:val="center"/>
          </w:tcPr>
          <w:p w14:paraId="6DE46D54" w14:textId="09C11F4A" w:rsidR="00660173" w:rsidRPr="00781112" w:rsidRDefault="00660173" w:rsidP="00360DD6">
            <w:pPr>
              <w:jc w:val="center"/>
              <w:rPr>
                <w:b/>
                <w:color w:val="000000" w:themeColor="text1"/>
              </w:rPr>
            </w:pPr>
            <w:r w:rsidRPr="00781112">
              <w:rPr>
                <w:color w:val="000000" w:themeColor="text1"/>
              </w:rPr>
              <w:t>108</w:t>
            </w:r>
          </w:p>
        </w:tc>
        <w:tc>
          <w:tcPr>
            <w:tcW w:w="2700" w:type="dxa"/>
            <w:shd w:val="clear" w:color="auto" w:fill="auto"/>
            <w:vAlign w:val="center"/>
          </w:tcPr>
          <w:p w14:paraId="6F4311F8" w14:textId="57481F37" w:rsidR="00660173" w:rsidRPr="00781112" w:rsidRDefault="00660173" w:rsidP="00360DD6">
            <w:pPr>
              <w:jc w:val="center"/>
              <w:rPr>
                <w:b/>
                <w:color w:val="000000" w:themeColor="text1"/>
              </w:rPr>
            </w:pPr>
            <w:r w:rsidRPr="00781112">
              <w:rPr>
                <w:color w:val="000000" w:themeColor="text1"/>
              </w:rPr>
              <w:t>23</w:t>
            </w:r>
          </w:p>
        </w:tc>
        <w:tc>
          <w:tcPr>
            <w:tcW w:w="2700" w:type="dxa"/>
            <w:shd w:val="clear" w:color="auto" w:fill="auto"/>
            <w:vAlign w:val="center"/>
          </w:tcPr>
          <w:p w14:paraId="7B154B01" w14:textId="7C106CF5" w:rsidR="00660173" w:rsidRPr="00781112" w:rsidRDefault="00660173" w:rsidP="00360DD6">
            <w:pPr>
              <w:jc w:val="center"/>
              <w:rPr>
                <w:b/>
                <w:color w:val="000000" w:themeColor="text1"/>
              </w:rPr>
            </w:pPr>
            <w:r w:rsidRPr="00781112">
              <w:rPr>
                <w:color w:val="000000" w:themeColor="text1"/>
              </w:rPr>
              <w:t>66</w:t>
            </w:r>
          </w:p>
        </w:tc>
      </w:tr>
    </w:tbl>
    <w:p w14:paraId="56C37F05" w14:textId="77777777" w:rsidR="00241BD0" w:rsidRPr="00781112" w:rsidRDefault="00241BD0" w:rsidP="004369B2">
      <w:pPr>
        <w:rPr>
          <w:color w:val="000000" w:themeColor="text1"/>
        </w:rPr>
      </w:pPr>
    </w:p>
    <w:p w14:paraId="0E0A129D" w14:textId="71D3CA00" w:rsidR="00BD7229" w:rsidRPr="00781112" w:rsidRDefault="0047313F" w:rsidP="004369B2">
      <w:pPr>
        <w:rPr>
          <w:b/>
          <w:color w:val="000000" w:themeColor="text1"/>
        </w:rPr>
      </w:pPr>
      <w:r>
        <w:rPr>
          <w:b/>
          <w:color w:val="000000" w:themeColor="text1"/>
        </w:rPr>
        <w:t>FFY 2022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3CFFYAPRDATARLA"/>
      </w:tblPr>
      <w:tblGrid>
        <w:gridCol w:w="476"/>
        <w:gridCol w:w="1207"/>
        <w:gridCol w:w="1274"/>
        <w:gridCol w:w="1400"/>
        <w:gridCol w:w="1168"/>
        <w:gridCol w:w="1627"/>
        <w:gridCol w:w="1076"/>
        <w:gridCol w:w="1298"/>
        <w:gridCol w:w="1264"/>
      </w:tblGrid>
      <w:tr w:rsidR="00FA33C9" w:rsidRPr="00781112" w14:paraId="73241F59" w14:textId="77777777" w:rsidTr="00140972">
        <w:trPr>
          <w:tblHeader/>
        </w:trPr>
        <w:tc>
          <w:tcPr>
            <w:tcW w:w="221" w:type="pct"/>
            <w:shd w:val="clear" w:color="auto" w:fill="auto"/>
            <w:vAlign w:val="bottom"/>
          </w:tcPr>
          <w:p w14:paraId="3378C689" w14:textId="77777777" w:rsidR="00FA33C9" w:rsidRPr="00781112" w:rsidRDefault="00FA33C9" w:rsidP="00FA33C9">
            <w:pPr>
              <w:jc w:val="center"/>
              <w:rPr>
                <w:b/>
                <w:color w:val="000000" w:themeColor="text1"/>
              </w:rPr>
            </w:pPr>
            <w:r w:rsidRPr="00781112">
              <w:rPr>
                <w:b/>
                <w:color w:val="000000" w:themeColor="text1"/>
              </w:rPr>
              <w:t>Group</w:t>
            </w:r>
          </w:p>
        </w:tc>
        <w:tc>
          <w:tcPr>
            <w:tcW w:w="559" w:type="pct"/>
            <w:shd w:val="clear" w:color="auto" w:fill="auto"/>
            <w:vAlign w:val="bottom"/>
          </w:tcPr>
          <w:p w14:paraId="34B96D6C" w14:textId="2E1BB354" w:rsidR="00FA33C9" w:rsidRPr="00781112" w:rsidRDefault="00FA33C9" w:rsidP="00FA33C9">
            <w:pPr>
              <w:jc w:val="center"/>
              <w:rPr>
                <w:b/>
                <w:color w:val="000000" w:themeColor="text1"/>
              </w:rPr>
            </w:pPr>
            <w:r w:rsidRPr="00781112">
              <w:rPr>
                <w:b/>
                <w:color w:val="000000" w:themeColor="text1"/>
              </w:rPr>
              <w:t>Group Name</w:t>
            </w:r>
          </w:p>
        </w:tc>
        <w:tc>
          <w:tcPr>
            <w:tcW w:w="590" w:type="pct"/>
            <w:shd w:val="clear" w:color="auto" w:fill="auto"/>
            <w:vAlign w:val="bottom"/>
          </w:tcPr>
          <w:p w14:paraId="3B6543C5" w14:textId="7737694B" w:rsidR="00FA33C9" w:rsidRPr="00781112" w:rsidRDefault="00FA33C9" w:rsidP="00FA33C9">
            <w:pPr>
              <w:jc w:val="center"/>
              <w:rPr>
                <w:b/>
                <w:color w:val="000000" w:themeColor="text1"/>
              </w:rPr>
            </w:pPr>
            <w:r w:rsidRPr="00781112">
              <w:rPr>
                <w:b/>
                <w:color w:val="000000" w:themeColor="text1"/>
              </w:rPr>
              <w:t>Number of Children with IEPs Scoring At or Above Proficient Against Alternate Academic Achievement Standards</w:t>
            </w:r>
          </w:p>
        </w:tc>
        <w:tc>
          <w:tcPr>
            <w:tcW w:w="649" w:type="pct"/>
            <w:shd w:val="clear" w:color="auto" w:fill="auto"/>
            <w:vAlign w:val="bottom"/>
          </w:tcPr>
          <w:p w14:paraId="36E5B9C7" w14:textId="23CF68D2" w:rsidR="00FA33C9" w:rsidRPr="00781112" w:rsidRDefault="00FA33C9" w:rsidP="00FA33C9">
            <w:pPr>
              <w:jc w:val="center"/>
              <w:rPr>
                <w:b/>
                <w:color w:val="000000" w:themeColor="text1"/>
              </w:rPr>
            </w:pPr>
            <w:r w:rsidRPr="00781112">
              <w:rPr>
                <w:b/>
                <w:color w:val="000000" w:themeColor="text1"/>
              </w:rPr>
              <w:t>Number of Children with IEPs who Received a Valid Score and for whom a Proficiency Level was Assigned for the Alternate Assessment</w:t>
            </w:r>
          </w:p>
        </w:tc>
        <w:tc>
          <w:tcPr>
            <w:tcW w:w="541" w:type="pct"/>
            <w:shd w:val="clear" w:color="auto" w:fill="auto"/>
            <w:vAlign w:val="bottom"/>
          </w:tcPr>
          <w:p w14:paraId="2614DFA3" w14:textId="64F96892" w:rsidR="00FA33C9" w:rsidRPr="00073BD7" w:rsidRDefault="00FA33C9" w:rsidP="00FA33C9">
            <w:pPr>
              <w:jc w:val="center"/>
              <w:rPr>
                <w:b/>
                <w:bCs/>
                <w:color w:val="000000" w:themeColor="text1"/>
              </w:rPr>
            </w:pPr>
            <w:r w:rsidRPr="00073BD7">
              <w:rPr>
                <w:b/>
                <w:bCs/>
              </w:rPr>
              <w:t>FFY 2021 Data</w:t>
            </w:r>
          </w:p>
        </w:tc>
        <w:tc>
          <w:tcPr>
            <w:tcW w:w="754" w:type="pct"/>
            <w:shd w:val="clear" w:color="auto" w:fill="auto"/>
            <w:vAlign w:val="bottom"/>
          </w:tcPr>
          <w:p w14:paraId="09D4299D" w14:textId="4F2D8B92" w:rsidR="00FA33C9" w:rsidRPr="00073BD7" w:rsidRDefault="00FA33C9" w:rsidP="00FA33C9">
            <w:pPr>
              <w:jc w:val="center"/>
              <w:rPr>
                <w:b/>
                <w:bCs/>
                <w:color w:val="000000" w:themeColor="text1"/>
              </w:rPr>
            </w:pPr>
            <w:r w:rsidRPr="00073BD7">
              <w:rPr>
                <w:b/>
                <w:bCs/>
              </w:rPr>
              <w:t>FFY 2022 Target</w:t>
            </w:r>
          </w:p>
        </w:tc>
        <w:tc>
          <w:tcPr>
            <w:tcW w:w="499" w:type="pct"/>
            <w:shd w:val="clear" w:color="auto" w:fill="auto"/>
            <w:vAlign w:val="bottom"/>
          </w:tcPr>
          <w:p w14:paraId="2B4D24C2" w14:textId="21503469" w:rsidR="00FA33C9" w:rsidRPr="00073BD7" w:rsidRDefault="00FA33C9" w:rsidP="00FA33C9">
            <w:pPr>
              <w:jc w:val="center"/>
              <w:rPr>
                <w:b/>
                <w:bCs/>
                <w:color w:val="000000" w:themeColor="text1"/>
              </w:rPr>
            </w:pPr>
            <w:r w:rsidRPr="00073BD7">
              <w:rPr>
                <w:b/>
                <w:bCs/>
              </w:rPr>
              <w:t>FFY 2022 Data</w:t>
            </w:r>
          </w:p>
        </w:tc>
        <w:tc>
          <w:tcPr>
            <w:tcW w:w="601" w:type="pct"/>
            <w:shd w:val="clear" w:color="auto" w:fill="auto"/>
            <w:vAlign w:val="bottom"/>
          </w:tcPr>
          <w:p w14:paraId="4987ED35" w14:textId="77777777" w:rsidR="00FA33C9" w:rsidRPr="00781112" w:rsidRDefault="00FA33C9" w:rsidP="00FA33C9">
            <w:pPr>
              <w:jc w:val="center"/>
              <w:rPr>
                <w:b/>
                <w:color w:val="000000" w:themeColor="text1"/>
              </w:rPr>
            </w:pPr>
            <w:r w:rsidRPr="00781112">
              <w:rPr>
                <w:b/>
                <w:color w:val="000000" w:themeColor="text1"/>
              </w:rPr>
              <w:t>Status</w:t>
            </w:r>
          </w:p>
        </w:tc>
        <w:tc>
          <w:tcPr>
            <w:tcW w:w="586" w:type="pct"/>
            <w:shd w:val="clear" w:color="auto" w:fill="auto"/>
            <w:vAlign w:val="bottom"/>
          </w:tcPr>
          <w:p w14:paraId="7EA3F612" w14:textId="77777777" w:rsidR="00FA33C9" w:rsidRPr="00781112" w:rsidRDefault="00FA33C9" w:rsidP="00FA33C9">
            <w:pPr>
              <w:jc w:val="center"/>
              <w:rPr>
                <w:b/>
                <w:color w:val="000000" w:themeColor="text1"/>
              </w:rPr>
            </w:pPr>
            <w:r w:rsidRPr="00781112">
              <w:rPr>
                <w:b/>
                <w:color w:val="000000" w:themeColor="text1"/>
              </w:rPr>
              <w:t>Slippage</w:t>
            </w:r>
          </w:p>
        </w:tc>
      </w:tr>
      <w:tr w:rsidR="00566725" w:rsidRPr="00781112" w14:paraId="318B8AAD" w14:textId="77777777" w:rsidTr="00140972">
        <w:tc>
          <w:tcPr>
            <w:tcW w:w="221" w:type="pct"/>
            <w:shd w:val="clear" w:color="auto" w:fill="auto"/>
            <w:vAlign w:val="center"/>
          </w:tcPr>
          <w:p w14:paraId="4BD3A1A0" w14:textId="77777777" w:rsidR="00566725" w:rsidRPr="00781112" w:rsidRDefault="00566725" w:rsidP="00566725">
            <w:pPr>
              <w:pStyle w:val="Default"/>
              <w:jc w:val="center"/>
              <w:rPr>
                <w:rFonts w:eastAsiaTheme="minorHAnsi"/>
                <w:color w:val="000000" w:themeColor="text1"/>
                <w:sz w:val="16"/>
                <w:szCs w:val="16"/>
              </w:rPr>
            </w:pPr>
            <w:r w:rsidRPr="00781112">
              <w:rPr>
                <w:b/>
                <w:color w:val="000000" w:themeColor="text1"/>
                <w:sz w:val="16"/>
                <w:szCs w:val="16"/>
              </w:rPr>
              <w:t>A</w:t>
            </w:r>
          </w:p>
        </w:tc>
        <w:tc>
          <w:tcPr>
            <w:tcW w:w="559" w:type="pct"/>
            <w:shd w:val="clear" w:color="auto" w:fill="auto"/>
          </w:tcPr>
          <w:p w14:paraId="2D59B69E" w14:textId="71850FD0" w:rsidR="00566725" w:rsidRPr="00781112" w:rsidDel="00DE5045" w:rsidRDefault="00566725" w:rsidP="00566725">
            <w:pPr>
              <w:jc w:val="center"/>
              <w:rPr>
                <w:rFonts w:cs="Arial"/>
                <w:color w:val="000000" w:themeColor="text1"/>
                <w:szCs w:val="16"/>
              </w:rPr>
            </w:pPr>
            <w:r w:rsidRPr="00781112">
              <w:rPr>
                <w:rFonts w:cs="Arial"/>
                <w:color w:val="000000" w:themeColor="text1"/>
                <w:szCs w:val="16"/>
              </w:rPr>
              <w:t>Grade 4</w:t>
            </w:r>
          </w:p>
        </w:tc>
        <w:tc>
          <w:tcPr>
            <w:tcW w:w="590" w:type="pct"/>
            <w:shd w:val="clear" w:color="auto" w:fill="auto"/>
          </w:tcPr>
          <w:p w14:paraId="10EC608D" w14:textId="576E5156" w:rsidR="00566725" w:rsidRPr="00781112" w:rsidRDefault="00566725" w:rsidP="00566725">
            <w:pPr>
              <w:jc w:val="center"/>
              <w:rPr>
                <w:rFonts w:cs="Arial"/>
                <w:color w:val="000000" w:themeColor="text1"/>
                <w:szCs w:val="16"/>
              </w:rPr>
            </w:pPr>
            <w:r w:rsidRPr="00781112">
              <w:rPr>
                <w:rFonts w:cs="Arial"/>
                <w:color w:val="000000" w:themeColor="text1"/>
                <w:szCs w:val="16"/>
              </w:rPr>
              <w:t>46</w:t>
            </w:r>
          </w:p>
        </w:tc>
        <w:tc>
          <w:tcPr>
            <w:tcW w:w="649" w:type="pct"/>
            <w:shd w:val="clear" w:color="auto" w:fill="auto"/>
          </w:tcPr>
          <w:p w14:paraId="5740CA80" w14:textId="7FBF02A9" w:rsidR="00566725" w:rsidRPr="00781112" w:rsidRDefault="00566725" w:rsidP="00566725">
            <w:pPr>
              <w:jc w:val="center"/>
              <w:rPr>
                <w:rFonts w:cs="Arial"/>
                <w:color w:val="000000" w:themeColor="text1"/>
                <w:szCs w:val="16"/>
              </w:rPr>
            </w:pPr>
            <w:r>
              <w:rPr>
                <w:rFonts w:cs="Arial"/>
                <w:color w:val="000000"/>
                <w:szCs w:val="16"/>
              </w:rPr>
              <w:t>296</w:t>
            </w:r>
          </w:p>
        </w:tc>
        <w:tc>
          <w:tcPr>
            <w:tcW w:w="541" w:type="pct"/>
            <w:shd w:val="clear" w:color="auto" w:fill="auto"/>
          </w:tcPr>
          <w:p w14:paraId="6BA58310" w14:textId="391F367C" w:rsidR="00566725" w:rsidRPr="00781112" w:rsidRDefault="00566725" w:rsidP="00566725">
            <w:pPr>
              <w:jc w:val="center"/>
              <w:rPr>
                <w:rFonts w:cs="Arial"/>
                <w:color w:val="000000" w:themeColor="text1"/>
                <w:szCs w:val="16"/>
              </w:rPr>
            </w:pPr>
            <w:r w:rsidRPr="00781112">
              <w:rPr>
                <w:rFonts w:cs="Arial"/>
                <w:color w:val="000000" w:themeColor="text1"/>
                <w:szCs w:val="16"/>
              </w:rPr>
              <w:t>15.21%</w:t>
            </w:r>
          </w:p>
        </w:tc>
        <w:tc>
          <w:tcPr>
            <w:tcW w:w="754" w:type="pct"/>
            <w:shd w:val="clear" w:color="auto" w:fill="auto"/>
          </w:tcPr>
          <w:p w14:paraId="47A1F29A" w14:textId="0E923F64" w:rsidR="00566725" w:rsidRPr="00781112" w:rsidRDefault="00566725" w:rsidP="00566725">
            <w:pPr>
              <w:jc w:val="center"/>
              <w:rPr>
                <w:rFonts w:cs="Arial"/>
                <w:color w:val="000000" w:themeColor="text1"/>
                <w:szCs w:val="16"/>
              </w:rPr>
            </w:pPr>
            <w:r w:rsidRPr="00781112">
              <w:rPr>
                <w:rFonts w:cs="Arial"/>
                <w:color w:val="000000" w:themeColor="text1"/>
                <w:szCs w:val="16"/>
              </w:rPr>
              <w:t>8.59%</w:t>
            </w:r>
          </w:p>
        </w:tc>
        <w:tc>
          <w:tcPr>
            <w:tcW w:w="499" w:type="pct"/>
            <w:shd w:val="clear" w:color="auto" w:fill="auto"/>
          </w:tcPr>
          <w:p w14:paraId="2AE4C61A" w14:textId="12BE6FDD" w:rsidR="00566725" w:rsidRPr="00781112" w:rsidRDefault="00566725" w:rsidP="00566725">
            <w:pPr>
              <w:jc w:val="center"/>
              <w:rPr>
                <w:rFonts w:cs="Arial"/>
                <w:color w:val="000000" w:themeColor="text1"/>
                <w:szCs w:val="16"/>
              </w:rPr>
            </w:pPr>
            <w:r w:rsidRPr="00781112">
              <w:rPr>
                <w:rFonts w:cs="Arial"/>
                <w:color w:val="000000" w:themeColor="text1"/>
                <w:szCs w:val="16"/>
              </w:rPr>
              <w:t>15.54%</w:t>
            </w:r>
          </w:p>
        </w:tc>
        <w:tc>
          <w:tcPr>
            <w:tcW w:w="601" w:type="pct"/>
            <w:shd w:val="clear" w:color="auto" w:fill="auto"/>
          </w:tcPr>
          <w:p w14:paraId="2590AA37" w14:textId="2B2E3DAE" w:rsidR="00566725" w:rsidRPr="00781112" w:rsidRDefault="00566725" w:rsidP="00566725">
            <w:pPr>
              <w:jc w:val="center"/>
              <w:rPr>
                <w:rFonts w:cs="Arial"/>
                <w:color w:val="000000" w:themeColor="text1"/>
                <w:szCs w:val="16"/>
              </w:rPr>
            </w:pPr>
            <w:r w:rsidRPr="00781112">
              <w:rPr>
                <w:rFonts w:cs="Arial"/>
                <w:color w:val="000000" w:themeColor="text1"/>
                <w:szCs w:val="16"/>
              </w:rPr>
              <w:t>Met target</w:t>
            </w:r>
          </w:p>
        </w:tc>
        <w:tc>
          <w:tcPr>
            <w:tcW w:w="586" w:type="pct"/>
            <w:shd w:val="clear" w:color="auto" w:fill="auto"/>
          </w:tcPr>
          <w:p w14:paraId="39DEC07F" w14:textId="70B28667" w:rsidR="00566725" w:rsidRPr="00781112" w:rsidRDefault="00566725" w:rsidP="00566725">
            <w:pPr>
              <w:jc w:val="center"/>
              <w:rPr>
                <w:rFonts w:cs="Arial"/>
                <w:color w:val="000000" w:themeColor="text1"/>
                <w:szCs w:val="16"/>
              </w:rPr>
            </w:pPr>
            <w:r w:rsidRPr="00781112">
              <w:rPr>
                <w:rFonts w:cs="Arial"/>
                <w:color w:val="000000" w:themeColor="text1"/>
                <w:szCs w:val="16"/>
              </w:rPr>
              <w:t>No Slippage</w:t>
            </w:r>
          </w:p>
        </w:tc>
      </w:tr>
      <w:tr w:rsidR="00566725" w:rsidRPr="00781112" w14:paraId="52B173E5" w14:textId="77777777" w:rsidTr="00140972">
        <w:tc>
          <w:tcPr>
            <w:tcW w:w="221" w:type="pct"/>
            <w:shd w:val="clear" w:color="auto" w:fill="auto"/>
            <w:vAlign w:val="center"/>
          </w:tcPr>
          <w:p w14:paraId="5153CDB6" w14:textId="77777777" w:rsidR="00566725" w:rsidRPr="00781112" w:rsidRDefault="00566725" w:rsidP="00566725">
            <w:pPr>
              <w:pStyle w:val="Default"/>
              <w:jc w:val="center"/>
              <w:rPr>
                <w:rFonts w:eastAsiaTheme="minorHAnsi"/>
                <w:color w:val="000000" w:themeColor="text1"/>
                <w:sz w:val="16"/>
                <w:szCs w:val="16"/>
              </w:rPr>
            </w:pPr>
            <w:r w:rsidRPr="00781112">
              <w:rPr>
                <w:b/>
                <w:color w:val="000000" w:themeColor="text1"/>
                <w:sz w:val="16"/>
                <w:szCs w:val="16"/>
              </w:rPr>
              <w:t>B</w:t>
            </w:r>
          </w:p>
        </w:tc>
        <w:tc>
          <w:tcPr>
            <w:tcW w:w="559" w:type="pct"/>
            <w:shd w:val="clear" w:color="auto" w:fill="auto"/>
          </w:tcPr>
          <w:p w14:paraId="137CEDF6" w14:textId="15D625F4" w:rsidR="00566725" w:rsidRPr="00781112" w:rsidDel="00DE5045" w:rsidRDefault="00566725" w:rsidP="00566725">
            <w:pPr>
              <w:jc w:val="center"/>
              <w:rPr>
                <w:rFonts w:cs="Arial"/>
                <w:color w:val="000000" w:themeColor="text1"/>
                <w:szCs w:val="16"/>
              </w:rPr>
            </w:pPr>
            <w:r w:rsidRPr="00781112">
              <w:rPr>
                <w:rFonts w:cs="Arial"/>
                <w:color w:val="000000" w:themeColor="text1"/>
                <w:szCs w:val="16"/>
              </w:rPr>
              <w:t>Grade 8</w:t>
            </w:r>
          </w:p>
        </w:tc>
        <w:tc>
          <w:tcPr>
            <w:tcW w:w="590" w:type="pct"/>
            <w:shd w:val="clear" w:color="auto" w:fill="auto"/>
          </w:tcPr>
          <w:p w14:paraId="1707A82B" w14:textId="3E333A0B" w:rsidR="00566725" w:rsidRPr="00781112" w:rsidRDefault="00566725" w:rsidP="00566725">
            <w:pPr>
              <w:jc w:val="center"/>
              <w:rPr>
                <w:rFonts w:cs="Arial"/>
                <w:color w:val="000000" w:themeColor="text1"/>
                <w:szCs w:val="16"/>
              </w:rPr>
            </w:pPr>
            <w:r w:rsidRPr="00781112">
              <w:rPr>
                <w:rFonts w:cs="Arial"/>
                <w:color w:val="000000" w:themeColor="text1"/>
                <w:szCs w:val="16"/>
              </w:rPr>
              <w:t>77</w:t>
            </w:r>
          </w:p>
        </w:tc>
        <w:tc>
          <w:tcPr>
            <w:tcW w:w="649" w:type="pct"/>
            <w:shd w:val="clear" w:color="auto" w:fill="auto"/>
          </w:tcPr>
          <w:p w14:paraId="1BCB466D" w14:textId="5DD60E0B" w:rsidR="00566725" w:rsidRPr="00781112" w:rsidRDefault="00566725" w:rsidP="00566725">
            <w:pPr>
              <w:jc w:val="center"/>
              <w:rPr>
                <w:rFonts w:cs="Arial"/>
                <w:color w:val="000000" w:themeColor="text1"/>
                <w:szCs w:val="16"/>
              </w:rPr>
            </w:pPr>
            <w:r>
              <w:rPr>
                <w:rFonts w:cs="Arial"/>
                <w:color w:val="000000"/>
                <w:szCs w:val="16"/>
              </w:rPr>
              <w:t>316</w:t>
            </w:r>
          </w:p>
        </w:tc>
        <w:tc>
          <w:tcPr>
            <w:tcW w:w="541" w:type="pct"/>
            <w:shd w:val="clear" w:color="auto" w:fill="auto"/>
          </w:tcPr>
          <w:p w14:paraId="60597E0A" w14:textId="4D673C7B" w:rsidR="00566725" w:rsidRPr="00781112" w:rsidRDefault="00566725" w:rsidP="00566725">
            <w:pPr>
              <w:jc w:val="center"/>
              <w:rPr>
                <w:rFonts w:cs="Arial"/>
                <w:color w:val="000000" w:themeColor="text1"/>
                <w:szCs w:val="16"/>
              </w:rPr>
            </w:pPr>
            <w:r w:rsidRPr="00781112">
              <w:rPr>
                <w:rFonts w:cs="Arial"/>
                <w:color w:val="000000" w:themeColor="text1"/>
                <w:szCs w:val="16"/>
              </w:rPr>
              <w:t>25.39%</w:t>
            </w:r>
          </w:p>
        </w:tc>
        <w:tc>
          <w:tcPr>
            <w:tcW w:w="754" w:type="pct"/>
            <w:shd w:val="clear" w:color="auto" w:fill="auto"/>
          </w:tcPr>
          <w:p w14:paraId="6445398C" w14:textId="393A6DFD" w:rsidR="00566725" w:rsidRPr="00781112" w:rsidRDefault="00566725" w:rsidP="00566725">
            <w:pPr>
              <w:jc w:val="center"/>
              <w:rPr>
                <w:rFonts w:cs="Arial"/>
                <w:color w:val="000000" w:themeColor="text1"/>
                <w:szCs w:val="16"/>
              </w:rPr>
            </w:pPr>
            <w:r w:rsidRPr="00781112">
              <w:rPr>
                <w:rFonts w:cs="Arial"/>
                <w:color w:val="000000" w:themeColor="text1"/>
                <w:szCs w:val="16"/>
              </w:rPr>
              <w:t>8.45%</w:t>
            </w:r>
          </w:p>
        </w:tc>
        <w:tc>
          <w:tcPr>
            <w:tcW w:w="499" w:type="pct"/>
            <w:shd w:val="clear" w:color="auto" w:fill="auto"/>
          </w:tcPr>
          <w:p w14:paraId="4EBD899F" w14:textId="57918237" w:rsidR="00566725" w:rsidRPr="00781112" w:rsidRDefault="00566725" w:rsidP="00566725">
            <w:pPr>
              <w:jc w:val="center"/>
              <w:rPr>
                <w:rFonts w:cs="Arial"/>
                <w:color w:val="000000" w:themeColor="text1"/>
                <w:szCs w:val="16"/>
              </w:rPr>
            </w:pPr>
            <w:r w:rsidRPr="00781112">
              <w:rPr>
                <w:rFonts w:cs="Arial"/>
                <w:color w:val="000000" w:themeColor="text1"/>
                <w:szCs w:val="16"/>
              </w:rPr>
              <w:t>24.37%</w:t>
            </w:r>
          </w:p>
        </w:tc>
        <w:tc>
          <w:tcPr>
            <w:tcW w:w="601" w:type="pct"/>
            <w:shd w:val="clear" w:color="auto" w:fill="auto"/>
          </w:tcPr>
          <w:p w14:paraId="585589D4" w14:textId="6C3ED8A0" w:rsidR="00566725" w:rsidRPr="00781112" w:rsidRDefault="00566725" w:rsidP="00566725">
            <w:pPr>
              <w:jc w:val="center"/>
              <w:rPr>
                <w:rFonts w:cs="Arial"/>
                <w:color w:val="000000" w:themeColor="text1"/>
                <w:szCs w:val="16"/>
              </w:rPr>
            </w:pPr>
            <w:r w:rsidRPr="00781112">
              <w:rPr>
                <w:rFonts w:cs="Arial"/>
                <w:color w:val="000000" w:themeColor="text1"/>
                <w:szCs w:val="16"/>
              </w:rPr>
              <w:t>Met target</w:t>
            </w:r>
          </w:p>
        </w:tc>
        <w:tc>
          <w:tcPr>
            <w:tcW w:w="586" w:type="pct"/>
            <w:shd w:val="clear" w:color="auto" w:fill="auto"/>
          </w:tcPr>
          <w:p w14:paraId="64956786" w14:textId="4047CECE" w:rsidR="00566725" w:rsidRPr="00781112" w:rsidRDefault="00566725" w:rsidP="00566725">
            <w:pPr>
              <w:jc w:val="center"/>
              <w:rPr>
                <w:rFonts w:cs="Arial"/>
                <w:color w:val="000000" w:themeColor="text1"/>
                <w:szCs w:val="16"/>
              </w:rPr>
            </w:pPr>
            <w:r w:rsidRPr="00781112">
              <w:rPr>
                <w:rFonts w:cs="Arial"/>
                <w:color w:val="000000" w:themeColor="text1"/>
                <w:szCs w:val="16"/>
              </w:rPr>
              <w:t>No Slippage</w:t>
            </w:r>
          </w:p>
        </w:tc>
      </w:tr>
      <w:tr w:rsidR="00566725" w:rsidRPr="00781112" w14:paraId="3EA2EA1E" w14:textId="77777777" w:rsidTr="00140972">
        <w:tc>
          <w:tcPr>
            <w:tcW w:w="221" w:type="pct"/>
            <w:shd w:val="clear" w:color="auto" w:fill="auto"/>
            <w:vAlign w:val="center"/>
          </w:tcPr>
          <w:p w14:paraId="7CB7E776" w14:textId="77777777" w:rsidR="00566725" w:rsidRPr="00781112" w:rsidRDefault="00566725" w:rsidP="00566725">
            <w:pPr>
              <w:pStyle w:val="Default"/>
              <w:jc w:val="center"/>
              <w:rPr>
                <w:rFonts w:eastAsiaTheme="minorHAnsi"/>
                <w:color w:val="000000" w:themeColor="text1"/>
                <w:sz w:val="16"/>
                <w:szCs w:val="16"/>
              </w:rPr>
            </w:pPr>
            <w:r w:rsidRPr="00781112">
              <w:rPr>
                <w:b/>
                <w:color w:val="000000" w:themeColor="text1"/>
                <w:sz w:val="16"/>
                <w:szCs w:val="16"/>
              </w:rPr>
              <w:t>C</w:t>
            </w:r>
          </w:p>
        </w:tc>
        <w:tc>
          <w:tcPr>
            <w:tcW w:w="559" w:type="pct"/>
            <w:shd w:val="clear" w:color="auto" w:fill="auto"/>
          </w:tcPr>
          <w:p w14:paraId="260DAFBC" w14:textId="292387CD" w:rsidR="00566725" w:rsidRPr="00781112" w:rsidDel="00DE5045" w:rsidRDefault="00566725" w:rsidP="00566725">
            <w:pPr>
              <w:jc w:val="center"/>
              <w:rPr>
                <w:rFonts w:cs="Arial"/>
                <w:color w:val="000000" w:themeColor="text1"/>
                <w:szCs w:val="16"/>
              </w:rPr>
            </w:pPr>
            <w:r w:rsidRPr="00781112">
              <w:rPr>
                <w:rFonts w:cs="Arial"/>
                <w:color w:val="000000" w:themeColor="text1"/>
                <w:szCs w:val="16"/>
              </w:rPr>
              <w:t>Grade HS</w:t>
            </w:r>
          </w:p>
        </w:tc>
        <w:tc>
          <w:tcPr>
            <w:tcW w:w="590" w:type="pct"/>
            <w:shd w:val="clear" w:color="auto" w:fill="auto"/>
          </w:tcPr>
          <w:p w14:paraId="3637A0D0" w14:textId="4E467DC1" w:rsidR="00566725" w:rsidRPr="00781112" w:rsidRDefault="00566725" w:rsidP="00566725">
            <w:pPr>
              <w:jc w:val="center"/>
              <w:rPr>
                <w:rFonts w:cs="Arial"/>
                <w:color w:val="000000" w:themeColor="text1"/>
                <w:szCs w:val="16"/>
              </w:rPr>
            </w:pPr>
            <w:r w:rsidRPr="00781112">
              <w:rPr>
                <w:rFonts w:cs="Arial"/>
                <w:color w:val="000000" w:themeColor="text1"/>
                <w:szCs w:val="16"/>
              </w:rPr>
              <w:t>82</w:t>
            </w:r>
          </w:p>
        </w:tc>
        <w:tc>
          <w:tcPr>
            <w:tcW w:w="649" w:type="pct"/>
            <w:shd w:val="clear" w:color="auto" w:fill="auto"/>
          </w:tcPr>
          <w:p w14:paraId="0F212AA6" w14:textId="77E5B78D" w:rsidR="00566725" w:rsidRPr="00781112" w:rsidRDefault="00566725" w:rsidP="00566725">
            <w:pPr>
              <w:jc w:val="center"/>
              <w:rPr>
                <w:rFonts w:cs="Arial"/>
                <w:color w:val="000000" w:themeColor="text1"/>
                <w:szCs w:val="16"/>
              </w:rPr>
            </w:pPr>
            <w:r>
              <w:rPr>
                <w:rFonts w:cs="Arial"/>
                <w:color w:val="000000"/>
                <w:szCs w:val="16"/>
              </w:rPr>
              <w:t>254</w:t>
            </w:r>
          </w:p>
        </w:tc>
        <w:tc>
          <w:tcPr>
            <w:tcW w:w="541" w:type="pct"/>
            <w:shd w:val="clear" w:color="auto" w:fill="auto"/>
          </w:tcPr>
          <w:p w14:paraId="066DE90A" w14:textId="5EE6838D" w:rsidR="00566725" w:rsidRPr="00781112" w:rsidRDefault="00566725" w:rsidP="00566725">
            <w:pPr>
              <w:jc w:val="center"/>
              <w:rPr>
                <w:rFonts w:cs="Arial"/>
                <w:color w:val="000000" w:themeColor="text1"/>
                <w:szCs w:val="16"/>
              </w:rPr>
            </w:pPr>
            <w:r w:rsidRPr="00781112">
              <w:rPr>
                <w:rFonts w:cs="Arial"/>
                <w:color w:val="000000" w:themeColor="text1"/>
                <w:szCs w:val="16"/>
              </w:rPr>
              <w:t>32.92%</w:t>
            </w:r>
          </w:p>
        </w:tc>
        <w:tc>
          <w:tcPr>
            <w:tcW w:w="754" w:type="pct"/>
            <w:shd w:val="clear" w:color="auto" w:fill="auto"/>
          </w:tcPr>
          <w:p w14:paraId="4191EA17" w14:textId="17F82057" w:rsidR="00566725" w:rsidRPr="00781112" w:rsidRDefault="00566725" w:rsidP="00566725">
            <w:pPr>
              <w:jc w:val="center"/>
              <w:rPr>
                <w:rFonts w:cs="Arial"/>
                <w:color w:val="000000" w:themeColor="text1"/>
                <w:szCs w:val="16"/>
              </w:rPr>
            </w:pPr>
            <w:r w:rsidRPr="00781112">
              <w:rPr>
                <w:rFonts w:cs="Arial"/>
                <w:color w:val="000000" w:themeColor="text1"/>
                <w:szCs w:val="16"/>
              </w:rPr>
              <w:t>36.61%</w:t>
            </w:r>
          </w:p>
        </w:tc>
        <w:tc>
          <w:tcPr>
            <w:tcW w:w="499" w:type="pct"/>
            <w:shd w:val="clear" w:color="auto" w:fill="auto"/>
          </w:tcPr>
          <w:p w14:paraId="15CE5CCF" w14:textId="00F68E62" w:rsidR="00566725" w:rsidRPr="00781112" w:rsidRDefault="00566725" w:rsidP="00566725">
            <w:pPr>
              <w:jc w:val="center"/>
              <w:rPr>
                <w:rFonts w:cs="Arial"/>
                <w:color w:val="000000" w:themeColor="text1"/>
                <w:szCs w:val="16"/>
              </w:rPr>
            </w:pPr>
            <w:r w:rsidRPr="00781112">
              <w:rPr>
                <w:rFonts w:cs="Arial"/>
                <w:color w:val="000000" w:themeColor="text1"/>
                <w:szCs w:val="16"/>
              </w:rPr>
              <w:t>32.28%</w:t>
            </w:r>
          </w:p>
        </w:tc>
        <w:tc>
          <w:tcPr>
            <w:tcW w:w="601" w:type="pct"/>
            <w:shd w:val="clear" w:color="auto" w:fill="auto"/>
          </w:tcPr>
          <w:p w14:paraId="28CB2C9E" w14:textId="4F0EF91A" w:rsidR="00566725" w:rsidRPr="00781112" w:rsidRDefault="00566725" w:rsidP="00566725">
            <w:pPr>
              <w:jc w:val="center"/>
              <w:rPr>
                <w:rFonts w:cs="Arial"/>
                <w:color w:val="000000" w:themeColor="text1"/>
                <w:szCs w:val="16"/>
              </w:rPr>
            </w:pPr>
            <w:r w:rsidRPr="00781112">
              <w:rPr>
                <w:rFonts w:cs="Arial"/>
                <w:color w:val="000000" w:themeColor="text1"/>
                <w:szCs w:val="16"/>
              </w:rPr>
              <w:t>Did not meet target</w:t>
            </w:r>
          </w:p>
        </w:tc>
        <w:tc>
          <w:tcPr>
            <w:tcW w:w="586" w:type="pct"/>
            <w:shd w:val="clear" w:color="auto" w:fill="auto"/>
          </w:tcPr>
          <w:p w14:paraId="157B84D0" w14:textId="0B58E631" w:rsidR="00566725" w:rsidRPr="00781112" w:rsidRDefault="00566725" w:rsidP="00566725">
            <w:pPr>
              <w:jc w:val="center"/>
              <w:rPr>
                <w:rFonts w:cs="Arial"/>
                <w:color w:val="000000" w:themeColor="text1"/>
                <w:szCs w:val="16"/>
              </w:rPr>
            </w:pPr>
            <w:r w:rsidRPr="00781112">
              <w:rPr>
                <w:rFonts w:cs="Arial"/>
                <w:color w:val="000000" w:themeColor="text1"/>
                <w:szCs w:val="16"/>
              </w:rPr>
              <w:t>No Slippage</w:t>
            </w:r>
          </w:p>
        </w:tc>
      </w:tr>
    </w:tbl>
    <w:p w14:paraId="493A373E" w14:textId="77777777" w:rsidR="00445640" w:rsidRPr="00781112" w:rsidRDefault="00445640" w:rsidP="000C3A20">
      <w:pPr>
        <w:rPr>
          <w:color w:val="000000" w:themeColor="text1"/>
        </w:rPr>
      </w:pPr>
    </w:p>
    <w:p w14:paraId="73E73F7F" w14:textId="1CF767DA" w:rsidR="00BD7229" w:rsidRPr="00781112" w:rsidRDefault="0047313F" w:rsidP="004369B2">
      <w:pPr>
        <w:rPr>
          <w:b/>
          <w:color w:val="000000" w:themeColor="text1"/>
        </w:rPr>
      </w:pPr>
      <w:r>
        <w:rPr>
          <w:b/>
          <w:color w:val="000000" w:themeColor="text1"/>
        </w:rPr>
        <w:t>FFY 2022 SPP/APR Data: Math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3CFFYAPRDATAMATHASS"/>
      </w:tblPr>
      <w:tblGrid>
        <w:gridCol w:w="474"/>
        <w:gridCol w:w="1216"/>
        <w:gridCol w:w="1273"/>
        <w:gridCol w:w="1398"/>
        <w:gridCol w:w="1168"/>
        <w:gridCol w:w="1623"/>
        <w:gridCol w:w="1077"/>
        <w:gridCol w:w="1297"/>
        <w:gridCol w:w="1264"/>
      </w:tblGrid>
      <w:tr w:rsidR="00FA33C9" w:rsidRPr="00781112" w14:paraId="2361B602" w14:textId="77777777" w:rsidTr="00140972">
        <w:trPr>
          <w:tblHeader/>
        </w:trPr>
        <w:tc>
          <w:tcPr>
            <w:tcW w:w="220" w:type="pct"/>
            <w:shd w:val="clear" w:color="auto" w:fill="auto"/>
            <w:vAlign w:val="bottom"/>
          </w:tcPr>
          <w:p w14:paraId="097BD4DD" w14:textId="77777777" w:rsidR="00FA33C9" w:rsidRPr="00781112" w:rsidRDefault="00FA33C9" w:rsidP="00FA33C9">
            <w:pPr>
              <w:jc w:val="center"/>
              <w:rPr>
                <w:b/>
                <w:color w:val="000000" w:themeColor="text1"/>
              </w:rPr>
            </w:pPr>
            <w:r w:rsidRPr="00781112">
              <w:rPr>
                <w:b/>
                <w:color w:val="000000" w:themeColor="text1"/>
              </w:rPr>
              <w:t>Group</w:t>
            </w:r>
          </w:p>
        </w:tc>
        <w:tc>
          <w:tcPr>
            <w:tcW w:w="563" w:type="pct"/>
            <w:shd w:val="clear" w:color="auto" w:fill="auto"/>
            <w:vAlign w:val="bottom"/>
          </w:tcPr>
          <w:p w14:paraId="221D62AE" w14:textId="46B1DC14" w:rsidR="00FA33C9" w:rsidRPr="00781112" w:rsidRDefault="00FA33C9" w:rsidP="00FA33C9">
            <w:pPr>
              <w:jc w:val="center"/>
              <w:rPr>
                <w:b/>
                <w:color w:val="000000" w:themeColor="text1"/>
              </w:rPr>
            </w:pPr>
            <w:r w:rsidRPr="00781112">
              <w:rPr>
                <w:b/>
                <w:color w:val="000000" w:themeColor="text1"/>
              </w:rPr>
              <w:t>Group Name</w:t>
            </w:r>
          </w:p>
        </w:tc>
        <w:tc>
          <w:tcPr>
            <w:tcW w:w="590" w:type="pct"/>
            <w:shd w:val="clear" w:color="auto" w:fill="auto"/>
            <w:vAlign w:val="bottom"/>
          </w:tcPr>
          <w:p w14:paraId="6EA1E126" w14:textId="66F4FC74" w:rsidR="00FA33C9" w:rsidRPr="00781112" w:rsidRDefault="00FA33C9" w:rsidP="00FA33C9">
            <w:pPr>
              <w:jc w:val="center"/>
              <w:rPr>
                <w:b/>
                <w:color w:val="000000" w:themeColor="text1"/>
              </w:rPr>
            </w:pPr>
            <w:r w:rsidRPr="00781112">
              <w:rPr>
                <w:b/>
                <w:color w:val="000000" w:themeColor="text1"/>
              </w:rPr>
              <w:t>Number of Children with IEPs Scoring At or Above Proficient Against Alternate Academic Achievement Standards</w:t>
            </w:r>
          </w:p>
        </w:tc>
        <w:tc>
          <w:tcPr>
            <w:tcW w:w="648" w:type="pct"/>
            <w:shd w:val="clear" w:color="auto" w:fill="auto"/>
            <w:vAlign w:val="bottom"/>
          </w:tcPr>
          <w:p w14:paraId="534757DA" w14:textId="5F85E8DF" w:rsidR="00FA33C9" w:rsidRPr="00781112" w:rsidRDefault="00FA33C9" w:rsidP="00FA33C9">
            <w:pPr>
              <w:jc w:val="center"/>
              <w:rPr>
                <w:b/>
                <w:color w:val="000000" w:themeColor="text1"/>
              </w:rPr>
            </w:pPr>
            <w:r w:rsidRPr="00781112">
              <w:rPr>
                <w:b/>
                <w:color w:val="000000" w:themeColor="text1"/>
              </w:rPr>
              <w:t>Number of Children with IEPs who Received a Valid Score and for whom a Proficiency Level was Assigned for the Alternate Assessment</w:t>
            </w:r>
          </w:p>
        </w:tc>
        <w:tc>
          <w:tcPr>
            <w:tcW w:w="541" w:type="pct"/>
            <w:shd w:val="clear" w:color="auto" w:fill="auto"/>
            <w:vAlign w:val="bottom"/>
          </w:tcPr>
          <w:p w14:paraId="73023982" w14:textId="5A57E984" w:rsidR="00FA33C9" w:rsidRPr="00073BD7" w:rsidRDefault="00FA33C9" w:rsidP="00FA33C9">
            <w:pPr>
              <w:jc w:val="center"/>
              <w:rPr>
                <w:b/>
                <w:bCs/>
                <w:color w:val="000000" w:themeColor="text1"/>
              </w:rPr>
            </w:pPr>
            <w:r w:rsidRPr="00073BD7">
              <w:rPr>
                <w:b/>
                <w:bCs/>
              </w:rPr>
              <w:t>FFY 2021 Data</w:t>
            </w:r>
          </w:p>
        </w:tc>
        <w:tc>
          <w:tcPr>
            <w:tcW w:w="752" w:type="pct"/>
            <w:shd w:val="clear" w:color="auto" w:fill="auto"/>
            <w:vAlign w:val="bottom"/>
          </w:tcPr>
          <w:p w14:paraId="37651EF9" w14:textId="79A64631" w:rsidR="00FA33C9" w:rsidRPr="00073BD7" w:rsidRDefault="00FA33C9" w:rsidP="00FA33C9">
            <w:pPr>
              <w:jc w:val="center"/>
              <w:rPr>
                <w:b/>
                <w:bCs/>
                <w:color w:val="000000" w:themeColor="text1"/>
              </w:rPr>
            </w:pPr>
            <w:r w:rsidRPr="00073BD7">
              <w:rPr>
                <w:b/>
                <w:bCs/>
              </w:rPr>
              <w:t>FFY 2022 Target</w:t>
            </w:r>
          </w:p>
        </w:tc>
        <w:tc>
          <w:tcPr>
            <w:tcW w:w="499" w:type="pct"/>
            <w:shd w:val="clear" w:color="auto" w:fill="auto"/>
            <w:vAlign w:val="bottom"/>
          </w:tcPr>
          <w:p w14:paraId="3D61FBEB" w14:textId="7ADFAC73" w:rsidR="00FA33C9" w:rsidRPr="00073BD7" w:rsidRDefault="00FA33C9" w:rsidP="00FA33C9">
            <w:pPr>
              <w:jc w:val="center"/>
              <w:rPr>
                <w:b/>
                <w:bCs/>
                <w:color w:val="000000" w:themeColor="text1"/>
              </w:rPr>
            </w:pPr>
            <w:r w:rsidRPr="00073BD7">
              <w:rPr>
                <w:b/>
                <w:bCs/>
              </w:rPr>
              <w:t>FFY 2022 Data</w:t>
            </w:r>
          </w:p>
        </w:tc>
        <w:tc>
          <w:tcPr>
            <w:tcW w:w="601" w:type="pct"/>
            <w:shd w:val="clear" w:color="auto" w:fill="auto"/>
            <w:vAlign w:val="bottom"/>
          </w:tcPr>
          <w:p w14:paraId="730A2874" w14:textId="77777777" w:rsidR="00FA33C9" w:rsidRPr="00781112" w:rsidRDefault="00FA33C9" w:rsidP="00FA33C9">
            <w:pPr>
              <w:jc w:val="center"/>
              <w:rPr>
                <w:b/>
                <w:color w:val="000000" w:themeColor="text1"/>
              </w:rPr>
            </w:pPr>
            <w:r w:rsidRPr="00781112">
              <w:rPr>
                <w:b/>
                <w:color w:val="000000" w:themeColor="text1"/>
              </w:rPr>
              <w:t>Status</w:t>
            </w:r>
          </w:p>
        </w:tc>
        <w:tc>
          <w:tcPr>
            <w:tcW w:w="586" w:type="pct"/>
            <w:shd w:val="clear" w:color="auto" w:fill="auto"/>
            <w:vAlign w:val="bottom"/>
          </w:tcPr>
          <w:p w14:paraId="67BEF249" w14:textId="77777777" w:rsidR="00FA33C9" w:rsidRPr="00781112" w:rsidRDefault="00FA33C9" w:rsidP="00FA33C9">
            <w:pPr>
              <w:jc w:val="center"/>
              <w:rPr>
                <w:b/>
                <w:color w:val="000000" w:themeColor="text1"/>
              </w:rPr>
            </w:pPr>
            <w:r w:rsidRPr="00781112">
              <w:rPr>
                <w:b/>
                <w:color w:val="000000" w:themeColor="text1"/>
              </w:rPr>
              <w:t>Slippage</w:t>
            </w:r>
          </w:p>
        </w:tc>
      </w:tr>
      <w:tr w:rsidR="00A31E8A" w:rsidRPr="00781112" w14:paraId="08D65837" w14:textId="77777777" w:rsidTr="00140972">
        <w:tc>
          <w:tcPr>
            <w:tcW w:w="220" w:type="pct"/>
            <w:shd w:val="clear" w:color="auto" w:fill="auto"/>
            <w:vAlign w:val="center"/>
          </w:tcPr>
          <w:p w14:paraId="76903C3F" w14:textId="77777777" w:rsidR="00A31E8A" w:rsidRPr="00781112" w:rsidRDefault="00A31E8A" w:rsidP="00A31E8A">
            <w:pPr>
              <w:pStyle w:val="Default"/>
              <w:jc w:val="center"/>
              <w:rPr>
                <w:b/>
                <w:color w:val="000000" w:themeColor="text1"/>
                <w:sz w:val="16"/>
                <w:szCs w:val="16"/>
              </w:rPr>
            </w:pPr>
            <w:r w:rsidRPr="00781112">
              <w:rPr>
                <w:rFonts w:eastAsiaTheme="minorHAnsi"/>
                <w:b/>
                <w:color w:val="000000" w:themeColor="text1"/>
                <w:sz w:val="16"/>
                <w:szCs w:val="16"/>
              </w:rPr>
              <w:t>A</w:t>
            </w:r>
          </w:p>
        </w:tc>
        <w:tc>
          <w:tcPr>
            <w:tcW w:w="563" w:type="pct"/>
            <w:shd w:val="clear" w:color="auto" w:fill="auto"/>
            <w:vAlign w:val="center"/>
          </w:tcPr>
          <w:p w14:paraId="02026CDE" w14:textId="2E1566AE" w:rsidR="00A31E8A" w:rsidRPr="00781112" w:rsidDel="00DE5045" w:rsidRDefault="00A31E8A" w:rsidP="00A31E8A">
            <w:pPr>
              <w:jc w:val="center"/>
              <w:rPr>
                <w:rFonts w:cs="Arial"/>
                <w:color w:val="000000" w:themeColor="text1"/>
                <w:szCs w:val="16"/>
              </w:rPr>
            </w:pPr>
            <w:r w:rsidRPr="00781112">
              <w:rPr>
                <w:rFonts w:cs="Arial"/>
                <w:color w:val="000000" w:themeColor="text1"/>
                <w:szCs w:val="16"/>
              </w:rPr>
              <w:t>Grade 4</w:t>
            </w:r>
          </w:p>
        </w:tc>
        <w:tc>
          <w:tcPr>
            <w:tcW w:w="590" w:type="pct"/>
            <w:shd w:val="clear" w:color="auto" w:fill="auto"/>
            <w:vAlign w:val="center"/>
          </w:tcPr>
          <w:p w14:paraId="16642EB5" w14:textId="2F43A115" w:rsidR="00A31E8A" w:rsidRPr="00781112" w:rsidRDefault="00A31E8A" w:rsidP="00A31E8A">
            <w:pPr>
              <w:jc w:val="center"/>
              <w:rPr>
                <w:rFonts w:cs="Arial"/>
                <w:color w:val="000000" w:themeColor="text1"/>
                <w:szCs w:val="16"/>
              </w:rPr>
            </w:pPr>
            <w:r w:rsidRPr="00781112">
              <w:rPr>
                <w:rFonts w:cs="Arial"/>
                <w:color w:val="000000" w:themeColor="text1"/>
                <w:szCs w:val="16"/>
              </w:rPr>
              <w:t>108</w:t>
            </w:r>
          </w:p>
        </w:tc>
        <w:tc>
          <w:tcPr>
            <w:tcW w:w="648" w:type="pct"/>
            <w:shd w:val="clear" w:color="auto" w:fill="auto"/>
          </w:tcPr>
          <w:p w14:paraId="1C6085EF" w14:textId="508775F3" w:rsidR="00A31E8A" w:rsidRPr="00781112" w:rsidRDefault="00A31E8A" w:rsidP="00A31E8A">
            <w:pPr>
              <w:jc w:val="center"/>
              <w:rPr>
                <w:rFonts w:cs="Arial"/>
                <w:color w:val="000000" w:themeColor="text1"/>
                <w:szCs w:val="16"/>
              </w:rPr>
            </w:pPr>
            <w:r>
              <w:rPr>
                <w:rFonts w:cs="Arial"/>
                <w:color w:val="000000"/>
                <w:szCs w:val="16"/>
              </w:rPr>
              <w:t>293</w:t>
            </w:r>
          </w:p>
        </w:tc>
        <w:tc>
          <w:tcPr>
            <w:tcW w:w="541" w:type="pct"/>
            <w:shd w:val="clear" w:color="auto" w:fill="auto"/>
            <w:vAlign w:val="center"/>
          </w:tcPr>
          <w:p w14:paraId="3DFEF3CC" w14:textId="273D8D28" w:rsidR="00A31E8A" w:rsidRPr="00781112" w:rsidRDefault="00A31E8A" w:rsidP="00A31E8A">
            <w:pPr>
              <w:jc w:val="center"/>
              <w:rPr>
                <w:rFonts w:cs="Arial"/>
                <w:color w:val="000000" w:themeColor="text1"/>
                <w:szCs w:val="16"/>
              </w:rPr>
            </w:pPr>
            <w:r w:rsidRPr="00781112">
              <w:rPr>
                <w:rFonts w:cs="Arial"/>
                <w:color w:val="000000" w:themeColor="text1"/>
                <w:szCs w:val="16"/>
              </w:rPr>
              <w:t>40.55%</w:t>
            </w:r>
          </w:p>
        </w:tc>
        <w:tc>
          <w:tcPr>
            <w:tcW w:w="752" w:type="pct"/>
            <w:shd w:val="clear" w:color="auto" w:fill="auto"/>
            <w:vAlign w:val="center"/>
          </w:tcPr>
          <w:p w14:paraId="78DBA801" w14:textId="0BA3B321" w:rsidR="00A31E8A" w:rsidRPr="00781112" w:rsidRDefault="00A31E8A" w:rsidP="00A31E8A">
            <w:pPr>
              <w:jc w:val="center"/>
              <w:rPr>
                <w:rFonts w:cs="Arial"/>
                <w:color w:val="000000" w:themeColor="text1"/>
                <w:szCs w:val="16"/>
              </w:rPr>
            </w:pPr>
            <w:r w:rsidRPr="00781112">
              <w:rPr>
                <w:rFonts w:cs="Arial"/>
                <w:color w:val="000000" w:themeColor="text1"/>
                <w:szCs w:val="16"/>
              </w:rPr>
              <w:t>14.03%</w:t>
            </w:r>
          </w:p>
        </w:tc>
        <w:tc>
          <w:tcPr>
            <w:tcW w:w="499" w:type="pct"/>
            <w:shd w:val="clear" w:color="auto" w:fill="auto"/>
            <w:vAlign w:val="center"/>
          </w:tcPr>
          <w:p w14:paraId="1DC938D5" w14:textId="450CB901" w:rsidR="00A31E8A" w:rsidRPr="00781112" w:rsidRDefault="00A31E8A" w:rsidP="00A31E8A">
            <w:pPr>
              <w:jc w:val="center"/>
              <w:rPr>
                <w:rFonts w:cs="Arial"/>
                <w:color w:val="000000" w:themeColor="text1"/>
                <w:szCs w:val="16"/>
              </w:rPr>
            </w:pPr>
            <w:r w:rsidRPr="00781112">
              <w:rPr>
                <w:rFonts w:cs="Arial"/>
                <w:color w:val="000000" w:themeColor="text1"/>
                <w:szCs w:val="16"/>
              </w:rPr>
              <w:t>36.86%</w:t>
            </w:r>
          </w:p>
        </w:tc>
        <w:tc>
          <w:tcPr>
            <w:tcW w:w="601" w:type="pct"/>
            <w:shd w:val="clear" w:color="auto" w:fill="auto"/>
            <w:vAlign w:val="center"/>
          </w:tcPr>
          <w:p w14:paraId="4B9610A1" w14:textId="71C9791E" w:rsidR="00A31E8A" w:rsidRPr="00781112" w:rsidRDefault="00A31E8A" w:rsidP="00A31E8A">
            <w:pPr>
              <w:jc w:val="center"/>
              <w:rPr>
                <w:rFonts w:cs="Arial"/>
                <w:color w:val="000000" w:themeColor="text1"/>
                <w:szCs w:val="16"/>
              </w:rPr>
            </w:pPr>
            <w:r w:rsidRPr="00781112">
              <w:rPr>
                <w:rFonts w:cs="Arial"/>
                <w:color w:val="000000" w:themeColor="text1"/>
                <w:szCs w:val="16"/>
              </w:rPr>
              <w:t>Met target</w:t>
            </w:r>
          </w:p>
        </w:tc>
        <w:tc>
          <w:tcPr>
            <w:tcW w:w="586" w:type="pct"/>
            <w:shd w:val="clear" w:color="auto" w:fill="auto"/>
            <w:vAlign w:val="center"/>
          </w:tcPr>
          <w:p w14:paraId="5708D4BE" w14:textId="328B6097" w:rsidR="00A31E8A" w:rsidRPr="00781112" w:rsidRDefault="00A31E8A" w:rsidP="00A31E8A">
            <w:pPr>
              <w:jc w:val="center"/>
              <w:rPr>
                <w:rFonts w:cs="Arial"/>
                <w:color w:val="000000" w:themeColor="text1"/>
                <w:szCs w:val="16"/>
              </w:rPr>
            </w:pPr>
            <w:r w:rsidRPr="00781112">
              <w:rPr>
                <w:rFonts w:cs="Arial"/>
                <w:color w:val="000000" w:themeColor="text1"/>
                <w:szCs w:val="16"/>
              </w:rPr>
              <w:t>No Slippage</w:t>
            </w:r>
          </w:p>
        </w:tc>
      </w:tr>
      <w:tr w:rsidR="00A31E8A" w:rsidRPr="00781112" w14:paraId="5E0D5724" w14:textId="77777777" w:rsidTr="00140972">
        <w:tc>
          <w:tcPr>
            <w:tcW w:w="220" w:type="pct"/>
            <w:shd w:val="clear" w:color="auto" w:fill="auto"/>
            <w:vAlign w:val="center"/>
          </w:tcPr>
          <w:p w14:paraId="2202EBA2" w14:textId="77777777" w:rsidR="00A31E8A" w:rsidRPr="00781112" w:rsidRDefault="00A31E8A" w:rsidP="00A31E8A">
            <w:pPr>
              <w:pStyle w:val="Default"/>
              <w:jc w:val="center"/>
              <w:rPr>
                <w:b/>
                <w:color w:val="000000" w:themeColor="text1"/>
                <w:sz w:val="16"/>
                <w:szCs w:val="16"/>
              </w:rPr>
            </w:pPr>
            <w:r w:rsidRPr="00781112">
              <w:rPr>
                <w:b/>
                <w:color w:val="000000" w:themeColor="text1"/>
                <w:sz w:val="16"/>
                <w:szCs w:val="16"/>
              </w:rPr>
              <w:t>B</w:t>
            </w:r>
          </w:p>
        </w:tc>
        <w:tc>
          <w:tcPr>
            <w:tcW w:w="563" w:type="pct"/>
            <w:shd w:val="clear" w:color="auto" w:fill="auto"/>
            <w:vAlign w:val="center"/>
          </w:tcPr>
          <w:p w14:paraId="2BE28CC3" w14:textId="5462148F" w:rsidR="00A31E8A" w:rsidRPr="00781112" w:rsidDel="00DE5045" w:rsidRDefault="00A31E8A" w:rsidP="00A31E8A">
            <w:pPr>
              <w:jc w:val="center"/>
              <w:rPr>
                <w:rFonts w:cs="Arial"/>
                <w:color w:val="000000" w:themeColor="text1"/>
                <w:szCs w:val="16"/>
              </w:rPr>
            </w:pPr>
            <w:r w:rsidRPr="00781112">
              <w:rPr>
                <w:rFonts w:cs="Arial"/>
                <w:color w:val="000000" w:themeColor="text1"/>
                <w:szCs w:val="16"/>
              </w:rPr>
              <w:t>Grade 8</w:t>
            </w:r>
          </w:p>
        </w:tc>
        <w:tc>
          <w:tcPr>
            <w:tcW w:w="590" w:type="pct"/>
            <w:shd w:val="clear" w:color="auto" w:fill="auto"/>
            <w:vAlign w:val="center"/>
          </w:tcPr>
          <w:p w14:paraId="65165B6C" w14:textId="77C4C484" w:rsidR="00A31E8A" w:rsidRPr="00781112" w:rsidRDefault="00A31E8A" w:rsidP="00A31E8A">
            <w:pPr>
              <w:jc w:val="center"/>
              <w:rPr>
                <w:rFonts w:cs="Arial"/>
                <w:color w:val="000000" w:themeColor="text1"/>
                <w:szCs w:val="16"/>
              </w:rPr>
            </w:pPr>
            <w:r w:rsidRPr="00781112">
              <w:rPr>
                <w:rFonts w:cs="Arial"/>
                <w:color w:val="000000" w:themeColor="text1"/>
                <w:szCs w:val="16"/>
              </w:rPr>
              <w:t>23</w:t>
            </w:r>
          </w:p>
        </w:tc>
        <w:tc>
          <w:tcPr>
            <w:tcW w:w="648" w:type="pct"/>
            <w:shd w:val="clear" w:color="auto" w:fill="auto"/>
          </w:tcPr>
          <w:p w14:paraId="25BE3991" w14:textId="52B3E29B" w:rsidR="00A31E8A" w:rsidRPr="00781112" w:rsidRDefault="00A31E8A" w:rsidP="00A31E8A">
            <w:pPr>
              <w:jc w:val="center"/>
              <w:rPr>
                <w:rFonts w:cs="Arial"/>
                <w:color w:val="000000" w:themeColor="text1"/>
                <w:szCs w:val="16"/>
              </w:rPr>
            </w:pPr>
            <w:r>
              <w:rPr>
                <w:rFonts w:cs="Arial"/>
                <w:color w:val="000000"/>
                <w:szCs w:val="16"/>
              </w:rPr>
              <w:t>315</w:t>
            </w:r>
          </w:p>
        </w:tc>
        <w:tc>
          <w:tcPr>
            <w:tcW w:w="541" w:type="pct"/>
            <w:shd w:val="clear" w:color="auto" w:fill="auto"/>
            <w:vAlign w:val="center"/>
          </w:tcPr>
          <w:p w14:paraId="0DB348C5" w14:textId="2F8A4588" w:rsidR="00A31E8A" w:rsidRPr="00781112" w:rsidRDefault="00A31E8A" w:rsidP="00A31E8A">
            <w:pPr>
              <w:jc w:val="center"/>
              <w:rPr>
                <w:rFonts w:cs="Arial"/>
                <w:color w:val="000000" w:themeColor="text1"/>
                <w:szCs w:val="16"/>
              </w:rPr>
            </w:pPr>
            <w:r w:rsidRPr="00781112">
              <w:rPr>
                <w:rFonts w:cs="Arial"/>
                <w:color w:val="000000" w:themeColor="text1"/>
                <w:szCs w:val="16"/>
              </w:rPr>
              <w:t>7.42%</w:t>
            </w:r>
          </w:p>
        </w:tc>
        <w:tc>
          <w:tcPr>
            <w:tcW w:w="752" w:type="pct"/>
            <w:shd w:val="clear" w:color="auto" w:fill="auto"/>
            <w:vAlign w:val="center"/>
          </w:tcPr>
          <w:p w14:paraId="31FB5FEB" w14:textId="4BF20A90" w:rsidR="00A31E8A" w:rsidRPr="00781112" w:rsidRDefault="00A31E8A" w:rsidP="00A31E8A">
            <w:pPr>
              <w:jc w:val="center"/>
              <w:rPr>
                <w:rFonts w:cs="Arial"/>
                <w:color w:val="000000" w:themeColor="text1"/>
                <w:szCs w:val="16"/>
              </w:rPr>
            </w:pPr>
            <w:r w:rsidRPr="00781112">
              <w:rPr>
                <w:rFonts w:cs="Arial"/>
                <w:color w:val="000000" w:themeColor="text1"/>
                <w:szCs w:val="16"/>
              </w:rPr>
              <w:t>2.74%</w:t>
            </w:r>
          </w:p>
        </w:tc>
        <w:tc>
          <w:tcPr>
            <w:tcW w:w="499" w:type="pct"/>
            <w:shd w:val="clear" w:color="auto" w:fill="auto"/>
            <w:vAlign w:val="center"/>
          </w:tcPr>
          <w:p w14:paraId="139B969C" w14:textId="619F4507" w:rsidR="00A31E8A" w:rsidRPr="00781112" w:rsidRDefault="00A31E8A" w:rsidP="00A31E8A">
            <w:pPr>
              <w:jc w:val="center"/>
              <w:rPr>
                <w:rFonts w:cs="Arial"/>
                <w:color w:val="000000" w:themeColor="text1"/>
                <w:szCs w:val="16"/>
              </w:rPr>
            </w:pPr>
            <w:r w:rsidRPr="00781112">
              <w:rPr>
                <w:rFonts w:cs="Arial"/>
                <w:color w:val="000000" w:themeColor="text1"/>
                <w:szCs w:val="16"/>
              </w:rPr>
              <w:t>7.30%</w:t>
            </w:r>
          </w:p>
        </w:tc>
        <w:tc>
          <w:tcPr>
            <w:tcW w:w="601" w:type="pct"/>
            <w:shd w:val="clear" w:color="auto" w:fill="auto"/>
            <w:vAlign w:val="center"/>
          </w:tcPr>
          <w:p w14:paraId="52EDA926" w14:textId="7B797DBA" w:rsidR="00A31E8A" w:rsidRPr="00781112" w:rsidRDefault="00A31E8A" w:rsidP="00A31E8A">
            <w:pPr>
              <w:jc w:val="center"/>
              <w:rPr>
                <w:rFonts w:cs="Arial"/>
                <w:color w:val="000000" w:themeColor="text1"/>
                <w:szCs w:val="16"/>
              </w:rPr>
            </w:pPr>
            <w:r w:rsidRPr="00781112">
              <w:rPr>
                <w:rFonts w:cs="Arial"/>
                <w:color w:val="000000" w:themeColor="text1"/>
                <w:szCs w:val="16"/>
              </w:rPr>
              <w:t>Met target</w:t>
            </w:r>
          </w:p>
        </w:tc>
        <w:tc>
          <w:tcPr>
            <w:tcW w:w="586" w:type="pct"/>
            <w:shd w:val="clear" w:color="auto" w:fill="auto"/>
            <w:vAlign w:val="center"/>
          </w:tcPr>
          <w:p w14:paraId="027F05C7" w14:textId="42C60C06" w:rsidR="00A31E8A" w:rsidRPr="00781112" w:rsidRDefault="00A31E8A" w:rsidP="00A31E8A">
            <w:pPr>
              <w:jc w:val="center"/>
              <w:rPr>
                <w:rFonts w:cs="Arial"/>
                <w:color w:val="000000" w:themeColor="text1"/>
                <w:szCs w:val="16"/>
              </w:rPr>
            </w:pPr>
            <w:r w:rsidRPr="00781112">
              <w:rPr>
                <w:rFonts w:cs="Arial"/>
                <w:color w:val="000000" w:themeColor="text1"/>
                <w:szCs w:val="16"/>
              </w:rPr>
              <w:t>No Slippage</w:t>
            </w:r>
          </w:p>
        </w:tc>
      </w:tr>
      <w:tr w:rsidR="00A31E8A" w:rsidRPr="00781112" w14:paraId="6F15E001" w14:textId="77777777" w:rsidTr="00140972">
        <w:tc>
          <w:tcPr>
            <w:tcW w:w="220" w:type="pct"/>
            <w:shd w:val="clear" w:color="auto" w:fill="auto"/>
            <w:vAlign w:val="center"/>
          </w:tcPr>
          <w:p w14:paraId="40D4F498" w14:textId="77777777" w:rsidR="00A31E8A" w:rsidRPr="00781112" w:rsidRDefault="00A31E8A" w:rsidP="00A31E8A">
            <w:pPr>
              <w:pStyle w:val="Default"/>
              <w:jc w:val="center"/>
              <w:rPr>
                <w:rFonts w:eastAsiaTheme="minorHAnsi"/>
                <w:color w:val="000000" w:themeColor="text1"/>
                <w:sz w:val="16"/>
                <w:szCs w:val="16"/>
              </w:rPr>
            </w:pPr>
            <w:r w:rsidRPr="00781112">
              <w:rPr>
                <w:b/>
                <w:color w:val="000000" w:themeColor="text1"/>
                <w:sz w:val="16"/>
                <w:szCs w:val="16"/>
              </w:rPr>
              <w:t>C</w:t>
            </w:r>
          </w:p>
        </w:tc>
        <w:tc>
          <w:tcPr>
            <w:tcW w:w="563" w:type="pct"/>
            <w:shd w:val="clear" w:color="auto" w:fill="auto"/>
            <w:vAlign w:val="center"/>
          </w:tcPr>
          <w:p w14:paraId="200262C5" w14:textId="22AC7908" w:rsidR="00A31E8A" w:rsidRPr="00781112" w:rsidDel="00DE5045" w:rsidRDefault="00A31E8A" w:rsidP="00A31E8A">
            <w:pPr>
              <w:jc w:val="center"/>
              <w:rPr>
                <w:rFonts w:cs="Arial"/>
                <w:color w:val="000000" w:themeColor="text1"/>
                <w:szCs w:val="16"/>
              </w:rPr>
            </w:pPr>
            <w:r w:rsidRPr="00781112">
              <w:rPr>
                <w:rFonts w:cs="Arial"/>
                <w:color w:val="000000" w:themeColor="text1"/>
                <w:szCs w:val="16"/>
              </w:rPr>
              <w:t>Grade HS</w:t>
            </w:r>
          </w:p>
        </w:tc>
        <w:tc>
          <w:tcPr>
            <w:tcW w:w="590" w:type="pct"/>
            <w:shd w:val="clear" w:color="auto" w:fill="auto"/>
            <w:vAlign w:val="center"/>
          </w:tcPr>
          <w:p w14:paraId="44B84702" w14:textId="5A092874" w:rsidR="00A31E8A" w:rsidRPr="00781112" w:rsidRDefault="00A31E8A" w:rsidP="00A31E8A">
            <w:pPr>
              <w:jc w:val="center"/>
              <w:rPr>
                <w:rFonts w:cs="Arial"/>
                <w:color w:val="000000" w:themeColor="text1"/>
                <w:szCs w:val="16"/>
              </w:rPr>
            </w:pPr>
            <w:r w:rsidRPr="00781112">
              <w:rPr>
                <w:rFonts w:cs="Arial"/>
                <w:color w:val="000000" w:themeColor="text1"/>
                <w:szCs w:val="16"/>
              </w:rPr>
              <w:t>66</w:t>
            </w:r>
          </w:p>
        </w:tc>
        <w:tc>
          <w:tcPr>
            <w:tcW w:w="648" w:type="pct"/>
            <w:shd w:val="clear" w:color="auto" w:fill="auto"/>
          </w:tcPr>
          <w:p w14:paraId="6C88DEC2" w14:textId="2C61C34F" w:rsidR="00A31E8A" w:rsidRPr="00781112" w:rsidRDefault="00A31E8A" w:rsidP="00A31E8A">
            <w:pPr>
              <w:jc w:val="center"/>
              <w:rPr>
                <w:rFonts w:cs="Arial"/>
                <w:color w:val="000000" w:themeColor="text1"/>
                <w:szCs w:val="16"/>
              </w:rPr>
            </w:pPr>
            <w:r>
              <w:rPr>
                <w:rFonts w:cs="Arial"/>
                <w:color w:val="000000"/>
                <w:szCs w:val="16"/>
              </w:rPr>
              <w:t>254</w:t>
            </w:r>
          </w:p>
        </w:tc>
        <w:tc>
          <w:tcPr>
            <w:tcW w:w="541" w:type="pct"/>
            <w:shd w:val="clear" w:color="auto" w:fill="auto"/>
            <w:vAlign w:val="center"/>
          </w:tcPr>
          <w:p w14:paraId="59D699CF" w14:textId="460A79FA" w:rsidR="00A31E8A" w:rsidRPr="00781112" w:rsidRDefault="00A31E8A" w:rsidP="00A31E8A">
            <w:pPr>
              <w:jc w:val="center"/>
              <w:rPr>
                <w:rFonts w:cs="Arial"/>
                <w:color w:val="000000" w:themeColor="text1"/>
                <w:szCs w:val="16"/>
              </w:rPr>
            </w:pPr>
            <w:r w:rsidRPr="00781112">
              <w:rPr>
                <w:rFonts w:cs="Arial"/>
                <w:color w:val="000000" w:themeColor="text1"/>
                <w:szCs w:val="16"/>
              </w:rPr>
              <w:t>26.34%</w:t>
            </w:r>
          </w:p>
        </w:tc>
        <w:tc>
          <w:tcPr>
            <w:tcW w:w="752" w:type="pct"/>
            <w:shd w:val="clear" w:color="auto" w:fill="auto"/>
            <w:vAlign w:val="center"/>
          </w:tcPr>
          <w:p w14:paraId="18D7723E" w14:textId="7A443B62" w:rsidR="00A31E8A" w:rsidRPr="00781112" w:rsidRDefault="00A31E8A" w:rsidP="00A31E8A">
            <w:pPr>
              <w:jc w:val="center"/>
              <w:rPr>
                <w:rFonts w:cs="Arial"/>
                <w:color w:val="000000" w:themeColor="text1"/>
                <w:szCs w:val="16"/>
              </w:rPr>
            </w:pPr>
            <w:r w:rsidRPr="00781112">
              <w:rPr>
                <w:rFonts w:cs="Arial"/>
                <w:color w:val="000000" w:themeColor="text1"/>
                <w:szCs w:val="16"/>
              </w:rPr>
              <w:t>30.45%</w:t>
            </w:r>
          </w:p>
        </w:tc>
        <w:tc>
          <w:tcPr>
            <w:tcW w:w="499" w:type="pct"/>
            <w:shd w:val="clear" w:color="auto" w:fill="auto"/>
            <w:vAlign w:val="center"/>
          </w:tcPr>
          <w:p w14:paraId="1C467869" w14:textId="36566B3C" w:rsidR="00A31E8A" w:rsidRPr="00781112" w:rsidRDefault="00A31E8A" w:rsidP="00A31E8A">
            <w:pPr>
              <w:jc w:val="center"/>
              <w:rPr>
                <w:rFonts w:cs="Arial"/>
                <w:color w:val="000000" w:themeColor="text1"/>
                <w:szCs w:val="16"/>
              </w:rPr>
            </w:pPr>
            <w:r w:rsidRPr="00781112">
              <w:rPr>
                <w:rFonts w:cs="Arial"/>
                <w:color w:val="000000" w:themeColor="text1"/>
                <w:szCs w:val="16"/>
              </w:rPr>
              <w:t>25.98%</w:t>
            </w:r>
          </w:p>
        </w:tc>
        <w:tc>
          <w:tcPr>
            <w:tcW w:w="601" w:type="pct"/>
            <w:shd w:val="clear" w:color="auto" w:fill="auto"/>
            <w:vAlign w:val="center"/>
          </w:tcPr>
          <w:p w14:paraId="56861D59" w14:textId="0856E80D" w:rsidR="00A31E8A" w:rsidRPr="00781112" w:rsidRDefault="00A31E8A" w:rsidP="00A31E8A">
            <w:pPr>
              <w:jc w:val="center"/>
              <w:rPr>
                <w:rFonts w:cs="Arial"/>
                <w:color w:val="000000" w:themeColor="text1"/>
                <w:szCs w:val="16"/>
              </w:rPr>
            </w:pPr>
            <w:r w:rsidRPr="00781112">
              <w:rPr>
                <w:rFonts w:cs="Arial"/>
                <w:color w:val="000000" w:themeColor="text1"/>
                <w:szCs w:val="16"/>
              </w:rPr>
              <w:t>Did not meet target</w:t>
            </w:r>
          </w:p>
        </w:tc>
        <w:tc>
          <w:tcPr>
            <w:tcW w:w="586" w:type="pct"/>
            <w:shd w:val="clear" w:color="auto" w:fill="auto"/>
            <w:vAlign w:val="center"/>
          </w:tcPr>
          <w:p w14:paraId="7220CAED" w14:textId="6484F1AC" w:rsidR="00A31E8A" w:rsidRPr="00781112" w:rsidRDefault="00A31E8A" w:rsidP="00A31E8A">
            <w:pPr>
              <w:jc w:val="center"/>
              <w:rPr>
                <w:rFonts w:cs="Arial"/>
                <w:color w:val="000000" w:themeColor="text1"/>
                <w:szCs w:val="16"/>
              </w:rPr>
            </w:pPr>
            <w:r w:rsidRPr="00781112">
              <w:rPr>
                <w:rFonts w:cs="Arial"/>
                <w:color w:val="000000" w:themeColor="text1"/>
                <w:szCs w:val="16"/>
              </w:rPr>
              <w:t>No Slippage</w:t>
            </w:r>
          </w:p>
        </w:tc>
      </w:tr>
    </w:tbl>
    <w:p w14:paraId="5EB0A206" w14:textId="77777777" w:rsidR="00445640" w:rsidRPr="00781112" w:rsidRDefault="00445640" w:rsidP="000C3A20">
      <w:pPr>
        <w:rPr>
          <w:color w:val="000000" w:themeColor="text1"/>
        </w:rPr>
      </w:pPr>
    </w:p>
    <w:p w14:paraId="4F8B3B70" w14:textId="05453045" w:rsidR="000A5A2E" w:rsidRPr="00781112" w:rsidRDefault="000A5A2E" w:rsidP="004369B2">
      <w:pPr>
        <w:rPr>
          <w:color w:val="000000" w:themeColor="text1"/>
        </w:rPr>
      </w:pPr>
      <w:r w:rsidRPr="00781112">
        <w:rPr>
          <w:b/>
          <w:color w:val="000000" w:themeColor="text1"/>
        </w:rPr>
        <w:t>Regulatory Information</w:t>
      </w:r>
    </w:p>
    <w:p w14:paraId="2B741846" w14:textId="30EBAA23" w:rsidR="000A5A2E" w:rsidRPr="00781112" w:rsidRDefault="00A14B5D" w:rsidP="00286BDF">
      <w:pPr>
        <w:rPr>
          <w:rFonts w:cs="Arial"/>
          <w:b/>
          <w:color w:val="000000" w:themeColor="text1"/>
          <w:szCs w:val="16"/>
          <w:shd w:val="clear" w:color="auto" w:fill="FFFFFF"/>
        </w:rPr>
      </w:pPr>
      <w:r w:rsidRPr="00781112">
        <w:rPr>
          <w:rFonts w:cs="Arial"/>
          <w:b/>
          <w:color w:val="000000" w:themeColor="text1"/>
          <w:szCs w:val="16"/>
        </w:rPr>
        <w:t>The SEA, (or, in the case of a district-wide assessment, LEA) must make available to the public, and report to the public with the same frequency and in the same detail as it reports on the assessment of nondisabled children: (1) the number of children with disabilities participating in: (a) regular assessments, and the number of those children who were provided accommodations in order to participate in those assessments; and (b) alternate assessments aligned with alternate achievement standards; and (2) the performance of children with disabilities on regular assessments and on alternate assessments, compared with the achievement of all children, including children with disabilities, on those assessments. [20 U.S.C. 1412 (a)(16)(D); 34 CFR §300.160(f)]</w:t>
      </w:r>
    </w:p>
    <w:p w14:paraId="7C3B3355" w14:textId="77777777" w:rsidR="00241BD0" w:rsidRPr="00781112" w:rsidRDefault="00241BD0" w:rsidP="004369B2">
      <w:pPr>
        <w:rPr>
          <w:color w:val="000000" w:themeColor="text1"/>
        </w:rPr>
      </w:pPr>
    </w:p>
    <w:p w14:paraId="1FD3EE14" w14:textId="6446691C" w:rsidR="000A5A2E" w:rsidRPr="00781112" w:rsidRDefault="000A5A2E" w:rsidP="004369B2">
      <w:pPr>
        <w:rPr>
          <w:color w:val="000000" w:themeColor="text1"/>
        </w:rPr>
      </w:pPr>
      <w:r w:rsidRPr="00781112">
        <w:rPr>
          <w:b/>
          <w:color w:val="000000" w:themeColor="text1"/>
        </w:rPr>
        <w:t>Public Reporting Information</w:t>
      </w:r>
    </w:p>
    <w:p w14:paraId="20613508" w14:textId="77777777" w:rsidR="000A5A2E" w:rsidRPr="00781112" w:rsidRDefault="000A5A2E" w:rsidP="000A5A2E">
      <w:pPr>
        <w:rPr>
          <w:rFonts w:cs="Arial"/>
          <w:b/>
          <w:color w:val="000000" w:themeColor="text1"/>
          <w:szCs w:val="16"/>
        </w:rPr>
      </w:pPr>
      <w:r w:rsidRPr="00781112">
        <w:rPr>
          <w:rFonts w:cs="Arial"/>
          <w:b/>
          <w:color w:val="000000" w:themeColor="text1"/>
          <w:szCs w:val="16"/>
        </w:rPr>
        <w:t xml:space="preserve">Provide links to the page(s) where you provide public reports of assessment results. </w:t>
      </w:r>
    </w:p>
    <w:p w14:paraId="1F0C4C7F" w14:textId="52384A95" w:rsidR="00A869E9" w:rsidRPr="00781112" w:rsidRDefault="00DD3719" w:rsidP="009C613A">
      <w:pPr>
        <w:rPr>
          <w:rFonts w:cs="Arial"/>
          <w:color w:val="000000" w:themeColor="text1"/>
          <w:szCs w:val="16"/>
        </w:rPr>
      </w:pPr>
      <w:r w:rsidRPr="00781112">
        <w:rPr>
          <w:rFonts w:cs="Arial"/>
          <w:color w:val="000000" w:themeColor="text1"/>
          <w:szCs w:val="16"/>
          <w:shd w:val="clear" w:color="auto" w:fill="FFFFFF"/>
        </w:rPr>
        <w:t>Public reports for assessment results can be found at:  https://webnew.ped.state.nm.us/bureaus/special-education/district-data/.</w:t>
      </w:r>
    </w:p>
    <w:p w14:paraId="32BCE51B" w14:textId="77777777" w:rsidR="00796DC0" w:rsidRPr="00781112" w:rsidRDefault="00796DC0" w:rsidP="004369B2">
      <w:pPr>
        <w:rPr>
          <w:b/>
          <w:color w:val="000000" w:themeColor="text1"/>
        </w:rPr>
      </w:pPr>
      <w:r w:rsidRPr="00781112">
        <w:rPr>
          <w:b/>
          <w:color w:val="000000" w:themeColor="text1"/>
        </w:rPr>
        <w:t>Provide additional information about this indicator (optional)</w:t>
      </w:r>
    </w:p>
    <w:p w14:paraId="19728EE3" w14:textId="7FE6C853" w:rsidR="00A869E9" w:rsidRPr="00781112" w:rsidRDefault="002B7490" w:rsidP="000E33D0">
      <w:pPr>
        <w:rPr>
          <w:rFonts w:cs="Arial"/>
          <w:color w:val="000000" w:themeColor="text1"/>
          <w:szCs w:val="16"/>
        </w:rPr>
      </w:pPr>
      <w:r w:rsidRPr="00781112">
        <w:rPr>
          <w:rFonts w:cs="Arial"/>
          <w:color w:val="000000" w:themeColor="text1"/>
          <w:szCs w:val="16"/>
          <w:shd w:val="clear" w:color="auto" w:fill="FFFFFF"/>
        </w:rPr>
        <w:t/>
      </w:r>
    </w:p>
    <w:p w14:paraId="1C326C48" w14:textId="1B3ADE94" w:rsidR="000A2C83" w:rsidRPr="00781112" w:rsidRDefault="00573F6C" w:rsidP="008645AD">
      <w:pPr>
        <w:pStyle w:val="Heading2"/>
      </w:pPr>
      <w:r w:rsidRPr="00781112">
        <w:t>3C</w:t>
      </w:r>
      <w:r w:rsidR="00BB4FD7" w:rsidRPr="00781112">
        <w:t xml:space="preserve"> </w:t>
      </w:r>
      <w:r w:rsidRPr="00781112">
        <w:t xml:space="preserve">- </w:t>
      </w:r>
      <w:r w:rsidR="000A2C83" w:rsidRPr="00781112">
        <w:t>Prior FFY Required Actions</w:t>
      </w:r>
    </w:p>
    <w:p w14:paraId="5570C94B" w14:textId="51EF4ED4" w:rsidR="000A2C83" w:rsidRPr="00781112" w:rsidRDefault="002B7490" w:rsidP="000A2C83">
      <w:pPr>
        <w:rPr>
          <w:rFonts w:cs="Arial"/>
          <w:color w:val="000000" w:themeColor="text1"/>
          <w:szCs w:val="16"/>
        </w:rPr>
      </w:pPr>
      <w:r w:rsidRPr="00781112">
        <w:rPr>
          <w:rFonts w:cs="Arial"/>
          <w:color w:val="000000" w:themeColor="text1"/>
          <w:szCs w:val="16"/>
        </w:rPr>
        <w:t>Within 90 days of the receipt of the State's 2023 determination letter, the State must provide to OSEP a Web link that demonstrates that it has reported, for FFY 2021, to the public, on the statewide assessments of children with disabilities in accordance with 34 C.F.R. § 300.160(f). In addition, OSEP reminds the State that in the FFY 2022 SPP/APR, the State must include a Web link that demonstrates compliance with 34 C.F.R. § 300.160(f) for FFY 2022.</w:t>
      </w:r>
    </w:p>
    <w:p w14:paraId="62E7127E" w14:textId="71E7B248" w:rsidR="000A2C83" w:rsidRPr="00781112" w:rsidRDefault="007639D7" w:rsidP="004369B2">
      <w:pPr>
        <w:rPr>
          <w:b/>
          <w:color w:val="000000" w:themeColor="text1"/>
        </w:rPr>
      </w:pPr>
      <w:r>
        <w:rPr>
          <w:b/>
          <w:color w:val="000000" w:themeColor="text1"/>
        </w:rPr>
        <w:t>Response to actions required in FFY 2021 SPP/APR</w:t>
      </w:r>
    </w:p>
    <w:p w14:paraId="55BD5A37" w14:textId="67636212" w:rsidR="000A2C83" w:rsidRPr="00781112" w:rsidRDefault="002B7490" w:rsidP="000A2C83">
      <w:pPr>
        <w:rPr>
          <w:rFonts w:cs="Arial"/>
          <w:color w:val="000000" w:themeColor="text1"/>
          <w:szCs w:val="16"/>
        </w:rPr>
      </w:pPr>
      <w:r w:rsidRPr="00781112">
        <w:rPr>
          <w:rFonts w:cs="Arial"/>
          <w:color w:val="000000" w:themeColor="text1"/>
          <w:szCs w:val="16"/>
        </w:rPr>
        <w:t>The State has provided the requested information to the OSEP State Lead.</w:t>
      </w:r>
    </w:p>
    <w:p w14:paraId="0EFAA7F7" w14:textId="77777777" w:rsidR="00247959" w:rsidRPr="00781112" w:rsidRDefault="00247959" w:rsidP="000A2C83">
      <w:pPr>
        <w:rPr>
          <w:rFonts w:cs="Arial"/>
          <w:color w:val="000000" w:themeColor="text1"/>
          <w:szCs w:val="16"/>
        </w:rPr>
      </w:pPr>
    </w:p>
    <w:p w14:paraId="1E98E6A2" w14:textId="3C798D76" w:rsidR="00796DC0" w:rsidRPr="00781112" w:rsidRDefault="00573F6C" w:rsidP="008645AD">
      <w:pPr>
        <w:pStyle w:val="Heading2"/>
      </w:pPr>
      <w:r w:rsidRPr="00781112">
        <w:t>3C - OSEP Response</w:t>
      </w:r>
    </w:p>
    <w:p w14:paraId="742F0548" w14:textId="6CBFA0D3" w:rsidR="00A869E9" w:rsidRPr="00781112" w:rsidRDefault="003D7F56" w:rsidP="001F692C">
      <w:pPr>
        <w:rPr>
          <w:rFonts w:cs="Arial"/>
          <w:color w:val="000000" w:themeColor="text1"/>
          <w:szCs w:val="16"/>
          <w:shd w:val="clear" w:color="auto" w:fill="FFFFFF"/>
        </w:rPr>
      </w:pPr>
      <w:r w:rsidRPr="00781112">
        <w:rPr>
          <w:rFonts w:cs="Arial"/>
          <w:color w:val="000000" w:themeColor="text1"/>
          <w:szCs w:val="16"/>
          <w:shd w:val="clear" w:color="auto" w:fill="FFFFFF"/>
        </w:rPr>
        <w:t>
</w:t>
      </w:r>
    </w:p>
    <w:p w14:paraId="0774F476" w14:textId="1E34BC77" w:rsidR="00796DC0" w:rsidRPr="00781112" w:rsidRDefault="00573F6C" w:rsidP="008645AD">
      <w:pPr>
        <w:pStyle w:val="Heading2"/>
      </w:pPr>
      <w:r w:rsidRPr="00781112">
        <w:lastRenderedPageBreak/>
        <w:t>3C - Required Actions</w:t>
      </w:r>
    </w:p>
    <w:p w14:paraId="5E46A453" w14:textId="5260AC47" w:rsidR="00A869E9" w:rsidRPr="00781112" w:rsidRDefault="003D7F56" w:rsidP="001F692C">
      <w:pPr>
        <w:rPr>
          <w:rFonts w:cs="Arial"/>
          <w:color w:val="000000" w:themeColor="text1"/>
          <w:szCs w:val="16"/>
          <w:shd w:val="clear" w:color="auto" w:fill="FFFFFF"/>
        </w:rPr>
      </w:pPr>
      <w:r w:rsidRPr="00781112">
        <w:rPr>
          <w:rFonts w:cs="Arial"/>
          <w:color w:val="000000" w:themeColor="text1"/>
          <w:szCs w:val="16"/>
          <w:shd w:val="clear" w:color="auto" w:fill="FFFFFF"/>
        </w:rPr>
        <w:t/>
      </w:r>
    </w:p>
    <w:p w14:paraId="5933CC1B" w14:textId="40F9F685" w:rsidR="00A63347" w:rsidRPr="00781112" w:rsidRDefault="00A63347">
      <w:pPr>
        <w:spacing w:before="0" w:after="200" w:line="276" w:lineRule="auto"/>
        <w:rPr>
          <w:rFonts w:cs="Arial"/>
          <w:color w:val="000000" w:themeColor="text1"/>
          <w:szCs w:val="16"/>
          <w:shd w:val="clear" w:color="auto" w:fill="FFFFFF"/>
        </w:rPr>
      </w:pPr>
      <w:r w:rsidRPr="00781112">
        <w:rPr>
          <w:rFonts w:cs="Arial"/>
          <w:color w:val="000000" w:themeColor="text1"/>
          <w:szCs w:val="16"/>
          <w:shd w:val="clear" w:color="auto" w:fill="FFFFFF"/>
        </w:rPr>
        <w:br w:type="page"/>
      </w:r>
    </w:p>
    <w:p w14:paraId="04EE5889" w14:textId="73DDCB24" w:rsidR="00764DDE" w:rsidRPr="00781112" w:rsidRDefault="00764DDE" w:rsidP="00764DDE">
      <w:pPr>
        <w:pStyle w:val="Heading1"/>
        <w:rPr>
          <w:color w:val="000000" w:themeColor="text1"/>
          <w:sz w:val="22"/>
        </w:rPr>
      </w:pPr>
      <w:r w:rsidRPr="00781112">
        <w:rPr>
          <w:color w:val="000000" w:themeColor="text1"/>
          <w:sz w:val="22"/>
        </w:rPr>
        <w:lastRenderedPageBreak/>
        <w:t>Indicator 3D: Gap in Proficiency Rates (Grade Level Academic Achievement Standards)</w:t>
      </w:r>
    </w:p>
    <w:p w14:paraId="46C730FF" w14:textId="77777777" w:rsidR="00764DDE" w:rsidRPr="00781112" w:rsidRDefault="00764DDE" w:rsidP="00764DDE">
      <w:pPr>
        <w:rPr>
          <w:color w:val="000000" w:themeColor="text1"/>
          <w:szCs w:val="20"/>
        </w:rPr>
      </w:pPr>
      <w:r w:rsidRPr="00781112">
        <w:rPr>
          <w:b/>
          <w:color w:val="000000" w:themeColor="text1"/>
          <w:sz w:val="20"/>
          <w:szCs w:val="20"/>
        </w:rPr>
        <w:t>Instructions and Measurement</w:t>
      </w:r>
    </w:p>
    <w:p w14:paraId="62AF8D70" w14:textId="77777777" w:rsidR="00764DDE" w:rsidRPr="00781112" w:rsidRDefault="00764DDE" w:rsidP="00764DDE">
      <w:pPr>
        <w:rPr>
          <w:color w:val="000000" w:themeColor="text1"/>
        </w:rPr>
      </w:pPr>
      <w:r w:rsidRPr="00781112">
        <w:rPr>
          <w:b/>
          <w:color w:val="000000" w:themeColor="text1"/>
        </w:rPr>
        <w:t>Monitoring Priority:</w:t>
      </w:r>
      <w:r w:rsidRPr="00781112">
        <w:rPr>
          <w:color w:val="000000" w:themeColor="text1"/>
        </w:rPr>
        <w:t xml:space="preserve"> FAPE in the LRE</w:t>
      </w:r>
    </w:p>
    <w:p w14:paraId="03D1E39F" w14:textId="77777777" w:rsidR="00764DDE" w:rsidRPr="00781112" w:rsidRDefault="00764DDE" w:rsidP="00764DDE">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Participation and performance of children with IEPs on statewide assessments:</w:t>
      </w:r>
    </w:p>
    <w:p w14:paraId="39C0DF3F" w14:textId="77777777" w:rsidR="00876D2A" w:rsidRPr="00781112" w:rsidRDefault="00876D2A" w:rsidP="00876D2A">
      <w:pPr>
        <w:ind w:firstLine="720"/>
        <w:rPr>
          <w:rFonts w:cs="Arial"/>
          <w:color w:val="000000" w:themeColor="text1"/>
          <w:szCs w:val="16"/>
        </w:rPr>
      </w:pPr>
      <w:r w:rsidRPr="00781112">
        <w:rPr>
          <w:rFonts w:cs="Arial"/>
          <w:color w:val="000000" w:themeColor="text1"/>
          <w:szCs w:val="16"/>
        </w:rPr>
        <w:t>A. Participation rate for children with IEPs.</w:t>
      </w:r>
    </w:p>
    <w:p w14:paraId="37414902" w14:textId="77777777" w:rsidR="00876D2A" w:rsidRPr="00781112" w:rsidRDefault="00876D2A" w:rsidP="00876D2A">
      <w:pPr>
        <w:ind w:firstLine="720"/>
        <w:rPr>
          <w:rFonts w:cs="Arial"/>
          <w:color w:val="000000" w:themeColor="text1"/>
          <w:szCs w:val="16"/>
        </w:rPr>
      </w:pPr>
      <w:r w:rsidRPr="00781112">
        <w:rPr>
          <w:rFonts w:cs="Arial"/>
          <w:color w:val="000000" w:themeColor="text1"/>
          <w:szCs w:val="16"/>
        </w:rPr>
        <w:t xml:space="preserve">B. </w:t>
      </w:r>
      <w:r w:rsidRPr="00781112">
        <w:rPr>
          <w:rFonts w:cs="Arial"/>
          <w:szCs w:val="16"/>
        </w:rPr>
        <w:t>Proficiency rate for children with IEPs against grade level academic achievement standards.</w:t>
      </w:r>
    </w:p>
    <w:p w14:paraId="5E9A9263" w14:textId="77777777" w:rsidR="00876D2A" w:rsidRPr="00781112" w:rsidRDefault="00876D2A" w:rsidP="00876D2A">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14:paraId="6AEED6CC" w14:textId="77777777" w:rsidR="00876D2A" w:rsidRPr="00781112" w:rsidRDefault="00876D2A" w:rsidP="00876D2A">
      <w:pPr>
        <w:ind w:firstLine="720"/>
        <w:rPr>
          <w:rFonts w:cs="Arial"/>
          <w:color w:val="000000" w:themeColor="text1"/>
          <w:szCs w:val="16"/>
        </w:rPr>
      </w:pPr>
      <w:r w:rsidRPr="00781112">
        <w:rPr>
          <w:rFonts w:cs="Arial"/>
          <w:color w:val="000000" w:themeColor="text1"/>
          <w:szCs w:val="16"/>
        </w:rPr>
        <w:t>D.</w:t>
      </w:r>
      <w:r w:rsidRPr="00781112">
        <w:rPr>
          <w:rFonts w:cs="Arial"/>
          <w:szCs w:val="16"/>
        </w:rPr>
        <w:t xml:space="preserve"> Gap in proficiency rates for children with IEPs and all students against grade level academic achievement standards.</w:t>
      </w:r>
    </w:p>
    <w:p w14:paraId="67B35375" w14:textId="77777777" w:rsidR="00876D2A" w:rsidRPr="00781112" w:rsidRDefault="00876D2A" w:rsidP="00876D2A">
      <w:pPr>
        <w:rPr>
          <w:rFonts w:cs="Arial"/>
          <w:color w:val="000000" w:themeColor="text1"/>
          <w:szCs w:val="16"/>
        </w:rPr>
      </w:pPr>
      <w:r w:rsidRPr="00781112">
        <w:rPr>
          <w:rFonts w:cs="Arial"/>
          <w:color w:val="000000" w:themeColor="text1"/>
          <w:szCs w:val="16"/>
        </w:rPr>
        <w:t>(20 U.S.C. 1416 (a)(3)(A))</w:t>
      </w:r>
    </w:p>
    <w:p w14:paraId="0BC18EE2" w14:textId="77777777" w:rsidR="00764DDE" w:rsidRPr="00781112" w:rsidRDefault="00764DDE" w:rsidP="00764DDE">
      <w:pPr>
        <w:rPr>
          <w:color w:val="000000" w:themeColor="text1"/>
        </w:rPr>
      </w:pPr>
      <w:r w:rsidRPr="00781112">
        <w:rPr>
          <w:b/>
          <w:color w:val="000000" w:themeColor="text1"/>
        </w:rPr>
        <w:t>Data Source</w:t>
      </w:r>
    </w:p>
    <w:p w14:paraId="3AB8B5B6" w14:textId="77777777" w:rsidR="00876D2A" w:rsidRPr="00781112" w:rsidRDefault="00876D2A" w:rsidP="00876D2A">
      <w:pPr>
        <w:rPr>
          <w:rFonts w:cs="Arial"/>
          <w:szCs w:val="16"/>
        </w:rPr>
      </w:pPr>
      <w:r w:rsidRPr="00781112">
        <w:rPr>
          <w:rFonts w:cs="Arial"/>
          <w:szCs w:val="16"/>
        </w:rPr>
        <w:t xml:space="preserve">3D. Same data as used for reporting to the Department under Title I of the ESEA, using </w:t>
      </w:r>
      <w:proofErr w:type="spellStart"/>
      <w:r w:rsidRPr="00781112">
        <w:rPr>
          <w:rFonts w:cs="Arial"/>
          <w:szCs w:val="16"/>
        </w:rPr>
        <w:t>ED</w:t>
      </w:r>
      <w:r w:rsidRPr="00BA3DBE">
        <w:rPr>
          <w:rFonts w:cs="Arial"/>
          <w:i/>
          <w:iCs/>
          <w:szCs w:val="16"/>
        </w:rPr>
        <w:t>Facts</w:t>
      </w:r>
      <w:proofErr w:type="spellEnd"/>
      <w:r w:rsidRPr="00781112">
        <w:rPr>
          <w:rFonts w:cs="Arial"/>
          <w:szCs w:val="16"/>
        </w:rPr>
        <w:t xml:space="preserve"> file specifications FS175 and 178.</w:t>
      </w:r>
    </w:p>
    <w:p w14:paraId="7A02CC2C" w14:textId="77777777" w:rsidR="00764DDE" w:rsidRPr="00781112" w:rsidRDefault="00764DDE" w:rsidP="00764DDE">
      <w:pPr>
        <w:rPr>
          <w:color w:val="000000" w:themeColor="text1"/>
        </w:rPr>
      </w:pPr>
      <w:r w:rsidRPr="00781112">
        <w:rPr>
          <w:b/>
          <w:color w:val="000000" w:themeColor="text1"/>
        </w:rPr>
        <w:t>Measurement</w:t>
      </w:r>
    </w:p>
    <w:p w14:paraId="4FEF37F2" w14:textId="583A49AA" w:rsidR="00876D2A" w:rsidRPr="00781112" w:rsidRDefault="00876D2A" w:rsidP="00876D2A">
      <w:pPr>
        <w:rPr>
          <w:rFonts w:cs="Arial"/>
          <w:szCs w:val="16"/>
        </w:rPr>
      </w:pPr>
      <w:r w:rsidRPr="00781112">
        <w:rPr>
          <w:rFonts w:cs="Arial"/>
          <w:szCs w:val="16"/>
        </w:rPr>
        <w:t>D. Proficiency rate gap = [(proficiency rate for children with IEPs scoring at or above proficient against grade level academic achievement standards for the 2022-2023 school year) subtracted from the (proficiency rate for all students scoring at or above proficient against grade level academic achievement standards for the 2022-2023 school year)]. Calculate separately for reading and math. Calculate separately for grades 4, 8, and high school. The proficiency rate includes all children enrolled for a full academic year and those not enrolled for a full academic year.</w:t>
      </w:r>
    </w:p>
    <w:p w14:paraId="69B5F103" w14:textId="77777777" w:rsidR="00764DDE" w:rsidRPr="00781112" w:rsidRDefault="00764DDE" w:rsidP="00764DDE">
      <w:pPr>
        <w:rPr>
          <w:color w:val="000000" w:themeColor="text1"/>
        </w:rPr>
      </w:pPr>
      <w:r w:rsidRPr="00781112">
        <w:rPr>
          <w:b/>
          <w:color w:val="000000" w:themeColor="text1"/>
        </w:rPr>
        <w:t>Instructions</w:t>
      </w:r>
    </w:p>
    <w:p w14:paraId="06ED299B" w14:textId="77777777" w:rsidR="00876D2A" w:rsidRPr="00781112" w:rsidRDefault="00876D2A" w:rsidP="00876D2A">
      <w:pPr>
        <w:pStyle w:val="Subhed"/>
        <w:rPr>
          <w:b w:val="0"/>
          <w:bCs/>
        </w:rPr>
      </w:pPr>
      <w:r w:rsidRPr="00781112">
        <w:rPr>
          <w:b w:val="0"/>
          <w:bCs/>
        </w:rPr>
        <w:t>Describe the results of the calculations and compare the results to the targets.  Provide the actual numbers used in the calculation.</w:t>
      </w:r>
    </w:p>
    <w:p w14:paraId="5361E418" w14:textId="77777777" w:rsidR="00876D2A" w:rsidRPr="00781112" w:rsidRDefault="00876D2A" w:rsidP="00876D2A">
      <w:pPr>
        <w:pStyle w:val="Subhed"/>
        <w:rPr>
          <w:b w:val="0"/>
          <w:bCs/>
        </w:rPr>
      </w:pPr>
      <w:r w:rsidRPr="00781112">
        <w:rPr>
          <w:b w:val="0"/>
          <w:bCs/>
        </w:rPr>
        <w:t xml:space="preserve">Include information regarding where to find public reports of assessment participation and performance results, as required by 34 CFR §300.160(f), </w:t>
      </w:r>
      <w:r w:rsidRPr="00BA3DBE">
        <w:rPr>
          <w:b w:val="0"/>
          <w:bCs/>
          <w:iCs/>
        </w:rPr>
        <w:t>i.e.</w:t>
      </w:r>
      <w:r w:rsidRPr="006F6E8E">
        <w:rPr>
          <w:b w:val="0"/>
          <w:bCs/>
          <w:iCs/>
        </w:rPr>
        <w:t>,</w:t>
      </w:r>
      <w:r w:rsidRPr="00781112">
        <w:rPr>
          <w:b w:val="0"/>
          <w:bCs/>
        </w:rPr>
        <w:t xml:space="preserve"> a link to the Web site where these data are reported.</w:t>
      </w:r>
    </w:p>
    <w:p w14:paraId="6D783CD1" w14:textId="7D20C5FF" w:rsidR="00876D2A" w:rsidRPr="00781112" w:rsidRDefault="00876D2A" w:rsidP="00876D2A">
      <w:pPr>
        <w:pStyle w:val="Subhed"/>
      </w:pPr>
      <w:r w:rsidRPr="00781112">
        <w:rPr>
          <w:b w:val="0"/>
          <w:bCs/>
        </w:rPr>
        <w:t>Indicator 3D: Gap calculations in this SPP/APR must result in the proficiency rate for children with IEPs were proficient against grade level academic achievement standards for the 2022-2023 school year compared to the proficiency rate for all students who were proficient against grade level academic achievement standards for the 2022-2023 school year. Calculate separately for reading/language arts and math in each of the following grades: 4, 8, and high school, including both children enrolled for a full academic year and those not enrolled for a full academic year. Only include children with disabilities who had an IEP at the time of testing.</w:t>
      </w:r>
    </w:p>
    <w:p w14:paraId="272DFFEC" w14:textId="493A26BE" w:rsidR="00764DDE" w:rsidRPr="00781112" w:rsidRDefault="00764DDE" w:rsidP="00764DDE">
      <w:pPr>
        <w:pStyle w:val="Heading2"/>
      </w:pPr>
      <w:r w:rsidRPr="00781112">
        <w:t>3D - Indicator Data</w:t>
      </w:r>
    </w:p>
    <w:p w14:paraId="7CC64996" w14:textId="77777777" w:rsidR="00DD5B7A" w:rsidRPr="00781112" w:rsidRDefault="00DD5B7A" w:rsidP="00DD5B7A"/>
    <w:p w14:paraId="5E01F354" w14:textId="77777777" w:rsidR="00DD5B7A" w:rsidRPr="00781112" w:rsidRDefault="00DD5B7A" w:rsidP="00DD5B7A">
      <w:pPr>
        <w:rPr>
          <w:b/>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DHISTDATA"/>
      </w:tblPr>
      <w:tblGrid>
        <w:gridCol w:w="1588"/>
        <w:gridCol w:w="1588"/>
        <w:gridCol w:w="2538"/>
        <w:gridCol w:w="2538"/>
        <w:gridCol w:w="2538"/>
      </w:tblGrid>
      <w:tr w:rsidR="00DD5B7A" w:rsidRPr="00781112" w14:paraId="65AC4D07" w14:textId="77777777" w:rsidTr="009725F4">
        <w:trPr>
          <w:trHeight w:val="368"/>
          <w:tblHeader/>
        </w:trPr>
        <w:tc>
          <w:tcPr>
            <w:tcW w:w="736" w:type="pct"/>
            <w:tcBorders>
              <w:top w:val="single" w:sz="4" w:space="0" w:color="auto"/>
            </w:tcBorders>
            <w:vAlign w:val="center"/>
          </w:tcPr>
          <w:p w14:paraId="0BE0D6D4"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sz="4" w:space="0" w:color="auto"/>
            </w:tcBorders>
            <w:shd w:val="clear" w:color="auto" w:fill="auto"/>
            <w:vAlign w:val="center"/>
          </w:tcPr>
          <w:p w14:paraId="4B9E396A"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sz="4" w:space="0" w:color="auto"/>
            </w:tcBorders>
            <w:shd w:val="clear" w:color="auto" w:fill="auto"/>
            <w:vAlign w:val="center"/>
          </w:tcPr>
          <w:p w14:paraId="100D6C68"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sz="4" w:space="0" w:color="auto"/>
            </w:tcBorders>
            <w:shd w:val="clear" w:color="auto" w:fill="auto"/>
            <w:vAlign w:val="center"/>
          </w:tcPr>
          <w:p w14:paraId="6E047D89"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sz="4" w:space="0" w:color="auto"/>
            </w:tcBorders>
            <w:vAlign w:val="center"/>
          </w:tcPr>
          <w:p w14:paraId="3D50F3F8"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Baseline Data</w:t>
            </w:r>
          </w:p>
        </w:tc>
      </w:tr>
      <w:tr w:rsidR="00DD5B7A" w:rsidRPr="00781112" w14:paraId="70B05A32" w14:textId="77777777" w:rsidTr="00360DD6">
        <w:trPr>
          <w:trHeight w:val="368"/>
        </w:trPr>
        <w:tc>
          <w:tcPr>
            <w:tcW w:w="736" w:type="pct"/>
            <w:vAlign w:val="center"/>
          </w:tcPr>
          <w:p w14:paraId="1E1400E1"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00726A78"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406B2FF2" w14:textId="0257EDF0" w:rsidR="00DD5B7A" w:rsidRPr="00781112" w:rsidRDefault="00DD5B7A" w:rsidP="00827FF4">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6B1B3326" w14:textId="475D3617" w:rsidR="00DD5B7A" w:rsidRPr="00781112" w:rsidRDefault="00DD5B7A"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0D86351D" w14:textId="7DD98963" w:rsidR="00DD5B7A" w:rsidRPr="00781112" w:rsidRDefault="00DD5B7A" w:rsidP="00827FF4">
            <w:pPr>
              <w:spacing w:before="0" w:after="0"/>
              <w:jc w:val="center"/>
              <w:rPr>
                <w:color w:val="000000" w:themeColor="text1"/>
              </w:rPr>
            </w:pPr>
            <w:r w:rsidRPr="00781112">
              <w:rPr>
                <w:rFonts w:cs="Arial"/>
                <w:color w:val="000000" w:themeColor="text1"/>
                <w:szCs w:val="16"/>
              </w:rPr>
              <w:t>39.82</w:t>
            </w:r>
          </w:p>
        </w:tc>
      </w:tr>
      <w:tr w:rsidR="00DD5B7A" w:rsidRPr="00781112" w14:paraId="7DB1C775" w14:textId="77777777" w:rsidTr="00360DD6">
        <w:trPr>
          <w:trHeight w:val="368"/>
        </w:trPr>
        <w:tc>
          <w:tcPr>
            <w:tcW w:w="736" w:type="pct"/>
            <w:vAlign w:val="center"/>
          </w:tcPr>
          <w:p w14:paraId="38812700"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4DC20823"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27BEF817" w14:textId="375B6CFE"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644047DF" w14:textId="126BB3C2" w:rsidR="00DD5B7A" w:rsidRPr="00781112" w:rsidRDefault="00DD5B7A"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111214B9" w14:textId="3291E6FA"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31.27</w:t>
            </w:r>
          </w:p>
        </w:tc>
      </w:tr>
      <w:tr w:rsidR="00DD5B7A" w:rsidRPr="00781112" w14:paraId="468C5707" w14:textId="77777777" w:rsidTr="00360DD6">
        <w:trPr>
          <w:trHeight w:val="368"/>
        </w:trPr>
        <w:tc>
          <w:tcPr>
            <w:tcW w:w="736" w:type="pct"/>
            <w:vAlign w:val="center"/>
          </w:tcPr>
          <w:p w14:paraId="283DD3EF"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66F83830"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5B906466" w14:textId="7AB9DEC7" w:rsidR="00DD5B7A" w:rsidRPr="00781112" w:rsidRDefault="00DD5B7A" w:rsidP="00827FF4">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4D688A86" w14:textId="0A70602B" w:rsidR="00DD5B7A" w:rsidRPr="00781112" w:rsidRDefault="00DD5B7A"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3E971EFB" w14:textId="111D0794"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39.45</w:t>
            </w:r>
          </w:p>
        </w:tc>
      </w:tr>
      <w:tr w:rsidR="00DD5B7A" w:rsidRPr="00781112" w14:paraId="40BEF17A" w14:textId="77777777" w:rsidTr="00360DD6">
        <w:trPr>
          <w:trHeight w:val="368"/>
        </w:trPr>
        <w:tc>
          <w:tcPr>
            <w:tcW w:w="736" w:type="pct"/>
            <w:vAlign w:val="center"/>
          </w:tcPr>
          <w:p w14:paraId="10F38B33"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6A2FED54"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4BB0AC7F" w14:textId="3CC5AB81"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53D65D13" w14:textId="770510BC" w:rsidR="00DD5B7A" w:rsidRPr="00781112" w:rsidRDefault="00DD5B7A"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61BD930B" w14:textId="329DAC52"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11.15</w:t>
            </w:r>
          </w:p>
        </w:tc>
      </w:tr>
      <w:tr w:rsidR="00DD5B7A" w:rsidRPr="00781112" w14:paraId="58025947" w14:textId="77777777" w:rsidTr="00360DD6">
        <w:trPr>
          <w:trHeight w:val="368"/>
        </w:trPr>
        <w:tc>
          <w:tcPr>
            <w:tcW w:w="736" w:type="pct"/>
            <w:vAlign w:val="center"/>
          </w:tcPr>
          <w:p w14:paraId="78429F0C"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2EDC855F"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5CF56AA5" w14:textId="0CC49FE5" w:rsidR="00DD5B7A" w:rsidRPr="00781112" w:rsidRDefault="00DD5B7A" w:rsidP="00827FF4">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4E0933AD" w14:textId="4526CD59" w:rsidR="00DD5B7A" w:rsidRPr="00781112" w:rsidRDefault="00DD5B7A"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521057BA" w14:textId="390B5FBA"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10.07</w:t>
            </w:r>
          </w:p>
        </w:tc>
      </w:tr>
      <w:tr w:rsidR="00DD5B7A" w:rsidRPr="00781112" w14:paraId="760D00F1" w14:textId="77777777" w:rsidTr="00360DD6">
        <w:trPr>
          <w:trHeight w:val="368"/>
        </w:trPr>
        <w:tc>
          <w:tcPr>
            <w:tcW w:w="736" w:type="pct"/>
            <w:vAlign w:val="center"/>
          </w:tcPr>
          <w:p w14:paraId="6D27E968"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2F323B36"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351646FB" w14:textId="156B4E70"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32ADE626" w14:textId="141B037F" w:rsidR="00DD5B7A" w:rsidRPr="00781112" w:rsidRDefault="00DD5B7A"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546306E9" w14:textId="2609FDFB"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28.86</w:t>
            </w:r>
          </w:p>
        </w:tc>
      </w:tr>
    </w:tbl>
    <w:p w14:paraId="6BEA17C2" w14:textId="77777777" w:rsidR="00DD5B7A" w:rsidRPr="00781112" w:rsidRDefault="00DD5B7A" w:rsidP="00DD5B7A">
      <w:pPr>
        <w:spacing w:before="0" w:after="200" w:line="276" w:lineRule="auto"/>
        <w:rPr>
          <w:b/>
          <w:color w:val="000000" w:themeColor="text1"/>
        </w:rPr>
      </w:pPr>
    </w:p>
    <w:p w14:paraId="0E9E5136" w14:textId="77777777" w:rsidR="00DD5B7A" w:rsidRPr="00781112" w:rsidRDefault="00DD5B7A" w:rsidP="00DD5B7A">
      <w:pPr>
        <w:rPr>
          <w:b/>
          <w:color w:val="000000" w:themeColor="text1"/>
        </w:rPr>
      </w:pPr>
      <w:r w:rsidRPr="00781112">
        <w:rPr>
          <w:b/>
          <w:color w:val="000000" w:themeColor="text1"/>
        </w:rPr>
        <w:t>Targets</w:t>
      </w:r>
    </w:p>
    <w:tbl>
      <w:tblPr>
        <w:tblW w:w="37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DTARGETS"/>
      </w:tblPr>
      <w:tblGrid>
        <w:gridCol w:w="897"/>
        <w:gridCol w:w="721"/>
        <w:gridCol w:w="1171"/>
        <w:gridCol w:w="1334"/>
        <w:gridCol w:w="1334"/>
        <w:gridCol w:w="1334"/>
        <w:gridCol w:w="1332"/>
      </w:tblGrid>
      <w:tr w:rsidR="00B67FCE" w:rsidRPr="00781112" w14:paraId="32AE1F59" w14:textId="77777777" w:rsidTr="00845B9B">
        <w:tc>
          <w:tcPr>
            <w:tcW w:w="552" w:type="pct"/>
            <w:tcBorders>
              <w:bottom w:val="single" w:sz="4" w:space="0" w:color="auto"/>
            </w:tcBorders>
            <w:shd w:val="clear" w:color="auto" w:fill="auto"/>
            <w:vAlign w:val="center"/>
          </w:tcPr>
          <w:p w14:paraId="6A9E2F19" w14:textId="77777777" w:rsidR="00B67FCE" w:rsidRPr="00781112" w:rsidRDefault="00B67FCE" w:rsidP="00827FF4">
            <w:pPr>
              <w:jc w:val="center"/>
              <w:rPr>
                <w:b/>
                <w:color w:val="000000" w:themeColor="text1"/>
              </w:rPr>
            </w:pPr>
            <w:r w:rsidRPr="00781112">
              <w:rPr>
                <w:b/>
                <w:color w:val="000000" w:themeColor="text1"/>
              </w:rPr>
              <w:t>Subject</w:t>
            </w:r>
          </w:p>
        </w:tc>
        <w:tc>
          <w:tcPr>
            <w:tcW w:w="444" w:type="pct"/>
            <w:tcBorders>
              <w:bottom w:val="single" w:sz="4" w:space="0" w:color="auto"/>
            </w:tcBorders>
            <w:shd w:val="clear" w:color="auto" w:fill="auto"/>
            <w:vAlign w:val="center"/>
          </w:tcPr>
          <w:p w14:paraId="5181D1E9" w14:textId="77777777" w:rsidR="00B67FCE" w:rsidRPr="00781112" w:rsidRDefault="00B67FCE" w:rsidP="00827FF4">
            <w:pPr>
              <w:jc w:val="center"/>
              <w:rPr>
                <w:b/>
                <w:color w:val="000000" w:themeColor="text1"/>
              </w:rPr>
            </w:pPr>
            <w:r w:rsidRPr="00781112">
              <w:rPr>
                <w:b/>
                <w:color w:val="000000" w:themeColor="text1"/>
              </w:rPr>
              <w:t>Group</w:t>
            </w:r>
          </w:p>
        </w:tc>
        <w:tc>
          <w:tcPr>
            <w:tcW w:w="721" w:type="pct"/>
            <w:shd w:val="clear" w:color="auto" w:fill="auto"/>
            <w:vAlign w:val="center"/>
          </w:tcPr>
          <w:p w14:paraId="7C5EACD6" w14:textId="77777777" w:rsidR="00B67FCE" w:rsidRPr="00781112" w:rsidDel="008E7B87" w:rsidRDefault="00B67FCE" w:rsidP="00827FF4">
            <w:pPr>
              <w:jc w:val="center"/>
              <w:rPr>
                <w:b/>
                <w:color w:val="000000" w:themeColor="text1"/>
              </w:rPr>
            </w:pPr>
            <w:r w:rsidRPr="00781112">
              <w:rPr>
                <w:b/>
                <w:color w:val="000000" w:themeColor="text1"/>
              </w:rPr>
              <w:t>Group Name</w:t>
            </w:r>
          </w:p>
        </w:tc>
        <w:tc>
          <w:tcPr>
            <w:tcW w:w="821" w:type="pct"/>
            <w:shd w:val="clear" w:color="auto" w:fill="auto"/>
            <w:vAlign w:val="center"/>
          </w:tcPr>
          <w:p w14:paraId="57197BBC" w14:textId="77777777" w:rsidR="00B67FCE" w:rsidRPr="00781112" w:rsidRDefault="00B67FCE" w:rsidP="00827FF4">
            <w:pPr>
              <w:jc w:val="center"/>
              <w:rPr>
                <w:b/>
                <w:color w:val="000000" w:themeColor="text1"/>
              </w:rPr>
            </w:pPr>
            <w:r w:rsidRPr="00781112">
              <w:rPr>
                <w:b/>
                <w:color w:val="000000" w:themeColor="text1"/>
              </w:rPr>
              <w:t>2022</w:t>
            </w:r>
          </w:p>
        </w:tc>
        <w:tc>
          <w:tcPr>
            <w:tcW w:w="821" w:type="pct"/>
            <w:vAlign w:val="center"/>
          </w:tcPr>
          <w:p w14:paraId="07ACCE04" w14:textId="77777777" w:rsidR="00B67FCE" w:rsidRPr="00781112" w:rsidRDefault="00B67FCE" w:rsidP="00827FF4">
            <w:pPr>
              <w:jc w:val="center"/>
              <w:rPr>
                <w:b/>
                <w:color w:val="000000" w:themeColor="text1"/>
              </w:rPr>
            </w:pPr>
            <w:r w:rsidRPr="00781112">
              <w:rPr>
                <w:rFonts w:cs="Arial"/>
                <w:b/>
                <w:color w:val="000000" w:themeColor="text1"/>
                <w:szCs w:val="16"/>
              </w:rPr>
              <w:t>2023</w:t>
            </w:r>
          </w:p>
        </w:tc>
        <w:tc>
          <w:tcPr>
            <w:tcW w:w="821" w:type="pct"/>
            <w:vAlign w:val="center"/>
          </w:tcPr>
          <w:p w14:paraId="0B682674" w14:textId="77777777" w:rsidR="00B67FCE" w:rsidRPr="00781112" w:rsidRDefault="00B67FCE" w:rsidP="00827FF4">
            <w:pPr>
              <w:jc w:val="center"/>
              <w:rPr>
                <w:b/>
                <w:color w:val="000000" w:themeColor="text1"/>
              </w:rPr>
            </w:pPr>
            <w:r w:rsidRPr="00781112">
              <w:rPr>
                <w:rFonts w:cs="Arial"/>
                <w:b/>
                <w:color w:val="000000" w:themeColor="text1"/>
                <w:szCs w:val="16"/>
              </w:rPr>
              <w:t>2024</w:t>
            </w:r>
          </w:p>
        </w:tc>
        <w:tc>
          <w:tcPr>
            <w:tcW w:w="821" w:type="pct"/>
            <w:vAlign w:val="center"/>
          </w:tcPr>
          <w:p w14:paraId="3597F00E" w14:textId="77777777" w:rsidR="00B67FCE" w:rsidRPr="00781112" w:rsidRDefault="00B67FCE" w:rsidP="00827FF4">
            <w:pPr>
              <w:jc w:val="center"/>
              <w:rPr>
                <w:b/>
                <w:color w:val="000000" w:themeColor="text1"/>
              </w:rPr>
            </w:pPr>
            <w:r w:rsidRPr="00781112">
              <w:rPr>
                <w:rFonts w:cs="Arial"/>
                <w:b/>
                <w:color w:val="000000" w:themeColor="text1"/>
                <w:szCs w:val="16"/>
              </w:rPr>
              <w:t>2025</w:t>
            </w:r>
          </w:p>
        </w:tc>
      </w:tr>
      <w:tr w:rsidR="00B67FCE" w:rsidRPr="00781112" w14:paraId="506F660C" w14:textId="77777777" w:rsidTr="00845B9B">
        <w:tc>
          <w:tcPr>
            <w:tcW w:w="552" w:type="pct"/>
            <w:shd w:val="clear" w:color="auto" w:fill="auto"/>
            <w:vAlign w:val="center"/>
          </w:tcPr>
          <w:p w14:paraId="5CF55C17"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Reading</w:t>
            </w:r>
          </w:p>
        </w:tc>
        <w:tc>
          <w:tcPr>
            <w:tcW w:w="444" w:type="pct"/>
            <w:shd w:val="clear" w:color="auto" w:fill="auto"/>
            <w:vAlign w:val="center"/>
          </w:tcPr>
          <w:p w14:paraId="4BDAD87D"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A &lt;=</w:t>
            </w:r>
          </w:p>
        </w:tc>
        <w:tc>
          <w:tcPr>
            <w:tcW w:w="721" w:type="pct"/>
            <w:shd w:val="clear" w:color="auto" w:fill="auto"/>
            <w:vAlign w:val="center"/>
          </w:tcPr>
          <w:p w14:paraId="25B01019" w14:textId="68614C3D" w:rsidR="00B67FCE" w:rsidRPr="00781112" w:rsidDel="00DB0A73" w:rsidRDefault="00B67FCE" w:rsidP="00827FF4">
            <w:pPr>
              <w:jc w:val="center"/>
              <w:rPr>
                <w:rFonts w:cs="Arial"/>
                <w:color w:val="000000" w:themeColor="text1"/>
                <w:szCs w:val="16"/>
              </w:rPr>
            </w:pPr>
            <w:r w:rsidRPr="00781112">
              <w:rPr>
                <w:rFonts w:cs="Arial"/>
                <w:color w:val="000000" w:themeColor="text1"/>
                <w:szCs w:val="16"/>
              </w:rPr>
              <w:t>Grade 4</w:t>
            </w:r>
          </w:p>
        </w:tc>
        <w:tc>
          <w:tcPr>
            <w:tcW w:w="821" w:type="pct"/>
            <w:shd w:val="clear" w:color="auto" w:fill="auto"/>
            <w:vAlign w:val="center"/>
          </w:tcPr>
          <w:p w14:paraId="6E665D01" w14:textId="380A2C73" w:rsidR="00B67FCE" w:rsidRPr="00781112" w:rsidRDefault="00B67FCE" w:rsidP="00827FF4">
            <w:pPr>
              <w:jc w:val="center"/>
              <w:rPr>
                <w:rFonts w:cs="Arial"/>
                <w:color w:val="000000" w:themeColor="text1"/>
                <w:szCs w:val="16"/>
              </w:rPr>
            </w:pPr>
            <w:r w:rsidRPr="00781112">
              <w:rPr>
                <w:rFonts w:cs="Arial"/>
                <w:color w:val="000000" w:themeColor="text1"/>
                <w:szCs w:val="16"/>
              </w:rPr>
              <w:t>38.97</w:t>
            </w:r>
          </w:p>
        </w:tc>
        <w:tc>
          <w:tcPr>
            <w:tcW w:w="821" w:type="pct"/>
            <w:vAlign w:val="center"/>
          </w:tcPr>
          <w:p w14:paraId="680AEBF8" w14:textId="435AE40D" w:rsidR="00B67FCE" w:rsidRPr="00781112" w:rsidRDefault="00B67FCE" w:rsidP="00827FF4">
            <w:pPr>
              <w:jc w:val="center"/>
              <w:rPr>
                <w:rFonts w:cs="Arial"/>
                <w:color w:val="000000" w:themeColor="text1"/>
                <w:szCs w:val="16"/>
              </w:rPr>
            </w:pPr>
            <w:r w:rsidRPr="00781112">
              <w:rPr>
                <w:rFonts w:cs="Arial"/>
                <w:color w:val="000000" w:themeColor="text1"/>
                <w:szCs w:val="16"/>
              </w:rPr>
              <w:t>38.52</w:t>
            </w:r>
            <w:r w:rsidRPr="00781112">
              <w:t xml:space="preserve"> </w:t>
            </w:r>
          </w:p>
        </w:tc>
        <w:tc>
          <w:tcPr>
            <w:tcW w:w="821" w:type="pct"/>
            <w:vAlign w:val="center"/>
          </w:tcPr>
          <w:p w14:paraId="060B65A2" w14:textId="3C5E7042" w:rsidR="00B67FCE" w:rsidRPr="00781112" w:rsidRDefault="00B67FCE" w:rsidP="00827FF4">
            <w:pPr>
              <w:jc w:val="center"/>
              <w:rPr>
                <w:rFonts w:cs="Arial"/>
                <w:color w:val="000000" w:themeColor="text1"/>
                <w:szCs w:val="16"/>
              </w:rPr>
            </w:pPr>
            <w:r w:rsidRPr="00781112">
              <w:rPr>
                <w:rFonts w:cs="Arial"/>
                <w:color w:val="000000" w:themeColor="text1"/>
                <w:szCs w:val="16"/>
              </w:rPr>
              <w:t>38.07</w:t>
            </w:r>
          </w:p>
        </w:tc>
        <w:tc>
          <w:tcPr>
            <w:tcW w:w="821" w:type="pct"/>
            <w:vAlign w:val="center"/>
          </w:tcPr>
          <w:p w14:paraId="7E46B7D6" w14:textId="00FC807B" w:rsidR="00B67FCE" w:rsidRPr="00781112" w:rsidRDefault="00B67FCE" w:rsidP="00827FF4">
            <w:pPr>
              <w:jc w:val="center"/>
              <w:rPr>
                <w:rFonts w:cs="Arial"/>
                <w:color w:val="000000" w:themeColor="text1"/>
                <w:szCs w:val="16"/>
              </w:rPr>
            </w:pPr>
            <w:r w:rsidRPr="00781112">
              <w:rPr>
                <w:rFonts w:cs="Arial"/>
                <w:color w:val="000000" w:themeColor="text1"/>
                <w:szCs w:val="16"/>
              </w:rPr>
              <w:t>37.62</w:t>
            </w:r>
          </w:p>
        </w:tc>
      </w:tr>
      <w:tr w:rsidR="00B67FCE" w:rsidRPr="00781112" w14:paraId="109FA148" w14:textId="77777777" w:rsidTr="00845B9B">
        <w:tc>
          <w:tcPr>
            <w:tcW w:w="552" w:type="pct"/>
            <w:shd w:val="clear" w:color="auto" w:fill="auto"/>
            <w:vAlign w:val="center"/>
          </w:tcPr>
          <w:p w14:paraId="5CAAC2A8"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Reading</w:t>
            </w:r>
          </w:p>
        </w:tc>
        <w:tc>
          <w:tcPr>
            <w:tcW w:w="444" w:type="pct"/>
            <w:shd w:val="clear" w:color="auto" w:fill="auto"/>
            <w:vAlign w:val="center"/>
          </w:tcPr>
          <w:p w14:paraId="1DFAA13E"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B &lt;=</w:t>
            </w:r>
          </w:p>
        </w:tc>
        <w:tc>
          <w:tcPr>
            <w:tcW w:w="721" w:type="pct"/>
            <w:shd w:val="clear" w:color="auto" w:fill="auto"/>
            <w:vAlign w:val="center"/>
          </w:tcPr>
          <w:p w14:paraId="330884D1" w14:textId="3ED7AA15" w:rsidR="00B67FCE" w:rsidRPr="00781112" w:rsidDel="00DB0A73" w:rsidRDefault="00B67FCE" w:rsidP="00827FF4">
            <w:pPr>
              <w:jc w:val="center"/>
              <w:rPr>
                <w:rFonts w:cs="Arial"/>
                <w:color w:val="000000" w:themeColor="text1"/>
                <w:szCs w:val="16"/>
              </w:rPr>
            </w:pPr>
            <w:r w:rsidRPr="00781112">
              <w:rPr>
                <w:rFonts w:cs="Arial"/>
                <w:color w:val="000000" w:themeColor="text1"/>
                <w:szCs w:val="16"/>
              </w:rPr>
              <w:t>Grade 8</w:t>
            </w:r>
          </w:p>
        </w:tc>
        <w:tc>
          <w:tcPr>
            <w:tcW w:w="821" w:type="pct"/>
            <w:shd w:val="clear" w:color="auto" w:fill="auto"/>
            <w:vAlign w:val="center"/>
          </w:tcPr>
          <w:p w14:paraId="68DC0FBA" w14:textId="3776550F" w:rsidR="00B67FCE" w:rsidRPr="00781112" w:rsidRDefault="00B67FCE" w:rsidP="00827FF4">
            <w:pPr>
              <w:jc w:val="center"/>
              <w:rPr>
                <w:rFonts w:cs="Arial"/>
                <w:color w:val="000000" w:themeColor="text1"/>
                <w:szCs w:val="16"/>
              </w:rPr>
            </w:pPr>
            <w:r w:rsidRPr="00781112">
              <w:rPr>
                <w:rFonts w:cs="Arial"/>
                <w:color w:val="000000" w:themeColor="text1"/>
                <w:szCs w:val="16"/>
              </w:rPr>
              <w:t>30.82</w:t>
            </w:r>
          </w:p>
        </w:tc>
        <w:tc>
          <w:tcPr>
            <w:tcW w:w="821" w:type="pct"/>
            <w:vAlign w:val="center"/>
          </w:tcPr>
          <w:p w14:paraId="5D544F8D" w14:textId="7D5BE3EF" w:rsidR="00B67FCE" w:rsidRPr="00781112" w:rsidRDefault="00B67FCE" w:rsidP="00827FF4">
            <w:pPr>
              <w:jc w:val="center"/>
              <w:rPr>
                <w:rFonts w:cs="Arial"/>
                <w:color w:val="000000" w:themeColor="text1"/>
                <w:szCs w:val="16"/>
              </w:rPr>
            </w:pPr>
            <w:r w:rsidRPr="00781112">
              <w:rPr>
                <w:rFonts w:cs="Arial"/>
                <w:color w:val="000000" w:themeColor="text1"/>
                <w:szCs w:val="16"/>
              </w:rPr>
              <w:t>30.37</w:t>
            </w:r>
          </w:p>
        </w:tc>
        <w:tc>
          <w:tcPr>
            <w:tcW w:w="821" w:type="pct"/>
            <w:vAlign w:val="center"/>
          </w:tcPr>
          <w:p w14:paraId="067CAD2B" w14:textId="5DA2AE3C" w:rsidR="00B67FCE" w:rsidRPr="00781112" w:rsidRDefault="00B67FCE" w:rsidP="00827FF4">
            <w:pPr>
              <w:jc w:val="center"/>
              <w:rPr>
                <w:rFonts w:cs="Arial"/>
                <w:color w:val="000000" w:themeColor="text1"/>
                <w:szCs w:val="16"/>
              </w:rPr>
            </w:pPr>
            <w:r w:rsidRPr="00781112">
              <w:rPr>
                <w:rFonts w:cs="Arial"/>
                <w:color w:val="000000" w:themeColor="text1"/>
                <w:szCs w:val="16"/>
              </w:rPr>
              <w:t>29.92</w:t>
            </w:r>
          </w:p>
        </w:tc>
        <w:tc>
          <w:tcPr>
            <w:tcW w:w="821" w:type="pct"/>
            <w:vAlign w:val="center"/>
          </w:tcPr>
          <w:p w14:paraId="780BEF08" w14:textId="2245CB58" w:rsidR="00B67FCE" w:rsidRPr="00781112" w:rsidRDefault="00B67FCE" w:rsidP="00827FF4">
            <w:pPr>
              <w:jc w:val="center"/>
              <w:rPr>
                <w:rFonts w:cs="Arial"/>
                <w:color w:val="000000" w:themeColor="text1"/>
                <w:szCs w:val="16"/>
              </w:rPr>
            </w:pPr>
            <w:r w:rsidRPr="00781112">
              <w:rPr>
                <w:rFonts w:cs="Arial"/>
                <w:color w:val="000000" w:themeColor="text1"/>
                <w:szCs w:val="16"/>
              </w:rPr>
              <w:t>29.47</w:t>
            </w:r>
          </w:p>
        </w:tc>
      </w:tr>
      <w:tr w:rsidR="00B67FCE" w:rsidRPr="00781112" w14:paraId="736D24EA" w14:textId="77777777" w:rsidTr="00845B9B">
        <w:tc>
          <w:tcPr>
            <w:tcW w:w="552" w:type="pct"/>
            <w:shd w:val="clear" w:color="auto" w:fill="auto"/>
            <w:vAlign w:val="center"/>
          </w:tcPr>
          <w:p w14:paraId="56FB00C6"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Reading</w:t>
            </w:r>
          </w:p>
        </w:tc>
        <w:tc>
          <w:tcPr>
            <w:tcW w:w="444" w:type="pct"/>
            <w:shd w:val="clear" w:color="auto" w:fill="auto"/>
            <w:vAlign w:val="center"/>
          </w:tcPr>
          <w:p w14:paraId="76599FEA"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C &lt;=</w:t>
            </w:r>
          </w:p>
        </w:tc>
        <w:tc>
          <w:tcPr>
            <w:tcW w:w="721" w:type="pct"/>
            <w:shd w:val="clear" w:color="auto" w:fill="auto"/>
            <w:vAlign w:val="center"/>
          </w:tcPr>
          <w:p w14:paraId="6758DB1A" w14:textId="51D63552" w:rsidR="00B67FCE" w:rsidRPr="00781112" w:rsidDel="00DB0A73" w:rsidRDefault="00B67FCE" w:rsidP="00827FF4">
            <w:pPr>
              <w:jc w:val="center"/>
              <w:rPr>
                <w:rFonts w:cs="Arial"/>
                <w:color w:val="000000" w:themeColor="text1"/>
                <w:szCs w:val="16"/>
              </w:rPr>
            </w:pPr>
            <w:r w:rsidRPr="00781112">
              <w:rPr>
                <w:rFonts w:cs="Arial"/>
                <w:color w:val="000000" w:themeColor="text1"/>
                <w:szCs w:val="16"/>
              </w:rPr>
              <w:t>Grade HS</w:t>
            </w:r>
          </w:p>
        </w:tc>
        <w:tc>
          <w:tcPr>
            <w:tcW w:w="821" w:type="pct"/>
            <w:shd w:val="clear" w:color="auto" w:fill="auto"/>
            <w:vAlign w:val="center"/>
          </w:tcPr>
          <w:p w14:paraId="56DA6177" w14:textId="20AF4748" w:rsidR="00B67FCE" w:rsidRPr="00781112" w:rsidRDefault="00B67FCE" w:rsidP="00827FF4">
            <w:pPr>
              <w:jc w:val="center"/>
              <w:rPr>
                <w:rFonts w:cs="Arial"/>
                <w:color w:val="000000" w:themeColor="text1"/>
                <w:szCs w:val="16"/>
              </w:rPr>
            </w:pPr>
            <w:r w:rsidRPr="00781112">
              <w:rPr>
                <w:rFonts w:cs="Arial"/>
                <w:color w:val="000000" w:themeColor="text1"/>
                <w:szCs w:val="16"/>
              </w:rPr>
              <w:t>39.00</w:t>
            </w:r>
          </w:p>
        </w:tc>
        <w:tc>
          <w:tcPr>
            <w:tcW w:w="821" w:type="pct"/>
            <w:vAlign w:val="center"/>
          </w:tcPr>
          <w:p w14:paraId="12D9F716" w14:textId="7A56543C" w:rsidR="00B67FCE" w:rsidRPr="00781112" w:rsidRDefault="00B67FCE" w:rsidP="00827FF4">
            <w:pPr>
              <w:jc w:val="center"/>
              <w:rPr>
                <w:rFonts w:cs="Arial"/>
                <w:color w:val="000000" w:themeColor="text1"/>
                <w:szCs w:val="16"/>
              </w:rPr>
            </w:pPr>
            <w:r w:rsidRPr="00781112">
              <w:rPr>
                <w:rFonts w:cs="Arial"/>
                <w:color w:val="000000" w:themeColor="text1"/>
                <w:szCs w:val="16"/>
              </w:rPr>
              <w:t>38.55</w:t>
            </w:r>
          </w:p>
        </w:tc>
        <w:tc>
          <w:tcPr>
            <w:tcW w:w="821" w:type="pct"/>
            <w:vAlign w:val="center"/>
          </w:tcPr>
          <w:p w14:paraId="4EE8CD33" w14:textId="2A4DD9F9" w:rsidR="00B67FCE" w:rsidRPr="00781112" w:rsidRDefault="00B67FCE" w:rsidP="00827FF4">
            <w:pPr>
              <w:jc w:val="center"/>
              <w:rPr>
                <w:rFonts w:cs="Arial"/>
                <w:color w:val="000000" w:themeColor="text1"/>
                <w:szCs w:val="16"/>
              </w:rPr>
            </w:pPr>
            <w:r w:rsidRPr="00781112">
              <w:rPr>
                <w:rFonts w:cs="Arial"/>
                <w:color w:val="000000" w:themeColor="text1"/>
                <w:szCs w:val="16"/>
              </w:rPr>
              <w:t>38.10</w:t>
            </w:r>
          </w:p>
        </w:tc>
        <w:tc>
          <w:tcPr>
            <w:tcW w:w="821" w:type="pct"/>
            <w:vAlign w:val="center"/>
          </w:tcPr>
          <w:p w14:paraId="5414FEEF" w14:textId="05CDB931" w:rsidR="00B67FCE" w:rsidRPr="00781112" w:rsidRDefault="00B67FCE" w:rsidP="00827FF4">
            <w:pPr>
              <w:jc w:val="center"/>
              <w:rPr>
                <w:rFonts w:cs="Arial"/>
                <w:color w:val="000000" w:themeColor="text1"/>
                <w:szCs w:val="16"/>
              </w:rPr>
            </w:pPr>
            <w:r w:rsidRPr="00781112">
              <w:rPr>
                <w:rFonts w:cs="Arial"/>
                <w:color w:val="000000" w:themeColor="text1"/>
                <w:szCs w:val="16"/>
              </w:rPr>
              <w:t>37.65</w:t>
            </w:r>
          </w:p>
        </w:tc>
      </w:tr>
      <w:tr w:rsidR="00B67FCE" w:rsidRPr="00781112" w14:paraId="311AB0DD" w14:textId="77777777" w:rsidTr="00845B9B">
        <w:tc>
          <w:tcPr>
            <w:tcW w:w="552" w:type="pct"/>
            <w:shd w:val="clear" w:color="auto" w:fill="auto"/>
            <w:vAlign w:val="center"/>
          </w:tcPr>
          <w:p w14:paraId="3D2E0CB6"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Math</w:t>
            </w:r>
          </w:p>
        </w:tc>
        <w:tc>
          <w:tcPr>
            <w:tcW w:w="444" w:type="pct"/>
            <w:shd w:val="clear" w:color="auto" w:fill="auto"/>
            <w:vAlign w:val="center"/>
          </w:tcPr>
          <w:p w14:paraId="2AAA6495"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A &lt;=</w:t>
            </w:r>
          </w:p>
        </w:tc>
        <w:tc>
          <w:tcPr>
            <w:tcW w:w="721" w:type="pct"/>
            <w:shd w:val="clear" w:color="auto" w:fill="auto"/>
            <w:vAlign w:val="center"/>
          </w:tcPr>
          <w:p w14:paraId="65E16006" w14:textId="0FBAD82F" w:rsidR="00B67FCE" w:rsidRPr="00781112" w:rsidDel="00DB0A73" w:rsidRDefault="00B67FCE" w:rsidP="00827FF4">
            <w:pPr>
              <w:jc w:val="center"/>
              <w:rPr>
                <w:rFonts w:cs="Arial"/>
                <w:color w:val="000000" w:themeColor="text1"/>
                <w:szCs w:val="16"/>
              </w:rPr>
            </w:pPr>
            <w:r w:rsidRPr="00781112">
              <w:rPr>
                <w:rFonts w:cs="Arial"/>
                <w:color w:val="000000" w:themeColor="text1"/>
                <w:szCs w:val="16"/>
              </w:rPr>
              <w:t>Grade 4</w:t>
            </w:r>
          </w:p>
        </w:tc>
        <w:tc>
          <w:tcPr>
            <w:tcW w:w="821" w:type="pct"/>
            <w:shd w:val="clear" w:color="auto" w:fill="auto"/>
            <w:vAlign w:val="center"/>
          </w:tcPr>
          <w:p w14:paraId="122DB35A" w14:textId="50E48575" w:rsidR="00B67FCE" w:rsidRPr="00781112" w:rsidRDefault="00B67FCE" w:rsidP="00827FF4">
            <w:pPr>
              <w:jc w:val="center"/>
              <w:rPr>
                <w:rFonts w:cs="Arial"/>
                <w:color w:val="000000" w:themeColor="text1"/>
                <w:szCs w:val="16"/>
              </w:rPr>
            </w:pPr>
            <w:r w:rsidRPr="00781112">
              <w:rPr>
                <w:rFonts w:cs="Arial"/>
                <w:color w:val="000000" w:themeColor="text1"/>
                <w:szCs w:val="16"/>
              </w:rPr>
              <w:t>10.74</w:t>
            </w:r>
          </w:p>
        </w:tc>
        <w:tc>
          <w:tcPr>
            <w:tcW w:w="821" w:type="pct"/>
            <w:vAlign w:val="center"/>
          </w:tcPr>
          <w:p w14:paraId="7E46501E" w14:textId="6CB1A41D" w:rsidR="00B67FCE" w:rsidRPr="00781112" w:rsidRDefault="00B67FCE" w:rsidP="00827FF4">
            <w:pPr>
              <w:jc w:val="center"/>
              <w:rPr>
                <w:rFonts w:cs="Arial"/>
                <w:color w:val="000000" w:themeColor="text1"/>
                <w:szCs w:val="16"/>
              </w:rPr>
            </w:pPr>
            <w:r w:rsidRPr="00781112">
              <w:rPr>
                <w:rFonts w:cs="Arial"/>
                <w:color w:val="000000" w:themeColor="text1"/>
                <w:szCs w:val="16"/>
              </w:rPr>
              <w:t>10.33</w:t>
            </w:r>
          </w:p>
        </w:tc>
        <w:tc>
          <w:tcPr>
            <w:tcW w:w="821" w:type="pct"/>
            <w:vAlign w:val="center"/>
          </w:tcPr>
          <w:p w14:paraId="6A7C9997" w14:textId="58A4736A" w:rsidR="00B67FCE" w:rsidRPr="00781112" w:rsidRDefault="00B67FCE" w:rsidP="00827FF4">
            <w:pPr>
              <w:jc w:val="center"/>
              <w:rPr>
                <w:rFonts w:cs="Arial"/>
                <w:color w:val="000000" w:themeColor="text1"/>
                <w:szCs w:val="16"/>
              </w:rPr>
            </w:pPr>
            <w:r w:rsidRPr="00781112">
              <w:rPr>
                <w:rFonts w:cs="Arial"/>
                <w:color w:val="000000" w:themeColor="text1"/>
                <w:szCs w:val="16"/>
              </w:rPr>
              <w:t>9.92</w:t>
            </w:r>
          </w:p>
        </w:tc>
        <w:tc>
          <w:tcPr>
            <w:tcW w:w="821" w:type="pct"/>
            <w:vAlign w:val="center"/>
          </w:tcPr>
          <w:p w14:paraId="491D1816" w14:textId="09E4A313" w:rsidR="00B67FCE" w:rsidRPr="00781112" w:rsidRDefault="00B67FCE" w:rsidP="00827FF4">
            <w:pPr>
              <w:jc w:val="center"/>
              <w:rPr>
                <w:rFonts w:cs="Arial"/>
                <w:color w:val="000000" w:themeColor="text1"/>
                <w:szCs w:val="16"/>
              </w:rPr>
            </w:pPr>
            <w:r w:rsidRPr="00781112">
              <w:rPr>
                <w:rFonts w:cs="Arial"/>
                <w:color w:val="000000" w:themeColor="text1"/>
                <w:szCs w:val="16"/>
              </w:rPr>
              <w:t>9.51</w:t>
            </w:r>
          </w:p>
        </w:tc>
      </w:tr>
      <w:tr w:rsidR="00B67FCE" w:rsidRPr="00781112" w14:paraId="1F14A6A0" w14:textId="77777777" w:rsidTr="00845B9B">
        <w:tc>
          <w:tcPr>
            <w:tcW w:w="552" w:type="pct"/>
            <w:shd w:val="clear" w:color="auto" w:fill="auto"/>
            <w:vAlign w:val="center"/>
          </w:tcPr>
          <w:p w14:paraId="67FFD637"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Math</w:t>
            </w:r>
          </w:p>
        </w:tc>
        <w:tc>
          <w:tcPr>
            <w:tcW w:w="444" w:type="pct"/>
            <w:shd w:val="clear" w:color="auto" w:fill="auto"/>
            <w:vAlign w:val="center"/>
          </w:tcPr>
          <w:p w14:paraId="5CC9E434"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B &lt;=</w:t>
            </w:r>
          </w:p>
        </w:tc>
        <w:tc>
          <w:tcPr>
            <w:tcW w:w="721" w:type="pct"/>
            <w:shd w:val="clear" w:color="auto" w:fill="auto"/>
            <w:vAlign w:val="center"/>
          </w:tcPr>
          <w:p w14:paraId="48449221" w14:textId="1DE29BDC" w:rsidR="00B67FCE" w:rsidRPr="00781112" w:rsidDel="00DB0A73" w:rsidRDefault="00B67FCE" w:rsidP="00827FF4">
            <w:pPr>
              <w:jc w:val="center"/>
              <w:rPr>
                <w:rFonts w:cs="Arial"/>
                <w:color w:val="000000" w:themeColor="text1"/>
                <w:szCs w:val="16"/>
              </w:rPr>
            </w:pPr>
            <w:r w:rsidRPr="00781112">
              <w:rPr>
                <w:rFonts w:cs="Arial"/>
                <w:color w:val="000000" w:themeColor="text1"/>
                <w:szCs w:val="16"/>
              </w:rPr>
              <w:t>Grade 8</w:t>
            </w:r>
          </w:p>
        </w:tc>
        <w:tc>
          <w:tcPr>
            <w:tcW w:w="821" w:type="pct"/>
            <w:shd w:val="clear" w:color="auto" w:fill="auto"/>
            <w:vAlign w:val="center"/>
          </w:tcPr>
          <w:p w14:paraId="09A6E3C5" w14:textId="2E8BFD65" w:rsidR="00B67FCE" w:rsidRPr="00781112" w:rsidRDefault="00B67FCE" w:rsidP="00827FF4">
            <w:pPr>
              <w:jc w:val="center"/>
              <w:rPr>
                <w:rFonts w:cs="Arial"/>
                <w:color w:val="000000" w:themeColor="text1"/>
                <w:szCs w:val="16"/>
              </w:rPr>
            </w:pPr>
            <w:r w:rsidRPr="00781112">
              <w:rPr>
                <w:rFonts w:cs="Arial"/>
                <w:color w:val="000000" w:themeColor="text1"/>
                <w:szCs w:val="16"/>
              </w:rPr>
              <w:t>9.66</w:t>
            </w:r>
          </w:p>
        </w:tc>
        <w:tc>
          <w:tcPr>
            <w:tcW w:w="821" w:type="pct"/>
            <w:vAlign w:val="center"/>
          </w:tcPr>
          <w:p w14:paraId="627C9FA2" w14:textId="428379CE" w:rsidR="00B67FCE" w:rsidRPr="00781112" w:rsidRDefault="00B67FCE" w:rsidP="00827FF4">
            <w:pPr>
              <w:jc w:val="center"/>
              <w:rPr>
                <w:rFonts w:cs="Arial"/>
                <w:color w:val="000000" w:themeColor="text1"/>
                <w:szCs w:val="16"/>
              </w:rPr>
            </w:pPr>
            <w:r w:rsidRPr="00781112">
              <w:rPr>
                <w:rFonts w:cs="Arial"/>
                <w:color w:val="000000" w:themeColor="text1"/>
                <w:szCs w:val="16"/>
              </w:rPr>
              <w:t>9.25</w:t>
            </w:r>
          </w:p>
        </w:tc>
        <w:tc>
          <w:tcPr>
            <w:tcW w:w="821" w:type="pct"/>
            <w:vAlign w:val="center"/>
          </w:tcPr>
          <w:p w14:paraId="6204E3FD" w14:textId="081B5532" w:rsidR="00B67FCE" w:rsidRPr="00781112" w:rsidRDefault="00B67FCE" w:rsidP="00827FF4">
            <w:pPr>
              <w:jc w:val="center"/>
              <w:rPr>
                <w:rFonts w:cs="Arial"/>
                <w:color w:val="000000" w:themeColor="text1"/>
                <w:szCs w:val="16"/>
              </w:rPr>
            </w:pPr>
            <w:r w:rsidRPr="00781112">
              <w:rPr>
                <w:rFonts w:cs="Arial"/>
                <w:color w:val="000000" w:themeColor="text1"/>
                <w:szCs w:val="16"/>
              </w:rPr>
              <w:t>8.84</w:t>
            </w:r>
          </w:p>
        </w:tc>
        <w:tc>
          <w:tcPr>
            <w:tcW w:w="821" w:type="pct"/>
            <w:vAlign w:val="center"/>
          </w:tcPr>
          <w:p w14:paraId="70AB4E74" w14:textId="67486BA0" w:rsidR="00B67FCE" w:rsidRPr="00781112" w:rsidRDefault="00B67FCE" w:rsidP="00827FF4">
            <w:pPr>
              <w:jc w:val="center"/>
              <w:rPr>
                <w:rFonts w:cs="Arial"/>
                <w:color w:val="000000" w:themeColor="text1"/>
                <w:szCs w:val="16"/>
              </w:rPr>
            </w:pPr>
            <w:r w:rsidRPr="00781112">
              <w:rPr>
                <w:rFonts w:cs="Arial"/>
                <w:color w:val="000000" w:themeColor="text1"/>
                <w:szCs w:val="16"/>
              </w:rPr>
              <w:t>8.43</w:t>
            </w:r>
          </w:p>
        </w:tc>
      </w:tr>
      <w:tr w:rsidR="00B67FCE" w:rsidRPr="00781112" w14:paraId="60CD7006" w14:textId="77777777" w:rsidTr="00845B9B">
        <w:tc>
          <w:tcPr>
            <w:tcW w:w="552" w:type="pct"/>
            <w:shd w:val="clear" w:color="auto" w:fill="auto"/>
            <w:vAlign w:val="center"/>
          </w:tcPr>
          <w:p w14:paraId="76491141"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lastRenderedPageBreak/>
              <w:t>Math</w:t>
            </w:r>
          </w:p>
        </w:tc>
        <w:tc>
          <w:tcPr>
            <w:tcW w:w="444" w:type="pct"/>
            <w:shd w:val="clear" w:color="auto" w:fill="auto"/>
            <w:vAlign w:val="center"/>
          </w:tcPr>
          <w:p w14:paraId="6C27CF3D"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C &lt;=</w:t>
            </w:r>
          </w:p>
        </w:tc>
        <w:tc>
          <w:tcPr>
            <w:tcW w:w="721" w:type="pct"/>
            <w:shd w:val="clear" w:color="auto" w:fill="auto"/>
            <w:vAlign w:val="center"/>
          </w:tcPr>
          <w:p w14:paraId="4E465544" w14:textId="4F893AB5" w:rsidR="00B67FCE" w:rsidRPr="00781112" w:rsidDel="00DB0A73" w:rsidRDefault="00B67FCE" w:rsidP="00827FF4">
            <w:pPr>
              <w:jc w:val="center"/>
              <w:rPr>
                <w:rFonts w:cs="Arial"/>
                <w:color w:val="000000" w:themeColor="text1"/>
                <w:szCs w:val="16"/>
              </w:rPr>
            </w:pPr>
            <w:r w:rsidRPr="00781112">
              <w:rPr>
                <w:rFonts w:cs="Arial"/>
                <w:color w:val="000000" w:themeColor="text1"/>
                <w:szCs w:val="16"/>
              </w:rPr>
              <w:t>Grade HS</w:t>
            </w:r>
          </w:p>
        </w:tc>
        <w:tc>
          <w:tcPr>
            <w:tcW w:w="821" w:type="pct"/>
            <w:shd w:val="clear" w:color="auto" w:fill="auto"/>
            <w:vAlign w:val="center"/>
          </w:tcPr>
          <w:p w14:paraId="7B41E026" w14:textId="6E6F2C10" w:rsidR="00B67FCE" w:rsidRPr="00781112" w:rsidRDefault="00B67FCE" w:rsidP="00827FF4">
            <w:pPr>
              <w:jc w:val="center"/>
              <w:rPr>
                <w:rFonts w:cs="Arial"/>
                <w:color w:val="000000" w:themeColor="text1"/>
                <w:szCs w:val="16"/>
              </w:rPr>
            </w:pPr>
            <w:r w:rsidRPr="00781112">
              <w:rPr>
                <w:rFonts w:cs="Arial"/>
                <w:color w:val="000000" w:themeColor="text1"/>
                <w:szCs w:val="16"/>
              </w:rPr>
              <w:t>28.45</w:t>
            </w:r>
          </w:p>
        </w:tc>
        <w:tc>
          <w:tcPr>
            <w:tcW w:w="821" w:type="pct"/>
            <w:vAlign w:val="center"/>
          </w:tcPr>
          <w:p w14:paraId="294118D4" w14:textId="54195603" w:rsidR="00B67FCE" w:rsidRPr="00781112" w:rsidRDefault="00B67FCE" w:rsidP="00827FF4">
            <w:pPr>
              <w:jc w:val="center"/>
              <w:rPr>
                <w:rFonts w:cs="Arial"/>
                <w:color w:val="000000" w:themeColor="text1"/>
                <w:szCs w:val="16"/>
              </w:rPr>
            </w:pPr>
            <w:r w:rsidRPr="00781112">
              <w:rPr>
                <w:rFonts w:cs="Arial"/>
                <w:color w:val="000000" w:themeColor="text1"/>
                <w:szCs w:val="16"/>
              </w:rPr>
              <w:t>28.04</w:t>
            </w:r>
          </w:p>
        </w:tc>
        <w:tc>
          <w:tcPr>
            <w:tcW w:w="821" w:type="pct"/>
            <w:vAlign w:val="center"/>
          </w:tcPr>
          <w:p w14:paraId="41623CC8" w14:textId="4F75F535" w:rsidR="00B67FCE" w:rsidRPr="00781112" w:rsidRDefault="00B67FCE" w:rsidP="00827FF4">
            <w:pPr>
              <w:jc w:val="center"/>
              <w:rPr>
                <w:rFonts w:cs="Arial"/>
                <w:color w:val="000000" w:themeColor="text1"/>
                <w:szCs w:val="16"/>
              </w:rPr>
            </w:pPr>
            <w:r w:rsidRPr="00781112">
              <w:rPr>
                <w:rFonts w:cs="Arial"/>
                <w:color w:val="000000" w:themeColor="text1"/>
                <w:szCs w:val="16"/>
              </w:rPr>
              <w:t>27.63</w:t>
            </w:r>
          </w:p>
        </w:tc>
        <w:tc>
          <w:tcPr>
            <w:tcW w:w="821" w:type="pct"/>
            <w:vAlign w:val="center"/>
          </w:tcPr>
          <w:p w14:paraId="70C28E3C" w14:textId="4F91601C" w:rsidR="00B67FCE" w:rsidRPr="00781112" w:rsidRDefault="00B67FCE" w:rsidP="00827FF4">
            <w:pPr>
              <w:jc w:val="center"/>
              <w:rPr>
                <w:rFonts w:cs="Arial"/>
                <w:color w:val="000000" w:themeColor="text1"/>
                <w:szCs w:val="16"/>
              </w:rPr>
            </w:pPr>
            <w:r w:rsidRPr="00781112">
              <w:rPr>
                <w:rFonts w:cs="Arial"/>
                <w:color w:val="000000" w:themeColor="text1"/>
                <w:szCs w:val="16"/>
              </w:rPr>
              <w:t>27.22</w:t>
            </w:r>
          </w:p>
        </w:tc>
      </w:tr>
    </w:tbl>
    <w:p w14:paraId="05E796DD" w14:textId="77777777" w:rsidR="00DD5B7A" w:rsidRPr="00781112" w:rsidRDefault="00DD5B7A" w:rsidP="00DD5B7A">
      <w:pPr>
        <w:rPr>
          <w:b/>
          <w:color w:val="000000" w:themeColor="text1"/>
        </w:rPr>
      </w:pPr>
    </w:p>
    <w:p w14:paraId="209349EB" w14:textId="77777777" w:rsidR="00DD5B7A" w:rsidRPr="00781112" w:rsidRDefault="00DD5B7A" w:rsidP="00DD5B7A">
      <w:pPr>
        <w:rPr>
          <w:b/>
          <w:color w:val="000000" w:themeColor="text1"/>
        </w:rPr>
      </w:pPr>
      <w:r w:rsidRPr="00781112">
        <w:rPr>
          <w:b/>
          <w:color w:val="000000" w:themeColor="text1"/>
        </w:rPr>
        <w:t xml:space="preserve">Targets: Description of Stakeholder Input </w:t>
      </w:r>
    </w:p>
    <w:p w14:paraId="6369E081" w14:textId="77777777" w:rsidR="00DD5B7A" w:rsidRPr="00781112" w:rsidRDefault="00DD5B7A" w:rsidP="00DD5B7A">
      <w:pPr>
        <w:rPr>
          <w:rFonts w:cs="Arial"/>
          <w:color w:val="000000" w:themeColor="text1"/>
          <w:szCs w:val="16"/>
        </w:rPr>
      </w:pPr>
      <w:r w:rsidRPr="00781112">
        <w:rPr>
          <w:rFonts w:cs="Arial"/>
          <w:color w:val="000000" w:themeColor="text1"/>
          <w:szCs w:val="16"/>
        </w:rPr>
        <w:t>Mechanism for Broad Stakeholder Input:</w:t>
        <w:br/>
        <w:t xml:space="preserve">During FFY2022, the State held stakeholder meetings as the mechanism for soliciting broad stakeholder input on the State’s targets in the SPP/APR and any subsequent revisions. The meetings were held in-person for the first time following the COVID-19 pandemic. An online option was available for stakeholders that were not able to meet in person. In the meetings, Stakeholder groups reviewed the FFY2021 data, and the baselines and targets established for FFY 2020-2025. The groups analyzed the data to determine if established baselines and targets established in the prior year, were still an accurate depiction of the state’s performance trajectory. The meetings also allowed time for stakeholders to provide input on improvement strategies and progress for the SPP/APR indicators. The State also revised its methodology for Indicators 4a and 4b in which the information was shared with stakeholders and input was sought. In addition, the State also proposed a revised LEA annual determination rubric to include target indicators. The revised rubric will be used with FFY2023 LEA annual determinations and is consistent with the information in the OSEP Question and Answer document QA 23-01. </w:t>
        <w:br/>
        <w:t/>
        <w:br/>
        <w:t xml:space="preserve">Stakeholder meeting information including meeting logistics and presentations are available on the Special Education Division (SED) website for the public and any interested individual to access. Flyers were created and LEAs were asked to disseminate the information to their staff, parents, and students. The Parent Training Centers (PTCs) were asked to share the meeting information with parents including through social media. Other groups such as tribes, IDEA panel members, the State Special Education Ombud, and other parent advocacy groups were sent invitations to each of the meetings. </w:t>
        <w:br/>
        <w:t/>
        <w:br/>
        <w:t>Any stakeholder that wanted to provide feedback but could not attend the meetings, had an opportunity to do so. On the State’s stakeholder page, individuals can click on the link and share their input with the state staff by completing an input form. The feedback received from the website is also considered when making revisions and establishing targets.</w:t>
        <w:br/>
        <w:t/>
        <w:br/>
        <w:t>Feedback Summary:</w:t>
        <w:br/>
        <w:t>For Indicators 4a and 4b, the State’s methodology was proposed to be changed to meet OSEP requirements as indicated in the FFY2021, SPP/APR OSEP Responses and Required Actions. Stakeholders were presented with the new proposed methodology in which the cell size of 10 requirement was removed, the N size was reduced to 10 and a rate ratio of 3.0 was introduced. In comparison to the previous methodology, where a cell size and N size of 10 were required as well as a risk ratio of 1 percentage point above the state rate. Stakeholders had no objections or concerns with the new methodology. The State will use the new methodology to apply to the Indicator 4 data reported in this FFY2022 State Performance Plan/Annual Performance Report (SPP/APR).</w:t>
        <w:br/>
        <w:t/>
        <w:br/>
        <w:t>Indicator 17, State Systemic Improvement Plan:</w:t>
        <w:br/>
        <w:t xml:space="preserve">1. ECLIPSE program coordinators presented data and program updates to the state IDEA Panel (members include parents, advocates, state staff, and educators) during the 2022-2023 school year. IDEA panel members were engaged in the ECLIPSE program presentation on Indicator 17 and updates. An ECLIPSE panel committee provided qualitative feedback via a Google Form survey. The panel members conveyed the program is making progress in improving literacy outcomes forward for students with disabilities. Recommendations included increasing parental involvement and increased awareness of the program's successes. </w:t>
        <w:br/>
        <w:t>2. A virtual ECLIPSE stakeholder meeting was held during the 2022-2023 school year. Stakeholders in attendance included the ECLIPSE staff, Regional Education Cooperative (REC) coordinators, Special Education Directors, and ECLIPSE school principals. Stakeholders in attendance were provided with ECLIPSE program details for the upcoming school year and verbal feedback about the ECLIPSE Program at the end of the meeting.</w:t>
        <w:br/>
        <w:t xml:space="preserve">3. Parent engagement stakeholder meetings were held in-person and through online platforms where they were provided direct literacy training via hands-on activities. If the meeting was online, materials were provided to the schools prior to the meeting. The Regional Education Cooperative (REC) contractors provided materials, activities, and training to parents in-person. The REC initiated Google Pre and Post surveys following the trainings and it indicated that the level of understanding to support reading at home increased. Parental understanding of what the predicator of reading success was increased dramatically between pre and post surveys. A summary of parent comments included that the engagement sessions provided a lot of great information, it was a fun learning experience, and they looked forward to future meetings. </w:t>
        <w:br/>
        <w:t xml:space="preserve">4. The ECLIPSE staff initiated surveys during 2022-2023 to principals and teachers through Google Forms survey. Teachers showed dramatic increases in their knowledge of the incorporation of engagement strategies with their students due to their coaches. In a pre-survey, administrators listed that professional development on literacy is one of the greatest needs of the teachers they support. They also stated that time and equitable feedback were areas of administrative need. </w:t>
        <w:br/>
        <w:t>5. An online end of year survey was sent to all ECLIPSE stakeholders as the 2022-2023 school year ended. The main consensus from the survey supported the ongoing development of the program to illustrate its impact so adjustments can be made to better inform ourselves and our stakeholders of progress.</w:t>
      </w:r>
    </w:p>
    <w:p w14:paraId="1A8E431E" w14:textId="45368C9A" w:rsidR="00DD5B7A" w:rsidRPr="00781112" w:rsidRDefault="00DD5B7A" w:rsidP="00DD5B7A">
      <w:pPr>
        <w:rPr>
          <w:rFonts w:cs="Arial"/>
          <w:color w:val="000000" w:themeColor="text1"/>
          <w:szCs w:val="16"/>
        </w:rPr>
      </w:pPr>
      <w:r w:rsidRPr="00781112">
        <w:rPr>
          <w:rFonts w:cs="Arial"/>
          <w:color w:val="000000" w:themeColor="text1"/>
          <w:szCs w:val="16"/>
        </w:rPr>
        <w:t/>
      </w:r>
    </w:p>
    <w:p w14:paraId="5EB19DE7" w14:textId="77777777" w:rsidR="00DD5B7A" w:rsidRPr="00781112" w:rsidRDefault="00DD5B7A" w:rsidP="00DD5B7A">
      <w:pPr>
        <w:spacing w:before="0" w:after="200" w:line="276" w:lineRule="auto"/>
        <w:rPr>
          <w:b/>
          <w:color w:val="000000" w:themeColor="text1"/>
        </w:rPr>
      </w:pPr>
    </w:p>
    <w:p w14:paraId="5F03961C" w14:textId="6D58C810" w:rsidR="00DD5B7A" w:rsidRPr="00781112" w:rsidRDefault="00FA33C9" w:rsidP="00DD5B7A">
      <w:pPr>
        <w:rPr>
          <w:b/>
          <w:color w:val="000000" w:themeColor="text1"/>
        </w:rPr>
      </w:pPr>
      <w:r>
        <w:rPr>
          <w:b/>
          <w:color w:val="000000" w:themeColor="text1"/>
        </w:rPr>
        <w:t xml:space="preserve">FFY 2022 Data Disaggregation from </w:t>
      </w:r>
      <w:proofErr w:type="spellStart"/>
      <w:r>
        <w:rPr>
          <w:b/>
          <w:color w:val="000000" w:themeColor="text1"/>
        </w:rPr>
        <w:t>ED</w:t>
      </w:r>
      <w:r w:rsidRPr="00BA3DBE">
        <w:rPr>
          <w:b/>
          <w:i/>
          <w:iCs/>
          <w:color w:val="000000" w:themeColor="text1"/>
        </w:rPr>
        <w:t>Facts</w:t>
      </w:r>
      <w:proofErr w:type="spellEnd"/>
    </w:p>
    <w:p w14:paraId="27A29F4B" w14:textId="77777777" w:rsidR="00DD5B7A" w:rsidRPr="00781112" w:rsidRDefault="00DD5B7A" w:rsidP="00DD5B7A">
      <w:pPr>
        <w:rPr>
          <w:rFonts w:cs="Arial"/>
          <w:b/>
          <w:color w:val="000000" w:themeColor="text1"/>
          <w:szCs w:val="16"/>
        </w:rPr>
      </w:pPr>
      <w:r w:rsidRPr="00781112">
        <w:rPr>
          <w:rFonts w:cs="Arial"/>
          <w:b/>
          <w:color w:val="000000" w:themeColor="text1"/>
          <w:szCs w:val="16"/>
        </w:rPr>
        <w:t xml:space="preserve">Data Source:  </w:t>
      </w:r>
    </w:p>
    <w:p w14:paraId="24C5C209" w14:textId="49550180" w:rsidR="00DD5B7A" w:rsidRPr="00781112" w:rsidRDefault="00DD5B7A" w:rsidP="00DD5B7A">
      <w:pPr>
        <w:rPr>
          <w:rFonts w:cs="Arial"/>
          <w:color w:val="000000" w:themeColor="text1"/>
          <w:szCs w:val="16"/>
        </w:rPr>
      </w:pPr>
      <w:r w:rsidRPr="00781112">
        <w:rPr>
          <w:rFonts w:cs="Arial"/>
          <w:color w:val="000000" w:themeColor="text1"/>
          <w:szCs w:val="16"/>
        </w:rPr>
        <w:t>SY 2022-23 Assessment Data Groups - Reading (EDFacts file spec FS178; Data Group: 584)</w:t>
      </w:r>
    </w:p>
    <w:p w14:paraId="51B1992D" w14:textId="77777777" w:rsidR="00DD5B7A" w:rsidRPr="00781112" w:rsidRDefault="00DD5B7A" w:rsidP="00DD5B7A">
      <w:pPr>
        <w:rPr>
          <w:rFonts w:cs="Arial"/>
          <w:b/>
          <w:color w:val="000000" w:themeColor="text1"/>
          <w:szCs w:val="16"/>
        </w:rPr>
      </w:pPr>
      <w:r w:rsidRPr="00781112">
        <w:rPr>
          <w:rFonts w:cs="Arial"/>
          <w:b/>
          <w:color w:val="000000" w:themeColor="text1"/>
          <w:szCs w:val="16"/>
        </w:rPr>
        <w:t xml:space="preserve">Date: </w:t>
      </w:r>
    </w:p>
    <w:p w14:paraId="254E3F3F" w14:textId="7BE38E1B" w:rsidR="00DD5B7A" w:rsidRPr="00781112" w:rsidRDefault="00DD5B7A" w:rsidP="00DD5B7A">
      <w:pPr>
        <w:rPr>
          <w:rFonts w:cs="Arial"/>
          <w:color w:val="000000" w:themeColor="text1"/>
          <w:szCs w:val="16"/>
        </w:rPr>
      </w:pPr>
      <w:r w:rsidRPr="00781112">
        <w:rPr>
          <w:rFonts w:cs="Arial"/>
          <w:color w:val="000000" w:themeColor="text1"/>
          <w:szCs w:val="16"/>
        </w:rPr>
        <w:t>01/10/2024</w:t>
      </w:r>
    </w:p>
    <w:p w14:paraId="45DD1CF1" w14:textId="5E6E849D" w:rsidR="00DD5B7A" w:rsidRPr="00781112" w:rsidRDefault="00DD5B7A" w:rsidP="00DD5B7A">
      <w:pPr>
        <w:rPr>
          <w:b/>
          <w:color w:val="000000" w:themeColor="text1"/>
        </w:rPr>
      </w:pPr>
      <w:r w:rsidRPr="00781112">
        <w:rPr>
          <w:b/>
          <w:color w:val="000000" w:themeColor="text1"/>
        </w:rPr>
        <w:t>Reading Assessment Proficiency Data by Grade</w:t>
      </w:r>
      <w:r w:rsidR="00993B32">
        <w:rPr>
          <w:b/>
          <w:color w:val="000000" w:themeColor="text1"/>
        </w:rPr>
        <w:t xml:space="preserve"> (1)</w:t>
      </w:r>
    </w:p>
    <w:tbl>
      <w:tblPr>
        <w:tblStyle w:val="TableGrid"/>
        <w:tblW w:w="5000" w:type="pct"/>
        <w:tblLayout w:type="fixed"/>
        <w:tblLook w:val="04A0" w:firstRow="1" w:lastRow="0" w:firstColumn="1" w:lastColumn="0" w:noHBand="0" w:noVBand="1"/>
        <w:tblCaption w:val="B03DSSPARTDATABYGRDRLA"/>
      </w:tblPr>
      <w:tblGrid>
        <w:gridCol w:w="3775"/>
        <w:gridCol w:w="2337"/>
        <w:gridCol w:w="2339"/>
        <w:gridCol w:w="2339"/>
      </w:tblGrid>
      <w:tr w:rsidR="00847776" w:rsidRPr="00781112" w14:paraId="6DA55728" w14:textId="77777777" w:rsidTr="00E95FBF">
        <w:tc>
          <w:tcPr>
            <w:tcW w:w="1749" w:type="pct"/>
            <w:shd w:val="clear" w:color="auto" w:fill="auto"/>
          </w:tcPr>
          <w:p w14:paraId="4EAC2736" w14:textId="6924CA80" w:rsidR="00DD5B7A" w:rsidRPr="00781112" w:rsidRDefault="00835EAD" w:rsidP="00827FF4">
            <w:pPr>
              <w:jc w:val="center"/>
              <w:rPr>
                <w:rFonts w:cs="Arial"/>
                <w:b/>
                <w:bCs/>
                <w:color w:val="000000" w:themeColor="text1"/>
                <w:szCs w:val="16"/>
              </w:rPr>
            </w:pPr>
            <w:r w:rsidRPr="00781112">
              <w:rPr>
                <w:rFonts w:cs="Arial"/>
                <w:b/>
                <w:bCs/>
                <w:color w:val="000000" w:themeColor="text1"/>
                <w:szCs w:val="16"/>
              </w:rPr>
              <w:t>Group</w:t>
            </w:r>
          </w:p>
        </w:tc>
        <w:tc>
          <w:tcPr>
            <w:tcW w:w="1083" w:type="pct"/>
            <w:shd w:val="clear" w:color="auto" w:fill="auto"/>
            <w:vAlign w:val="center"/>
          </w:tcPr>
          <w:p w14:paraId="3D691E68" w14:textId="255E6CDB"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4</w:t>
            </w:r>
          </w:p>
        </w:tc>
        <w:tc>
          <w:tcPr>
            <w:tcW w:w="1084" w:type="pct"/>
            <w:shd w:val="clear" w:color="auto" w:fill="auto"/>
            <w:vAlign w:val="center"/>
          </w:tcPr>
          <w:p w14:paraId="04C042D1" w14:textId="5F31110D"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8</w:t>
            </w:r>
          </w:p>
        </w:tc>
        <w:tc>
          <w:tcPr>
            <w:tcW w:w="1084" w:type="pct"/>
            <w:shd w:val="clear" w:color="auto" w:fill="auto"/>
            <w:vAlign w:val="center"/>
          </w:tcPr>
          <w:p w14:paraId="5ED006E5" w14:textId="47B87CAA"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HS</w:t>
            </w:r>
          </w:p>
        </w:tc>
      </w:tr>
      <w:tr w:rsidR="002D3EE6" w:rsidRPr="00781112" w14:paraId="37D772D8" w14:textId="77777777" w:rsidTr="00E95FBF">
        <w:tc>
          <w:tcPr>
            <w:tcW w:w="1749" w:type="pct"/>
            <w:shd w:val="clear" w:color="auto" w:fill="auto"/>
          </w:tcPr>
          <w:p w14:paraId="7B0D7CCF" w14:textId="33D6DF72" w:rsidR="002D3EE6" w:rsidRPr="00781112" w:rsidRDefault="002D3EE6" w:rsidP="002D3EE6">
            <w:pPr>
              <w:rPr>
                <w:rFonts w:cs="Arial"/>
                <w:color w:val="000000" w:themeColor="text1"/>
                <w:szCs w:val="16"/>
              </w:rPr>
            </w:pPr>
            <w:r w:rsidRPr="00781112">
              <w:rPr>
                <w:rFonts w:cs="Arial"/>
                <w:color w:val="000000" w:themeColor="text1"/>
                <w:szCs w:val="16"/>
              </w:rPr>
              <w:t>a. All Students who received a valid score and a proficiency was assigned for the regular assessment</w:t>
            </w:r>
          </w:p>
        </w:tc>
        <w:tc>
          <w:tcPr>
            <w:tcW w:w="1083" w:type="pct"/>
            <w:shd w:val="clear" w:color="auto" w:fill="auto"/>
            <w:vAlign w:val="center"/>
          </w:tcPr>
          <w:p w14:paraId="4F7A04F6" w14:textId="19D267DA" w:rsidR="002D3EE6" w:rsidRPr="00781112" w:rsidRDefault="002D3EE6" w:rsidP="002D3EE6">
            <w:pPr>
              <w:jc w:val="center"/>
              <w:rPr>
                <w:rFonts w:cs="Arial"/>
                <w:color w:val="000000" w:themeColor="text1"/>
                <w:szCs w:val="16"/>
              </w:rPr>
            </w:pPr>
            <w:r w:rsidRPr="00781112">
              <w:rPr>
                <w:rFonts w:cs="Arial"/>
                <w:color w:val="000000" w:themeColor="text1"/>
                <w:szCs w:val="16"/>
              </w:rPr>
              <w:t>21,126</w:t>
            </w:r>
          </w:p>
        </w:tc>
        <w:tc>
          <w:tcPr>
            <w:tcW w:w="1084" w:type="pct"/>
            <w:shd w:val="clear" w:color="auto" w:fill="auto"/>
            <w:vAlign w:val="center"/>
          </w:tcPr>
          <w:p w14:paraId="171D43A3" w14:textId="2BAB5EF8" w:rsidR="002D3EE6" w:rsidRPr="00781112" w:rsidRDefault="002D3EE6" w:rsidP="002D3EE6">
            <w:pPr>
              <w:jc w:val="center"/>
              <w:rPr>
                <w:rFonts w:cs="Arial"/>
                <w:color w:val="000000" w:themeColor="text1"/>
                <w:szCs w:val="16"/>
              </w:rPr>
            </w:pPr>
            <w:r w:rsidRPr="00781112">
              <w:rPr>
                <w:rFonts w:cs="Arial"/>
                <w:color w:val="000000" w:themeColor="text1"/>
                <w:szCs w:val="16"/>
              </w:rPr>
              <w:t>22,809</w:t>
            </w:r>
          </w:p>
        </w:tc>
        <w:tc>
          <w:tcPr>
            <w:tcW w:w="1084" w:type="pct"/>
            <w:shd w:val="clear" w:color="auto" w:fill="auto"/>
            <w:vAlign w:val="center"/>
          </w:tcPr>
          <w:p w14:paraId="58B877C4" w14:textId="55D5291F" w:rsidR="002D3EE6" w:rsidRPr="00781112" w:rsidRDefault="002D3EE6" w:rsidP="002D3EE6">
            <w:pPr>
              <w:jc w:val="center"/>
              <w:rPr>
                <w:rFonts w:cs="Arial"/>
                <w:color w:val="000000" w:themeColor="text1"/>
                <w:szCs w:val="16"/>
              </w:rPr>
            </w:pPr>
            <w:r w:rsidRPr="00781112">
              <w:rPr>
                <w:rFonts w:cs="Arial"/>
                <w:color w:val="000000" w:themeColor="text1"/>
                <w:szCs w:val="16"/>
              </w:rPr>
              <w:t>19,564</w:t>
            </w:r>
          </w:p>
        </w:tc>
      </w:tr>
      <w:tr w:rsidR="002D3EE6" w:rsidRPr="00781112" w14:paraId="6D2048AF" w14:textId="77777777" w:rsidTr="00E95FBF">
        <w:tc>
          <w:tcPr>
            <w:tcW w:w="1749" w:type="pct"/>
            <w:shd w:val="clear" w:color="auto" w:fill="auto"/>
          </w:tcPr>
          <w:p w14:paraId="5F5D9DBC" w14:textId="3AB6D57C" w:rsidR="002D3EE6" w:rsidRPr="00781112" w:rsidRDefault="002D3EE6" w:rsidP="002D3EE6">
            <w:pPr>
              <w:rPr>
                <w:rFonts w:cs="Arial"/>
                <w:color w:val="000000" w:themeColor="text1"/>
                <w:szCs w:val="16"/>
              </w:rPr>
            </w:pPr>
            <w:r w:rsidRPr="00781112">
              <w:rPr>
                <w:rFonts w:cs="Arial"/>
                <w:color w:val="000000" w:themeColor="text1"/>
                <w:szCs w:val="16"/>
              </w:rPr>
              <w:t xml:space="preserve">b. Children with IEPs who received a valid score and a proficiency was assigned </w:t>
            </w:r>
            <w:r w:rsidRPr="00781112">
              <w:rPr>
                <w:rFonts w:cs="Arial"/>
                <w:szCs w:val="16"/>
                <w:shd w:val="clear" w:color="auto" w:fill="FFFFFF"/>
              </w:rPr>
              <w:t>for the regular assessment</w:t>
            </w:r>
          </w:p>
        </w:tc>
        <w:tc>
          <w:tcPr>
            <w:tcW w:w="1083" w:type="pct"/>
            <w:shd w:val="clear" w:color="auto" w:fill="auto"/>
            <w:vAlign w:val="center"/>
          </w:tcPr>
          <w:p w14:paraId="25792A43" w14:textId="636F508C" w:rsidR="002D3EE6" w:rsidRPr="00781112" w:rsidRDefault="002D3EE6" w:rsidP="002D3EE6">
            <w:pPr>
              <w:jc w:val="center"/>
              <w:rPr>
                <w:rFonts w:cs="Arial"/>
                <w:color w:val="000000" w:themeColor="text1"/>
                <w:szCs w:val="16"/>
              </w:rPr>
            </w:pPr>
            <w:r w:rsidRPr="00781112">
              <w:rPr>
                <w:rFonts w:cs="Arial"/>
                <w:color w:val="000000" w:themeColor="text1"/>
                <w:szCs w:val="16"/>
              </w:rPr>
              <w:t>4,221</w:t>
            </w:r>
          </w:p>
        </w:tc>
        <w:tc>
          <w:tcPr>
            <w:tcW w:w="1084" w:type="pct"/>
            <w:shd w:val="clear" w:color="auto" w:fill="auto"/>
            <w:vAlign w:val="center"/>
          </w:tcPr>
          <w:p w14:paraId="34571492" w14:textId="6F3F5797" w:rsidR="002D3EE6" w:rsidRPr="00781112" w:rsidRDefault="002D3EE6" w:rsidP="002D3EE6">
            <w:pPr>
              <w:jc w:val="center"/>
              <w:rPr>
                <w:rFonts w:cs="Arial"/>
                <w:color w:val="000000" w:themeColor="text1"/>
                <w:szCs w:val="16"/>
              </w:rPr>
            </w:pPr>
            <w:r w:rsidRPr="00781112">
              <w:rPr>
                <w:rFonts w:cs="Arial"/>
                <w:color w:val="000000" w:themeColor="text1"/>
                <w:szCs w:val="16"/>
              </w:rPr>
              <w:t>3,947</w:t>
            </w:r>
          </w:p>
        </w:tc>
        <w:tc>
          <w:tcPr>
            <w:tcW w:w="1084" w:type="pct"/>
            <w:shd w:val="clear" w:color="auto" w:fill="auto"/>
            <w:vAlign w:val="center"/>
          </w:tcPr>
          <w:p w14:paraId="0BBD02C7" w14:textId="42EBBF14" w:rsidR="002D3EE6" w:rsidRPr="00781112" w:rsidRDefault="002D3EE6" w:rsidP="002D3EE6">
            <w:pPr>
              <w:jc w:val="center"/>
              <w:rPr>
                <w:rFonts w:cs="Arial"/>
                <w:color w:val="000000" w:themeColor="text1"/>
                <w:szCs w:val="16"/>
              </w:rPr>
            </w:pPr>
            <w:r w:rsidRPr="00781112">
              <w:rPr>
                <w:rFonts w:cs="Arial"/>
                <w:color w:val="000000" w:themeColor="text1"/>
                <w:szCs w:val="16"/>
              </w:rPr>
              <w:t>2,645</w:t>
            </w:r>
          </w:p>
        </w:tc>
      </w:tr>
      <w:tr w:rsidR="002D3EE6" w:rsidRPr="00781112" w14:paraId="62D84F5E" w14:textId="77777777" w:rsidTr="00E95FBF">
        <w:tc>
          <w:tcPr>
            <w:tcW w:w="1749" w:type="pct"/>
            <w:shd w:val="clear" w:color="auto" w:fill="auto"/>
          </w:tcPr>
          <w:p w14:paraId="51DEDF27" w14:textId="69ADBF80" w:rsidR="002D3EE6" w:rsidRPr="00181070" w:rsidRDefault="002D3EE6" w:rsidP="002D3EE6">
            <w:pPr>
              <w:rPr>
                <w:rFonts w:cs="Arial"/>
                <w:color w:val="000000" w:themeColor="text1"/>
                <w:szCs w:val="16"/>
              </w:rPr>
            </w:pPr>
            <w:r w:rsidRPr="0075451F">
              <w:rPr>
                <w:rFonts w:cs="Arial"/>
                <w:szCs w:val="16"/>
                <w:shd w:val="clear" w:color="auto" w:fill="FFFFFF"/>
              </w:rPr>
              <w:t>c. All students in regular assessment with no accommodations scored at or above proficient against grade level</w:t>
            </w:r>
          </w:p>
        </w:tc>
        <w:tc>
          <w:tcPr>
            <w:tcW w:w="1083" w:type="pct"/>
            <w:shd w:val="clear" w:color="auto" w:fill="auto"/>
            <w:vAlign w:val="center"/>
          </w:tcPr>
          <w:p w14:paraId="6E23C4D0" w14:textId="690E483E" w:rsidR="002D3EE6" w:rsidRPr="00781112" w:rsidRDefault="002D3EE6" w:rsidP="002D3EE6">
            <w:pPr>
              <w:jc w:val="center"/>
              <w:rPr>
                <w:rFonts w:cs="Arial"/>
                <w:color w:val="000000" w:themeColor="text1"/>
                <w:szCs w:val="16"/>
              </w:rPr>
            </w:pPr>
            <w:r w:rsidRPr="00781112">
              <w:rPr>
                <w:rFonts w:cs="Arial"/>
                <w:color w:val="000000" w:themeColor="text1"/>
                <w:szCs w:val="16"/>
              </w:rPr>
              <w:t>7,306</w:t>
            </w:r>
          </w:p>
        </w:tc>
        <w:tc>
          <w:tcPr>
            <w:tcW w:w="1084" w:type="pct"/>
            <w:shd w:val="clear" w:color="auto" w:fill="auto"/>
            <w:vAlign w:val="center"/>
          </w:tcPr>
          <w:p w14:paraId="6D42641C" w14:textId="63F65487" w:rsidR="002D3EE6" w:rsidRPr="00781112" w:rsidRDefault="002D3EE6" w:rsidP="002D3EE6">
            <w:pPr>
              <w:jc w:val="center"/>
              <w:rPr>
                <w:rFonts w:cs="Arial"/>
                <w:color w:val="000000" w:themeColor="text1"/>
                <w:szCs w:val="16"/>
              </w:rPr>
            </w:pPr>
            <w:r w:rsidRPr="00781112">
              <w:rPr>
                <w:rFonts w:cs="Arial"/>
                <w:color w:val="000000" w:themeColor="text1"/>
                <w:szCs w:val="16"/>
              </w:rPr>
              <w:t>8,089</w:t>
            </w:r>
          </w:p>
        </w:tc>
        <w:tc>
          <w:tcPr>
            <w:tcW w:w="1084" w:type="pct"/>
            <w:shd w:val="clear" w:color="auto" w:fill="auto"/>
            <w:vAlign w:val="center"/>
          </w:tcPr>
          <w:p w14:paraId="27076C73" w14:textId="7C15AF5B" w:rsidR="002D3EE6" w:rsidRPr="00781112" w:rsidRDefault="002D3EE6" w:rsidP="002D3EE6">
            <w:pPr>
              <w:jc w:val="center"/>
              <w:rPr>
                <w:rFonts w:cs="Arial"/>
                <w:color w:val="000000" w:themeColor="text1"/>
                <w:szCs w:val="16"/>
              </w:rPr>
            </w:pPr>
            <w:r w:rsidRPr="00781112">
              <w:rPr>
                <w:rFonts w:cs="Arial"/>
                <w:color w:val="000000" w:themeColor="text1"/>
                <w:szCs w:val="16"/>
              </w:rPr>
              <w:t>6,660</w:t>
            </w:r>
          </w:p>
        </w:tc>
      </w:tr>
      <w:tr w:rsidR="002D3EE6" w:rsidRPr="00781112" w14:paraId="058A4E65" w14:textId="77777777" w:rsidTr="00E95FBF">
        <w:tc>
          <w:tcPr>
            <w:tcW w:w="1749" w:type="pct"/>
            <w:shd w:val="clear" w:color="auto" w:fill="auto"/>
          </w:tcPr>
          <w:p w14:paraId="439EF49E" w14:textId="1EC71838" w:rsidR="002D3EE6" w:rsidRPr="00181070" w:rsidRDefault="002D3EE6" w:rsidP="002D3EE6">
            <w:pPr>
              <w:rPr>
                <w:rFonts w:cs="Arial"/>
                <w:color w:val="000000" w:themeColor="text1"/>
                <w:szCs w:val="16"/>
              </w:rPr>
            </w:pPr>
            <w:r w:rsidRPr="0075451F">
              <w:rPr>
                <w:rFonts w:cs="Arial"/>
                <w:szCs w:val="16"/>
                <w:shd w:val="clear" w:color="auto" w:fill="FFFFFF"/>
              </w:rPr>
              <w:t>d. All students in regular assessment with accommodations scored at or above proficient against grade level</w:t>
            </w:r>
          </w:p>
        </w:tc>
        <w:tc>
          <w:tcPr>
            <w:tcW w:w="1083" w:type="pct"/>
            <w:shd w:val="clear" w:color="auto" w:fill="auto"/>
            <w:vAlign w:val="center"/>
          </w:tcPr>
          <w:p w14:paraId="441B205F" w14:textId="66F540F9" w:rsidR="002D3EE6" w:rsidRPr="00781112" w:rsidRDefault="002D3EE6" w:rsidP="002D3EE6">
            <w:pPr>
              <w:jc w:val="center"/>
              <w:rPr>
                <w:rFonts w:cs="Arial"/>
                <w:color w:val="000000" w:themeColor="text1"/>
                <w:szCs w:val="16"/>
              </w:rPr>
            </w:pPr>
            <w:r w:rsidRPr="00781112">
              <w:rPr>
                <w:rFonts w:cs="Arial"/>
                <w:color w:val="000000" w:themeColor="text1"/>
                <w:szCs w:val="16"/>
              </w:rPr>
              <w:t>1,383</w:t>
            </w:r>
          </w:p>
        </w:tc>
        <w:tc>
          <w:tcPr>
            <w:tcW w:w="1084" w:type="pct"/>
            <w:shd w:val="clear" w:color="auto" w:fill="auto"/>
            <w:vAlign w:val="center"/>
          </w:tcPr>
          <w:p w14:paraId="5FB5C795" w14:textId="69CA87AA" w:rsidR="002D3EE6" w:rsidRPr="00781112" w:rsidRDefault="002D3EE6" w:rsidP="002D3EE6">
            <w:pPr>
              <w:jc w:val="center"/>
              <w:rPr>
                <w:rFonts w:cs="Arial"/>
                <w:color w:val="000000" w:themeColor="text1"/>
                <w:szCs w:val="16"/>
              </w:rPr>
            </w:pPr>
            <w:r w:rsidRPr="00781112">
              <w:rPr>
                <w:rFonts w:cs="Arial"/>
                <w:color w:val="000000" w:themeColor="text1"/>
                <w:szCs w:val="16"/>
              </w:rPr>
              <w:t>852</w:t>
            </w:r>
          </w:p>
        </w:tc>
        <w:tc>
          <w:tcPr>
            <w:tcW w:w="1084" w:type="pct"/>
            <w:shd w:val="clear" w:color="auto" w:fill="auto"/>
            <w:vAlign w:val="center"/>
          </w:tcPr>
          <w:p w14:paraId="5BB68E9F" w14:textId="19C38497" w:rsidR="002D3EE6" w:rsidRPr="00781112" w:rsidRDefault="002D3EE6" w:rsidP="002D3EE6">
            <w:pPr>
              <w:jc w:val="center"/>
              <w:rPr>
                <w:rFonts w:cs="Arial"/>
                <w:color w:val="000000" w:themeColor="text1"/>
                <w:szCs w:val="16"/>
              </w:rPr>
            </w:pPr>
            <w:r w:rsidRPr="00781112">
              <w:rPr>
                <w:rFonts w:cs="Arial"/>
                <w:color w:val="000000" w:themeColor="text1"/>
                <w:szCs w:val="16"/>
              </w:rPr>
              <w:t>296</w:t>
            </w:r>
          </w:p>
        </w:tc>
      </w:tr>
      <w:tr w:rsidR="002D3EE6" w:rsidRPr="00781112" w14:paraId="1AC72B75" w14:textId="77777777" w:rsidTr="00E95FBF">
        <w:tc>
          <w:tcPr>
            <w:tcW w:w="1749" w:type="pct"/>
            <w:shd w:val="clear" w:color="auto" w:fill="auto"/>
          </w:tcPr>
          <w:p w14:paraId="0A914ADA" w14:textId="357C6FCD" w:rsidR="002D3EE6" w:rsidRPr="00781112" w:rsidRDefault="002D3EE6" w:rsidP="002D3EE6">
            <w:pPr>
              <w:rPr>
                <w:rFonts w:cs="Arial"/>
                <w:color w:val="000000" w:themeColor="text1"/>
                <w:szCs w:val="16"/>
              </w:rPr>
            </w:pPr>
            <w:r w:rsidRPr="00781112">
              <w:rPr>
                <w:rFonts w:cs="Arial"/>
                <w:szCs w:val="16"/>
                <w:shd w:val="clear" w:color="auto" w:fill="FFFFFF"/>
              </w:rPr>
              <w:t>e. Children with IEPs in regular assessment with no accommodations scored at or above proficient against grade level</w:t>
            </w:r>
          </w:p>
        </w:tc>
        <w:tc>
          <w:tcPr>
            <w:tcW w:w="1083" w:type="pct"/>
            <w:shd w:val="clear" w:color="auto" w:fill="auto"/>
            <w:vAlign w:val="center"/>
          </w:tcPr>
          <w:p w14:paraId="02F1489E" w14:textId="43AB7E92" w:rsidR="002D3EE6" w:rsidRPr="00781112" w:rsidRDefault="002D3EE6" w:rsidP="002D3EE6">
            <w:pPr>
              <w:jc w:val="center"/>
              <w:rPr>
                <w:rFonts w:cs="Arial"/>
                <w:color w:val="000000" w:themeColor="text1"/>
                <w:szCs w:val="16"/>
              </w:rPr>
            </w:pPr>
            <w:r w:rsidRPr="00781112">
              <w:rPr>
                <w:rFonts w:cs="Arial"/>
                <w:color w:val="000000" w:themeColor="text1"/>
                <w:szCs w:val="16"/>
              </w:rPr>
              <w:t>313</w:t>
            </w:r>
          </w:p>
        </w:tc>
        <w:tc>
          <w:tcPr>
            <w:tcW w:w="1084" w:type="pct"/>
            <w:shd w:val="clear" w:color="auto" w:fill="auto"/>
            <w:vAlign w:val="center"/>
          </w:tcPr>
          <w:p w14:paraId="7D7B8A72" w14:textId="5C0EA0B0" w:rsidR="002D3EE6" w:rsidRPr="00781112" w:rsidRDefault="002D3EE6" w:rsidP="002D3EE6">
            <w:pPr>
              <w:jc w:val="center"/>
              <w:rPr>
                <w:rFonts w:cs="Arial"/>
                <w:color w:val="000000" w:themeColor="text1"/>
                <w:szCs w:val="16"/>
              </w:rPr>
            </w:pPr>
            <w:r w:rsidRPr="00781112">
              <w:rPr>
                <w:rFonts w:cs="Arial"/>
                <w:color w:val="000000" w:themeColor="text1"/>
                <w:szCs w:val="16"/>
              </w:rPr>
              <w:t>241</w:t>
            </w:r>
          </w:p>
        </w:tc>
        <w:tc>
          <w:tcPr>
            <w:tcW w:w="1084" w:type="pct"/>
            <w:shd w:val="clear" w:color="auto" w:fill="auto"/>
            <w:vAlign w:val="center"/>
          </w:tcPr>
          <w:p w14:paraId="077B2856" w14:textId="4059237F" w:rsidR="002D3EE6" w:rsidRPr="00781112" w:rsidRDefault="002D3EE6" w:rsidP="002D3EE6">
            <w:pPr>
              <w:jc w:val="center"/>
              <w:rPr>
                <w:rFonts w:cs="Arial"/>
                <w:color w:val="000000" w:themeColor="text1"/>
                <w:szCs w:val="16"/>
              </w:rPr>
            </w:pPr>
            <w:r w:rsidRPr="00781112">
              <w:rPr>
                <w:rFonts w:cs="Arial"/>
                <w:color w:val="000000" w:themeColor="text1"/>
                <w:szCs w:val="16"/>
              </w:rPr>
              <w:t>74</w:t>
            </w:r>
          </w:p>
        </w:tc>
      </w:tr>
      <w:tr w:rsidR="002D3EE6" w:rsidRPr="00781112" w14:paraId="0F3AF372" w14:textId="77777777" w:rsidTr="00E95FBF">
        <w:tc>
          <w:tcPr>
            <w:tcW w:w="1749" w:type="pct"/>
            <w:shd w:val="clear" w:color="auto" w:fill="auto"/>
          </w:tcPr>
          <w:p w14:paraId="65DAF487" w14:textId="01D9D6A1" w:rsidR="002D3EE6" w:rsidRPr="00781112" w:rsidRDefault="002D3EE6" w:rsidP="002D3EE6">
            <w:pPr>
              <w:rPr>
                <w:rFonts w:cs="Arial"/>
                <w:color w:val="000000" w:themeColor="text1"/>
                <w:szCs w:val="16"/>
              </w:rPr>
            </w:pPr>
            <w:r w:rsidRPr="00781112">
              <w:rPr>
                <w:rFonts w:cs="Arial"/>
                <w:szCs w:val="16"/>
                <w:shd w:val="clear" w:color="auto" w:fill="FFFFFF"/>
              </w:rPr>
              <w:t>f. Children with IEPs in regular assessment with accommodations scored at or above proficient against grade level</w:t>
            </w:r>
          </w:p>
        </w:tc>
        <w:tc>
          <w:tcPr>
            <w:tcW w:w="1083" w:type="pct"/>
            <w:shd w:val="clear" w:color="auto" w:fill="auto"/>
            <w:vAlign w:val="center"/>
          </w:tcPr>
          <w:p w14:paraId="1BE3D4C2" w14:textId="5B4F526A" w:rsidR="002D3EE6" w:rsidRPr="00781112" w:rsidRDefault="002D3EE6" w:rsidP="002D3EE6">
            <w:pPr>
              <w:jc w:val="center"/>
              <w:rPr>
                <w:rFonts w:cs="Arial"/>
                <w:color w:val="000000" w:themeColor="text1"/>
                <w:szCs w:val="16"/>
              </w:rPr>
            </w:pPr>
            <w:r w:rsidRPr="00781112">
              <w:rPr>
                <w:rFonts w:cs="Arial"/>
                <w:color w:val="000000" w:themeColor="text1"/>
                <w:szCs w:val="16"/>
              </w:rPr>
              <w:t>214</w:t>
            </w:r>
          </w:p>
        </w:tc>
        <w:tc>
          <w:tcPr>
            <w:tcW w:w="1084" w:type="pct"/>
            <w:shd w:val="clear" w:color="auto" w:fill="auto"/>
            <w:vAlign w:val="center"/>
          </w:tcPr>
          <w:p w14:paraId="0E65D7AB" w14:textId="79D914F6" w:rsidR="002D3EE6" w:rsidRPr="00781112" w:rsidRDefault="002D3EE6" w:rsidP="002D3EE6">
            <w:pPr>
              <w:jc w:val="center"/>
              <w:rPr>
                <w:rFonts w:cs="Arial"/>
                <w:color w:val="000000" w:themeColor="text1"/>
                <w:szCs w:val="16"/>
              </w:rPr>
            </w:pPr>
            <w:r w:rsidRPr="00781112">
              <w:rPr>
                <w:rFonts w:cs="Arial"/>
                <w:color w:val="000000" w:themeColor="text1"/>
                <w:szCs w:val="16"/>
              </w:rPr>
              <w:t>186</w:t>
            </w:r>
          </w:p>
        </w:tc>
        <w:tc>
          <w:tcPr>
            <w:tcW w:w="1084" w:type="pct"/>
            <w:shd w:val="clear" w:color="auto" w:fill="auto"/>
            <w:vAlign w:val="center"/>
          </w:tcPr>
          <w:p w14:paraId="740F6FA5" w14:textId="70059958" w:rsidR="002D3EE6" w:rsidRPr="00781112" w:rsidRDefault="002D3EE6" w:rsidP="002D3EE6">
            <w:pPr>
              <w:jc w:val="center"/>
              <w:rPr>
                <w:rFonts w:cs="Arial"/>
                <w:color w:val="000000" w:themeColor="text1"/>
                <w:szCs w:val="16"/>
              </w:rPr>
            </w:pPr>
            <w:r w:rsidRPr="00781112">
              <w:rPr>
                <w:rFonts w:cs="Arial"/>
                <w:color w:val="000000" w:themeColor="text1"/>
                <w:szCs w:val="16"/>
              </w:rPr>
              <w:t>129</w:t>
            </w:r>
          </w:p>
        </w:tc>
      </w:tr>
    </w:tbl>
    <w:p w14:paraId="639A2278" w14:textId="77777777" w:rsidR="00DD5B7A" w:rsidRPr="00781112" w:rsidRDefault="00DD5B7A" w:rsidP="00DD5B7A">
      <w:pPr>
        <w:rPr>
          <w:b/>
          <w:color w:val="000000" w:themeColor="text1"/>
        </w:rPr>
      </w:pPr>
    </w:p>
    <w:p w14:paraId="2B294F6E" w14:textId="77777777" w:rsidR="00DD5B7A" w:rsidRPr="00781112" w:rsidRDefault="00DD5B7A" w:rsidP="00DD5B7A">
      <w:pPr>
        <w:rPr>
          <w:rFonts w:cs="Arial"/>
          <w:b/>
          <w:color w:val="000000" w:themeColor="text1"/>
          <w:szCs w:val="16"/>
        </w:rPr>
      </w:pPr>
      <w:r w:rsidRPr="00781112">
        <w:rPr>
          <w:rFonts w:cs="Arial"/>
          <w:b/>
          <w:color w:val="000000" w:themeColor="text1"/>
          <w:szCs w:val="16"/>
        </w:rPr>
        <w:t xml:space="preserve">Data Source: </w:t>
      </w:r>
    </w:p>
    <w:p w14:paraId="6AD8EFC6" w14:textId="5D2767CF" w:rsidR="00DD5B7A" w:rsidRPr="00781112" w:rsidRDefault="00DD5B7A" w:rsidP="00DD5B7A">
      <w:pPr>
        <w:rPr>
          <w:rFonts w:cs="Arial"/>
          <w:color w:val="000000" w:themeColor="text1"/>
          <w:szCs w:val="16"/>
        </w:rPr>
      </w:pPr>
      <w:r w:rsidRPr="00781112">
        <w:rPr>
          <w:rFonts w:cs="Arial"/>
          <w:color w:val="000000" w:themeColor="text1"/>
          <w:szCs w:val="16"/>
        </w:rPr>
        <w:t>SY 2022-23 Assessment Data Groups - Math (EDFacts file spec FS175; Data Group: 583)</w:t>
      </w:r>
    </w:p>
    <w:p w14:paraId="1F735D57" w14:textId="77777777" w:rsidR="00DD5B7A" w:rsidRPr="00781112" w:rsidRDefault="00DD5B7A" w:rsidP="00DD5B7A">
      <w:pPr>
        <w:rPr>
          <w:rFonts w:cs="Arial"/>
          <w:b/>
          <w:color w:val="000000" w:themeColor="text1"/>
          <w:szCs w:val="16"/>
        </w:rPr>
      </w:pPr>
      <w:r w:rsidRPr="00781112">
        <w:rPr>
          <w:rFonts w:cs="Arial"/>
          <w:b/>
          <w:color w:val="000000" w:themeColor="text1"/>
          <w:szCs w:val="16"/>
        </w:rPr>
        <w:t xml:space="preserve">Date: </w:t>
      </w:r>
    </w:p>
    <w:p w14:paraId="27D0A75A" w14:textId="6D901961" w:rsidR="00DD5B7A" w:rsidRPr="00781112" w:rsidRDefault="00DD5B7A" w:rsidP="00DD5B7A">
      <w:pPr>
        <w:rPr>
          <w:rFonts w:cs="Arial"/>
          <w:color w:val="000000" w:themeColor="text1"/>
          <w:szCs w:val="16"/>
        </w:rPr>
      </w:pPr>
      <w:r w:rsidRPr="00781112">
        <w:rPr>
          <w:rFonts w:cs="Arial"/>
          <w:color w:val="000000" w:themeColor="text1"/>
          <w:szCs w:val="16"/>
        </w:rPr>
        <w:t>01/10/2024</w:t>
      </w:r>
    </w:p>
    <w:p w14:paraId="0AB0EBE2" w14:textId="434C41EC" w:rsidR="00DD5B7A" w:rsidRPr="00781112" w:rsidRDefault="00DD5B7A" w:rsidP="00DD5B7A">
      <w:pPr>
        <w:rPr>
          <w:b/>
          <w:color w:val="000000" w:themeColor="text1"/>
        </w:rPr>
      </w:pPr>
      <w:r w:rsidRPr="00781112">
        <w:rPr>
          <w:b/>
          <w:color w:val="000000" w:themeColor="text1"/>
        </w:rPr>
        <w:t>Math Assessment Proficiency Data by Grade</w:t>
      </w:r>
      <w:r w:rsidR="00993B32">
        <w:rPr>
          <w:b/>
          <w:color w:val="000000" w:themeColor="text1"/>
        </w:rPr>
        <w:t xml:space="preserve"> (1)</w:t>
      </w:r>
    </w:p>
    <w:tbl>
      <w:tblPr>
        <w:tblStyle w:val="TableGrid"/>
        <w:tblW w:w="5000" w:type="pct"/>
        <w:tblLayout w:type="fixed"/>
        <w:tblLook w:val="04A0" w:firstRow="1" w:lastRow="0" w:firstColumn="1" w:lastColumn="0" w:noHBand="0" w:noVBand="1"/>
        <w:tblCaption w:val="B03DSSPARTDATABYGRDMATH"/>
      </w:tblPr>
      <w:tblGrid>
        <w:gridCol w:w="3775"/>
        <w:gridCol w:w="2338"/>
        <w:gridCol w:w="2338"/>
        <w:gridCol w:w="2339"/>
      </w:tblGrid>
      <w:tr w:rsidR="00DD5B7A" w:rsidRPr="00781112" w14:paraId="590774E0" w14:textId="77777777" w:rsidTr="00E95FBF">
        <w:tc>
          <w:tcPr>
            <w:tcW w:w="1749" w:type="pct"/>
            <w:shd w:val="clear" w:color="auto" w:fill="auto"/>
          </w:tcPr>
          <w:p w14:paraId="4055FBD1" w14:textId="73E0C6E7" w:rsidR="00DD5B7A" w:rsidRPr="00781112" w:rsidRDefault="00835EAD" w:rsidP="00827FF4">
            <w:pPr>
              <w:jc w:val="center"/>
              <w:rPr>
                <w:rFonts w:cs="Arial"/>
                <w:b/>
                <w:bCs/>
                <w:color w:val="000000" w:themeColor="text1"/>
                <w:szCs w:val="16"/>
              </w:rPr>
            </w:pPr>
            <w:r w:rsidRPr="00781112">
              <w:rPr>
                <w:rFonts w:cs="Arial"/>
                <w:b/>
                <w:bCs/>
                <w:color w:val="000000" w:themeColor="text1"/>
                <w:szCs w:val="16"/>
              </w:rPr>
              <w:t>Group</w:t>
            </w:r>
          </w:p>
        </w:tc>
        <w:tc>
          <w:tcPr>
            <w:tcW w:w="1083" w:type="pct"/>
            <w:shd w:val="clear" w:color="auto" w:fill="auto"/>
            <w:vAlign w:val="center"/>
          </w:tcPr>
          <w:p w14:paraId="3DAA5C0A" w14:textId="35B1C50B"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4</w:t>
            </w:r>
          </w:p>
        </w:tc>
        <w:tc>
          <w:tcPr>
            <w:tcW w:w="1083" w:type="pct"/>
            <w:shd w:val="clear" w:color="auto" w:fill="auto"/>
            <w:vAlign w:val="center"/>
          </w:tcPr>
          <w:p w14:paraId="4B99C0AD" w14:textId="75D46FFE"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8</w:t>
            </w:r>
          </w:p>
        </w:tc>
        <w:tc>
          <w:tcPr>
            <w:tcW w:w="1084" w:type="pct"/>
            <w:shd w:val="clear" w:color="auto" w:fill="auto"/>
            <w:vAlign w:val="center"/>
          </w:tcPr>
          <w:p w14:paraId="64818CE7" w14:textId="3A3D62EA"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HS</w:t>
            </w:r>
          </w:p>
        </w:tc>
      </w:tr>
      <w:tr w:rsidR="0039534D" w:rsidRPr="00781112" w14:paraId="5B127C40" w14:textId="77777777" w:rsidTr="00E95FBF">
        <w:tc>
          <w:tcPr>
            <w:tcW w:w="1749" w:type="pct"/>
            <w:shd w:val="clear" w:color="auto" w:fill="auto"/>
          </w:tcPr>
          <w:p w14:paraId="0E1B91FD" w14:textId="7C7FA98F" w:rsidR="0039534D" w:rsidRPr="00781112" w:rsidRDefault="0039534D" w:rsidP="0039534D">
            <w:pPr>
              <w:rPr>
                <w:rFonts w:cs="Arial"/>
                <w:color w:val="000000" w:themeColor="text1"/>
                <w:szCs w:val="16"/>
              </w:rPr>
            </w:pPr>
            <w:r w:rsidRPr="00781112">
              <w:rPr>
                <w:rFonts w:cs="Arial"/>
                <w:color w:val="000000" w:themeColor="text1"/>
                <w:szCs w:val="16"/>
              </w:rPr>
              <w:t>a. All Students who received a valid score and a proficiency was assigned for the regular assessment</w:t>
            </w:r>
          </w:p>
        </w:tc>
        <w:tc>
          <w:tcPr>
            <w:tcW w:w="1083" w:type="pct"/>
            <w:shd w:val="clear" w:color="auto" w:fill="auto"/>
            <w:vAlign w:val="center"/>
          </w:tcPr>
          <w:p w14:paraId="52BC5DDE" w14:textId="144A7826" w:rsidR="0039534D" w:rsidRPr="00781112" w:rsidRDefault="0039534D" w:rsidP="0039534D">
            <w:pPr>
              <w:jc w:val="center"/>
              <w:rPr>
                <w:rFonts w:cs="Arial"/>
                <w:color w:val="000000" w:themeColor="text1"/>
                <w:szCs w:val="16"/>
              </w:rPr>
            </w:pPr>
            <w:r w:rsidRPr="00781112">
              <w:rPr>
                <w:rFonts w:cs="Arial"/>
                <w:color w:val="000000" w:themeColor="text1"/>
                <w:szCs w:val="16"/>
              </w:rPr>
              <w:t>21,109</w:t>
            </w:r>
          </w:p>
        </w:tc>
        <w:tc>
          <w:tcPr>
            <w:tcW w:w="1083" w:type="pct"/>
            <w:shd w:val="clear" w:color="auto" w:fill="auto"/>
            <w:vAlign w:val="center"/>
          </w:tcPr>
          <w:p w14:paraId="1F69E804" w14:textId="1CF42368" w:rsidR="0039534D" w:rsidRPr="00781112" w:rsidRDefault="0039534D" w:rsidP="0039534D">
            <w:pPr>
              <w:jc w:val="center"/>
              <w:rPr>
                <w:rFonts w:cs="Arial"/>
                <w:color w:val="000000" w:themeColor="text1"/>
                <w:szCs w:val="16"/>
              </w:rPr>
            </w:pPr>
            <w:r w:rsidRPr="00781112">
              <w:rPr>
                <w:rFonts w:cs="Arial"/>
                <w:color w:val="000000" w:themeColor="text1"/>
                <w:szCs w:val="16"/>
              </w:rPr>
              <w:t>22,817</w:t>
            </w:r>
          </w:p>
        </w:tc>
        <w:tc>
          <w:tcPr>
            <w:tcW w:w="1084" w:type="pct"/>
            <w:shd w:val="clear" w:color="auto" w:fill="auto"/>
            <w:vAlign w:val="center"/>
          </w:tcPr>
          <w:p w14:paraId="3CF6972D" w14:textId="425CE03D" w:rsidR="0039534D" w:rsidRPr="00781112" w:rsidRDefault="0039534D" w:rsidP="0039534D">
            <w:pPr>
              <w:jc w:val="center"/>
              <w:rPr>
                <w:rFonts w:cs="Arial"/>
                <w:color w:val="000000" w:themeColor="text1"/>
                <w:szCs w:val="16"/>
              </w:rPr>
            </w:pPr>
            <w:r w:rsidRPr="00781112">
              <w:rPr>
                <w:rFonts w:cs="Arial"/>
                <w:color w:val="000000" w:themeColor="text1"/>
                <w:szCs w:val="16"/>
              </w:rPr>
              <w:t>19,556</w:t>
            </w:r>
          </w:p>
        </w:tc>
      </w:tr>
      <w:tr w:rsidR="0039534D" w:rsidRPr="00781112" w14:paraId="498D2BC6" w14:textId="77777777" w:rsidTr="00E95FBF">
        <w:tc>
          <w:tcPr>
            <w:tcW w:w="1749" w:type="pct"/>
            <w:shd w:val="clear" w:color="auto" w:fill="auto"/>
          </w:tcPr>
          <w:p w14:paraId="6F359A75" w14:textId="3CC63A02" w:rsidR="0039534D" w:rsidRPr="00781112" w:rsidRDefault="0039534D" w:rsidP="0039534D">
            <w:pPr>
              <w:rPr>
                <w:rFonts w:cs="Arial"/>
                <w:color w:val="000000" w:themeColor="text1"/>
                <w:szCs w:val="16"/>
              </w:rPr>
            </w:pPr>
            <w:r w:rsidRPr="00781112">
              <w:rPr>
                <w:rFonts w:cs="Arial"/>
                <w:color w:val="000000" w:themeColor="text1"/>
                <w:szCs w:val="16"/>
              </w:rPr>
              <w:t xml:space="preserve">b. Children with IEPs who received a valid score and a proficiency was assigned </w:t>
            </w:r>
            <w:r w:rsidRPr="00781112">
              <w:rPr>
                <w:rFonts w:cs="Arial"/>
                <w:szCs w:val="16"/>
                <w:shd w:val="clear" w:color="auto" w:fill="FFFFFF"/>
              </w:rPr>
              <w:t>for the regular assessment</w:t>
            </w:r>
          </w:p>
        </w:tc>
        <w:tc>
          <w:tcPr>
            <w:tcW w:w="1083" w:type="pct"/>
            <w:shd w:val="clear" w:color="auto" w:fill="auto"/>
            <w:vAlign w:val="center"/>
          </w:tcPr>
          <w:p w14:paraId="76737A54" w14:textId="7FDF30A1" w:rsidR="0039534D" w:rsidRPr="00781112" w:rsidRDefault="0039534D" w:rsidP="0039534D">
            <w:pPr>
              <w:jc w:val="center"/>
              <w:rPr>
                <w:rFonts w:cs="Arial"/>
                <w:color w:val="000000" w:themeColor="text1"/>
                <w:szCs w:val="16"/>
              </w:rPr>
            </w:pPr>
            <w:r w:rsidRPr="00781112">
              <w:rPr>
                <w:rFonts w:cs="Arial"/>
                <w:color w:val="000000" w:themeColor="text1"/>
                <w:szCs w:val="16"/>
              </w:rPr>
              <w:t>4,200</w:t>
            </w:r>
          </w:p>
        </w:tc>
        <w:tc>
          <w:tcPr>
            <w:tcW w:w="1083" w:type="pct"/>
            <w:shd w:val="clear" w:color="auto" w:fill="auto"/>
            <w:vAlign w:val="center"/>
          </w:tcPr>
          <w:p w14:paraId="4728E439" w14:textId="7575A840" w:rsidR="0039534D" w:rsidRPr="00781112" w:rsidRDefault="0039534D" w:rsidP="0039534D">
            <w:pPr>
              <w:jc w:val="center"/>
              <w:rPr>
                <w:rFonts w:cs="Arial"/>
                <w:color w:val="000000" w:themeColor="text1"/>
                <w:szCs w:val="16"/>
              </w:rPr>
            </w:pPr>
            <w:r w:rsidRPr="00781112">
              <w:rPr>
                <w:rFonts w:cs="Arial"/>
                <w:color w:val="000000" w:themeColor="text1"/>
                <w:szCs w:val="16"/>
              </w:rPr>
              <w:t>3,959</w:t>
            </w:r>
          </w:p>
        </w:tc>
        <w:tc>
          <w:tcPr>
            <w:tcW w:w="1084" w:type="pct"/>
            <w:shd w:val="clear" w:color="auto" w:fill="auto"/>
            <w:vAlign w:val="center"/>
          </w:tcPr>
          <w:p w14:paraId="06C8345B" w14:textId="39D5A618" w:rsidR="0039534D" w:rsidRPr="00781112" w:rsidRDefault="0039534D" w:rsidP="0039534D">
            <w:pPr>
              <w:jc w:val="center"/>
              <w:rPr>
                <w:rFonts w:cs="Arial"/>
                <w:color w:val="000000" w:themeColor="text1"/>
                <w:szCs w:val="16"/>
              </w:rPr>
            </w:pPr>
            <w:r w:rsidRPr="00781112">
              <w:rPr>
                <w:rFonts w:cs="Arial"/>
                <w:color w:val="000000" w:themeColor="text1"/>
                <w:szCs w:val="16"/>
              </w:rPr>
              <w:t>2,644</w:t>
            </w:r>
          </w:p>
        </w:tc>
      </w:tr>
      <w:tr w:rsidR="0039534D" w:rsidRPr="00781112" w14:paraId="3DF51785" w14:textId="77777777" w:rsidTr="00E95FBF">
        <w:tc>
          <w:tcPr>
            <w:tcW w:w="1749" w:type="pct"/>
            <w:shd w:val="clear" w:color="auto" w:fill="auto"/>
          </w:tcPr>
          <w:p w14:paraId="4795E661" w14:textId="39A6BCFA" w:rsidR="0039534D" w:rsidRPr="00781112" w:rsidRDefault="0039534D" w:rsidP="0039534D">
            <w:pPr>
              <w:rPr>
                <w:rFonts w:cs="Arial"/>
                <w:color w:val="000000" w:themeColor="text1"/>
                <w:szCs w:val="16"/>
              </w:rPr>
            </w:pPr>
            <w:r w:rsidRPr="0075451F">
              <w:rPr>
                <w:rFonts w:cs="Arial"/>
                <w:szCs w:val="16"/>
                <w:shd w:val="clear" w:color="auto" w:fill="FFFFFF"/>
              </w:rPr>
              <w:t>c. All students in regular assessment with no accommodations scored at or above proficient against grade level</w:t>
            </w:r>
          </w:p>
        </w:tc>
        <w:tc>
          <w:tcPr>
            <w:tcW w:w="1083" w:type="pct"/>
            <w:shd w:val="clear" w:color="auto" w:fill="auto"/>
            <w:vAlign w:val="center"/>
          </w:tcPr>
          <w:p w14:paraId="5CB3E7A3" w14:textId="5EDF24EC" w:rsidR="0039534D" w:rsidRPr="00781112" w:rsidRDefault="0039534D" w:rsidP="0039534D">
            <w:pPr>
              <w:jc w:val="center"/>
              <w:rPr>
                <w:rFonts w:cs="Arial"/>
                <w:color w:val="000000" w:themeColor="text1"/>
                <w:szCs w:val="16"/>
              </w:rPr>
            </w:pPr>
            <w:r w:rsidRPr="00781112">
              <w:rPr>
                <w:rFonts w:cs="Arial"/>
                <w:color w:val="000000" w:themeColor="text1"/>
                <w:szCs w:val="16"/>
              </w:rPr>
              <w:t>4,311</w:t>
            </w:r>
          </w:p>
        </w:tc>
        <w:tc>
          <w:tcPr>
            <w:tcW w:w="1083" w:type="pct"/>
            <w:shd w:val="clear" w:color="auto" w:fill="auto"/>
            <w:vAlign w:val="center"/>
          </w:tcPr>
          <w:p w14:paraId="7CCA2E3B" w14:textId="3CD9DE15" w:rsidR="0039534D" w:rsidRPr="00781112" w:rsidRDefault="0039534D" w:rsidP="0039534D">
            <w:pPr>
              <w:jc w:val="center"/>
              <w:rPr>
                <w:rFonts w:cs="Arial"/>
                <w:color w:val="000000" w:themeColor="text1"/>
                <w:szCs w:val="16"/>
              </w:rPr>
            </w:pPr>
            <w:r w:rsidRPr="00781112">
              <w:rPr>
                <w:rFonts w:cs="Arial"/>
                <w:color w:val="000000" w:themeColor="text1"/>
                <w:szCs w:val="16"/>
              </w:rPr>
              <w:t>3,882</w:t>
            </w:r>
          </w:p>
        </w:tc>
        <w:tc>
          <w:tcPr>
            <w:tcW w:w="1084" w:type="pct"/>
            <w:shd w:val="clear" w:color="auto" w:fill="auto"/>
            <w:vAlign w:val="center"/>
          </w:tcPr>
          <w:p w14:paraId="735C7B5A" w14:textId="1C3B3FE1" w:rsidR="0039534D" w:rsidRPr="00781112" w:rsidRDefault="0039534D" w:rsidP="0039534D">
            <w:pPr>
              <w:jc w:val="center"/>
              <w:rPr>
                <w:rFonts w:cs="Arial"/>
                <w:color w:val="000000" w:themeColor="text1"/>
                <w:szCs w:val="16"/>
              </w:rPr>
            </w:pPr>
            <w:r w:rsidRPr="00781112">
              <w:rPr>
                <w:rFonts w:cs="Arial"/>
                <w:color w:val="000000" w:themeColor="text1"/>
                <w:szCs w:val="16"/>
              </w:rPr>
              <w:t>2,894</w:t>
            </w:r>
          </w:p>
        </w:tc>
      </w:tr>
      <w:tr w:rsidR="0039534D" w:rsidRPr="00781112" w14:paraId="07844546" w14:textId="77777777" w:rsidTr="00E95FBF">
        <w:tc>
          <w:tcPr>
            <w:tcW w:w="1749" w:type="pct"/>
            <w:shd w:val="clear" w:color="auto" w:fill="auto"/>
          </w:tcPr>
          <w:p w14:paraId="47D524EB" w14:textId="56F8E4CC" w:rsidR="0039534D" w:rsidRPr="00781112" w:rsidRDefault="0039534D" w:rsidP="0039534D">
            <w:pPr>
              <w:rPr>
                <w:rFonts w:cs="Arial"/>
                <w:color w:val="000000" w:themeColor="text1"/>
                <w:szCs w:val="16"/>
              </w:rPr>
            </w:pPr>
            <w:r w:rsidRPr="0075451F">
              <w:rPr>
                <w:rFonts w:cs="Arial"/>
                <w:szCs w:val="16"/>
                <w:shd w:val="clear" w:color="auto" w:fill="FFFFFF"/>
              </w:rPr>
              <w:t>d. All students in regular assessment with accommodations scored at or above proficient against grade level</w:t>
            </w:r>
          </w:p>
        </w:tc>
        <w:tc>
          <w:tcPr>
            <w:tcW w:w="1083" w:type="pct"/>
            <w:shd w:val="clear" w:color="auto" w:fill="auto"/>
            <w:vAlign w:val="center"/>
          </w:tcPr>
          <w:p w14:paraId="56F62AFB" w14:textId="4BC3B8A6" w:rsidR="0039534D" w:rsidRPr="00781112" w:rsidRDefault="0039534D" w:rsidP="0039534D">
            <w:pPr>
              <w:jc w:val="center"/>
              <w:rPr>
                <w:rFonts w:cs="Arial"/>
                <w:color w:val="000000" w:themeColor="text1"/>
                <w:szCs w:val="16"/>
              </w:rPr>
            </w:pPr>
            <w:r w:rsidRPr="00781112">
              <w:rPr>
                <w:rFonts w:cs="Arial"/>
                <w:color w:val="000000" w:themeColor="text1"/>
                <w:szCs w:val="16"/>
              </w:rPr>
              <w:t>796</w:t>
            </w:r>
          </w:p>
        </w:tc>
        <w:tc>
          <w:tcPr>
            <w:tcW w:w="1083" w:type="pct"/>
            <w:shd w:val="clear" w:color="auto" w:fill="auto"/>
            <w:vAlign w:val="center"/>
          </w:tcPr>
          <w:p w14:paraId="3CDBB055" w14:textId="52A1C13C" w:rsidR="0039534D" w:rsidRPr="00781112" w:rsidRDefault="0039534D" w:rsidP="0039534D">
            <w:pPr>
              <w:jc w:val="center"/>
              <w:rPr>
                <w:rFonts w:cs="Arial"/>
                <w:color w:val="000000" w:themeColor="text1"/>
                <w:szCs w:val="16"/>
              </w:rPr>
            </w:pPr>
            <w:r w:rsidRPr="00781112">
              <w:rPr>
                <w:rFonts w:cs="Arial"/>
                <w:color w:val="000000" w:themeColor="text1"/>
                <w:szCs w:val="16"/>
              </w:rPr>
              <w:t>356</w:t>
            </w:r>
          </w:p>
        </w:tc>
        <w:tc>
          <w:tcPr>
            <w:tcW w:w="1084" w:type="pct"/>
            <w:shd w:val="clear" w:color="auto" w:fill="auto"/>
            <w:vAlign w:val="center"/>
          </w:tcPr>
          <w:p w14:paraId="53087BDA" w14:textId="7F6FB55C" w:rsidR="0039534D" w:rsidRPr="00781112" w:rsidRDefault="0039534D" w:rsidP="0039534D">
            <w:pPr>
              <w:jc w:val="center"/>
              <w:rPr>
                <w:rFonts w:cs="Arial"/>
                <w:color w:val="000000" w:themeColor="text1"/>
                <w:szCs w:val="16"/>
              </w:rPr>
            </w:pPr>
            <w:r w:rsidRPr="00781112">
              <w:rPr>
                <w:rFonts w:cs="Arial"/>
                <w:color w:val="000000" w:themeColor="text1"/>
                <w:szCs w:val="16"/>
              </w:rPr>
              <w:t>116</w:t>
            </w:r>
          </w:p>
        </w:tc>
      </w:tr>
      <w:tr w:rsidR="0039534D" w:rsidRPr="00781112" w14:paraId="0A3B43B6" w14:textId="77777777" w:rsidTr="00E95FBF">
        <w:tc>
          <w:tcPr>
            <w:tcW w:w="1749" w:type="pct"/>
            <w:shd w:val="clear" w:color="auto" w:fill="auto"/>
          </w:tcPr>
          <w:p w14:paraId="78623131" w14:textId="1D0B9916" w:rsidR="0039534D" w:rsidRPr="00781112" w:rsidRDefault="0039534D" w:rsidP="0039534D">
            <w:pPr>
              <w:rPr>
                <w:rFonts w:cs="Arial"/>
                <w:color w:val="000000" w:themeColor="text1"/>
                <w:szCs w:val="16"/>
              </w:rPr>
            </w:pPr>
            <w:r w:rsidRPr="00781112">
              <w:rPr>
                <w:rFonts w:cs="Arial"/>
                <w:szCs w:val="16"/>
                <w:shd w:val="clear" w:color="auto" w:fill="FFFFFF"/>
              </w:rPr>
              <w:t>e. Children with IEPs in regular assessment with no accommodations scored at or above proficient against grade level</w:t>
            </w:r>
          </w:p>
        </w:tc>
        <w:tc>
          <w:tcPr>
            <w:tcW w:w="1083" w:type="pct"/>
            <w:shd w:val="clear" w:color="auto" w:fill="auto"/>
            <w:vAlign w:val="center"/>
          </w:tcPr>
          <w:p w14:paraId="6A062FCA" w14:textId="010EA23D" w:rsidR="0039534D" w:rsidRPr="00781112" w:rsidRDefault="0039534D" w:rsidP="0039534D">
            <w:pPr>
              <w:jc w:val="center"/>
              <w:rPr>
                <w:rFonts w:cs="Arial"/>
                <w:color w:val="000000" w:themeColor="text1"/>
                <w:szCs w:val="16"/>
              </w:rPr>
            </w:pPr>
            <w:r w:rsidRPr="00781112">
              <w:rPr>
                <w:rFonts w:cs="Arial"/>
                <w:color w:val="000000" w:themeColor="text1"/>
                <w:szCs w:val="16"/>
              </w:rPr>
              <w:t>191</w:t>
            </w:r>
          </w:p>
        </w:tc>
        <w:tc>
          <w:tcPr>
            <w:tcW w:w="1083" w:type="pct"/>
            <w:shd w:val="clear" w:color="auto" w:fill="auto"/>
            <w:vAlign w:val="center"/>
          </w:tcPr>
          <w:p w14:paraId="0A64567E" w14:textId="2D3B6CBD" w:rsidR="0039534D" w:rsidRPr="00781112" w:rsidRDefault="0039534D" w:rsidP="0039534D">
            <w:pPr>
              <w:jc w:val="center"/>
              <w:rPr>
                <w:rFonts w:cs="Arial"/>
                <w:color w:val="000000" w:themeColor="text1"/>
                <w:szCs w:val="16"/>
              </w:rPr>
            </w:pPr>
            <w:r w:rsidRPr="00781112">
              <w:rPr>
                <w:rFonts w:cs="Arial"/>
                <w:color w:val="000000" w:themeColor="text1"/>
                <w:szCs w:val="16"/>
              </w:rPr>
              <w:t>89</w:t>
            </w:r>
          </w:p>
        </w:tc>
        <w:tc>
          <w:tcPr>
            <w:tcW w:w="1084" w:type="pct"/>
            <w:shd w:val="clear" w:color="auto" w:fill="auto"/>
            <w:vAlign w:val="center"/>
          </w:tcPr>
          <w:p w14:paraId="4656C7C9" w14:textId="098CB46F" w:rsidR="0039534D" w:rsidRPr="00781112" w:rsidRDefault="0039534D" w:rsidP="0039534D">
            <w:pPr>
              <w:jc w:val="center"/>
              <w:rPr>
                <w:rFonts w:cs="Arial"/>
                <w:color w:val="000000" w:themeColor="text1"/>
                <w:szCs w:val="16"/>
              </w:rPr>
            </w:pPr>
            <w:r w:rsidRPr="00781112">
              <w:rPr>
                <w:rFonts w:cs="Arial"/>
                <w:color w:val="000000" w:themeColor="text1"/>
                <w:szCs w:val="16"/>
              </w:rPr>
              <w:t>19</w:t>
            </w:r>
          </w:p>
        </w:tc>
      </w:tr>
      <w:tr w:rsidR="0039534D" w:rsidRPr="00781112" w14:paraId="7854C881" w14:textId="77777777" w:rsidTr="00E95FBF">
        <w:tc>
          <w:tcPr>
            <w:tcW w:w="1749" w:type="pct"/>
            <w:shd w:val="clear" w:color="auto" w:fill="auto"/>
          </w:tcPr>
          <w:p w14:paraId="11893D61" w14:textId="60FC961E" w:rsidR="0039534D" w:rsidRPr="00781112" w:rsidRDefault="0039534D" w:rsidP="0039534D">
            <w:pPr>
              <w:rPr>
                <w:rFonts w:cs="Arial"/>
                <w:color w:val="000000" w:themeColor="text1"/>
                <w:szCs w:val="16"/>
              </w:rPr>
            </w:pPr>
            <w:r w:rsidRPr="00781112">
              <w:rPr>
                <w:rFonts w:cs="Arial"/>
                <w:szCs w:val="16"/>
                <w:shd w:val="clear" w:color="auto" w:fill="FFFFFF"/>
              </w:rPr>
              <w:lastRenderedPageBreak/>
              <w:t>f. Children with IEPs in regular assessment with accommodations scored at or above proficient against grade level</w:t>
            </w:r>
          </w:p>
        </w:tc>
        <w:tc>
          <w:tcPr>
            <w:tcW w:w="1083" w:type="pct"/>
            <w:shd w:val="clear" w:color="auto" w:fill="auto"/>
            <w:vAlign w:val="center"/>
          </w:tcPr>
          <w:p w14:paraId="59046EB4" w14:textId="7B9261DB" w:rsidR="0039534D" w:rsidRPr="00781112" w:rsidRDefault="0039534D" w:rsidP="0039534D">
            <w:pPr>
              <w:jc w:val="center"/>
              <w:rPr>
                <w:rFonts w:cs="Arial"/>
                <w:color w:val="000000" w:themeColor="text1"/>
                <w:szCs w:val="16"/>
              </w:rPr>
            </w:pPr>
            <w:r w:rsidRPr="00781112">
              <w:rPr>
                <w:rFonts w:cs="Arial"/>
                <w:color w:val="000000" w:themeColor="text1"/>
                <w:szCs w:val="16"/>
              </w:rPr>
              <w:t>127</w:t>
            </w:r>
          </w:p>
        </w:tc>
        <w:tc>
          <w:tcPr>
            <w:tcW w:w="1083" w:type="pct"/>
            <w:shd w:val="clear" w:color="auto" w:fill="auto"/>
            <w:vAlign w:val="center"/>
          </w:tcPr>
          <w:p w14:paraId="1A17DFA3" w14:textId="3FCA504B" w:rsidR="0039534D" w:rsidRPr="00781112" w:rsidRDefault="0039534D" w:rsidP="0039534D">
            <w:pPr>
              <w:jc w:val="center"/>
              <w:rPr>
                <w:rFonts w:cs="Arial"/>
                <w:color w:val="000000" w:themeColor="text1"/>
                <w:szCs w:val="16"/>
              </w:rPr>
            </w:pPr>
            <w:r w:rsidRPr="00781112">
              <w:rPr>
                <w:rFonts w:cs="Arial"/>
                <w:color w:val="000000" w:themeColor="text1"/>
                <w:szCs w:val="16"/>
              </w:rPr>
              <w:t>42</w:t>
            </w:r>
          </w:p>
        </w:tc>
        <w:tc>
          <w:tcPr>
            <w:tcW w:w="1084" w:type="pct"/>
            <w:shd w:val="clear" w:color="auto" w:fill="auto"/>
            <w:vAlign w:val="center"/>
          </w:tcPr>
          <w:p w14:paraId="20EB2770" w14:textId="2709C0DA" w:rsidR="0039534D" w:rsidRPr="00781112" w:rsidRDefault="0039534D" w:rsidP="0039534D">
            <w:pPr>
              <w:jc w:val="center"/>
              <w:rPr>
                <w:rFonts w:cs="Arial"/>
                <w:color w:val="000000" w:themeColor="text1"/>
                <w:szCs w:val="16"/>
              </w:rPr>
            </w:pPr>
            <w:r w:rsidRPr="00781112">
              <w:rPr>
                <w:rFonts w:cs="Arial"/>
                <w:color w:val="000000" w:themeColor="text1"/>
                <w:szCs w:val="16"/>
              </w:rPr>
              <w:t>36</w:t>
            </w:r>
          </w:p>
        </w:tc>
      </w:tr>
    </w:tbl>
    <w:p w14:paraId="657E3B81" w14:textId="0DBD7310" w:rsidR="007519E8" w:rsidRDefault="007519E8" w:rsidP="007519E8">
      <w:pPr>
        <w:pStyle w:val="Subhed"/>
        <w:rPr>
          <w:b w:val="0"/>
          <w:bCs/>
        </w:rPr>
      </w:pPr>
      <w:r>
        <w:rPr>
          <w:b w:val="0"/>
          <w:bCs/>
        </w:rPr>
        <w:t>(1)The term “regular assessment” is an aggregation of the following types of assessments as applicable for each grade/ grade group: regular assessment based on grade-level achievement standards, advanced assessment, Innovative Assessment Demonstration Authority (IADA) pilot assessment, high school regular assessment I, high school regular assessment II, high school regular assessment III and locally-selected nationally recognized high school assessment in the prefilled data in this indicator.</w:t>
      </w:r>
      <w:r>
        <w:t xml:space="preserve"> </w:t>
      </w:r>
    </w:p>
    <w:p w14:paraId="1EA160DB" w14:textId="77777777" w:rsidR="00DD5B7A" w:rsidRPr="00781112" w:rsidRDefault="00DD5B7A" w:rsidP="00DD5B7A">
      <w:pPr>
        <w:rPr>
          <w:color w:val="000000" w:themeColor="text1"/>
        </w:rPr>
      </w:pPr>
    </w:p>
    <w:p w14:paraId="300D6CD4" w14:textId="01FFF48B" w:rsidR="00DD5B7A" w:rsidRPr="00781112" w:rsidRDefault="0047313F" w:rsidP="00DD5B7A">
      <w:pPr>
        <w:rPr>
          <w:b/>
          <w:color w:val="000000" w:themeColor="text1"/>
        </w:rPr>
      </w:pPr>
      <w:r>
        <w:rPr>
          <w:b/>
          <w:color w:val="000000" w:themeColor="text1"/>
        </w:rPr>
        <w:t>FFY 2022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DFFYAPRDATARLA"/>
      </w:tblPr>
      <w:tblGrid>
        <w:gridCol w:w="715"/>
        <w:gridCol w:w="995"/>
        <w:gridCol w:w="1752"/>
        <w:gridCol w:w="1752"/>
        <w:gridCol w:w="1114"/>
        <w:gridCol w:w="1116"/>
        <w:gridCol w:w="1116"/>
        <w:gridCol w:w="1116"/>
        <w:gridCol w:w="1114"/>
      </w:tblGrid>
      <w:tr w:rsidR="00FA33C9" w:rsidRPr="00781112" w14:paraId="2F7F1DE8" w14:textId="77777777" w:rsidTr="00360DD6">
        <w:trPr>
          <w:tblHeader/>
        </w:trPr>
        <w:tc>
          <w:tcPr>
            <w:tcW w:w="331" w:type="pct"/>
            <w:shd w:val="clear" w:color="auto" w:fill="auto"/>
            <w:vAlign w:val="bottom"/>
          </w:tcPr>
          <w:p w14:paraId="0E14CE7F" w14:textId="77777777" w:rsidR="00FA33C9" w:rsidRPr="00781112" w:rsidRDefault="00FA33C9" w:rsidP="00FA33C9">
            <w:pPr>
              <w:jc w:val="center"/>
              <w:rPr>
                <w:b/>
                <w:color w:val="000000" w:themeColor="text1"/>
              </w:rPr>
            </w:pPr>
            <w:r w:rsidRPr="00781112">
              <w:rPr>
                <w:b/>
                <w:color w:val="000000" w:themeColor="text1"/>
              </w:rPr>
              <w:t>Group</w:t>
            </w:r>
          </w:p>
        </w:tc>
        <w:tc>
          <w:tcPr>
            <w:tcW w:w="461" w:type="pct"/>
            <w:shd w:val="clear" w:color="auto" w:fill="auto"/>
            <w:vAlign w:val="bottom"/>
          </w:tcPr>
          <w:p w14:paraId="4F428A92" w14:textId="77777777" w:rsidR="00FA33C9" w:rsidRPr="00781112" w:rsidRDefault="00FA33C9" w:rsidP="00FA33C9">
            <w:pPr>
              <w:jc w:val="center"/>
              <w:rPr>
                <w:b/>
                <w:color w:val="000000" w:themeColor="text1"/>
              </w:rPr>
            </w:pPr>
            <w:r w:rsidRPr="00781112">
              <w:rPr>
                <w:b/>
                <w:color w:val="000000" w:themeColor="text1"/>
              </w:rPr>
              <w:t>Group Name</w:t>
            </w:r>
          </w:p>
        </w:tc>
        <w:tc>
          <w:tcPr>
            <w:tcW w:w="812" w:type="pct"/>
            <w:shd w:val="clear" w:color="auto" w:fill="auto"/>
          </w:tcPr>
          <w:p w14:paraId="46CAD1DD" w14:textId="7A73217C" w:rsidR="00FA33C9" w:rsidRPr="00781112" w:rsidRDefault="00FA33C9" w:rsidP="00FA33C9">
            <w:pPr>
              <w:jc w:val="center"/>
              <w:rPr>
                <w:b/>
                <w:bCs/>
                <w:color w:val="000000" w:themeColor="text1"/>
              </w:rPr>
            </w:pPr>
            <w:r w:rsidRPr="00781112">
              <w:rPr>
                <w:b/>
                <w:bCs/>
              </w:rPr>
              <w:t xml:space="preserve">Proficiency rate for children with IEPs scoring at or above proficient against grade level academic achievement standards </w:t>
            </w:r>
          </w:p>
        </w:tc>
        <w:tc>
          <w:tcPr>
            <w:tcW w:w="812" w:type="pct"/>
            <w:shd w:val="clear" w:color="auto" w:fill="auto"/>
          </w:tcPr>
          <w:p w14:paraId="6DE1E86B" w14:textId="68DF8E07" w:rsidR="00FA33C9" w:rsidRPr="00781112" w:rsidRDefault="00FA33C9" w:rsidP="00FA33C9">
            <w:pPr>
              <w:jc w:val="center"/>
              <w:rPr>
                <w:b/>
                <w:bCs/>
                <w:color w:val="000000" w:themeColor="text1"/>
              </w:rPr>
            </w:pPr>
            <w:r w:rsidRPr="00781112">
              <w:rPr>
                <w:b/>
                <w:bCs/>
              </w:rPr>
              <w:t xml:space="preserve">Proficiency rate for all students scoring at or above proficient against grade level academic achievement standards </w:t>
            </w:r>
          </w:p>
        </w:tc>
        <w:tc>
          <w:tcPr>
            <w:tcW w:w="516" w:type="pct"/>
            <w:shd w:val="clear" w:color="auto" w:fill="auto"/>
            <w:vAlign w:val="bottom"/>
          </w:tcPr>
          <w:p w14:paraId="0E9E489C" w14:textId="53552D2B" w:rsidR="00FA33C9" w:rsidRPr="00073BD7" w:rsidRDefault="00FA33C9" w:rsidP="00FA33C9">
            <w:pPr>
              <w:jc w:val="center"/>
              <w:rPr>
                <w:b/>
                <w:bCs/>
                <w:color w:val="000000" w:themeColor="text1"/>
              </w:rPr>
            </w:pPr>
            <w:r w:rsidRPr="00073BD7">
              <w:rPr>
                <w:b/>
                <w:bCs/>
              </w:rPr>
              <w:t>FFY 2021 Data</w:t>
            </w:r>
          </w:p>
        </w:tc>
        <w:tc>
          <w:tcPr>
            <w:tcW w:w="517" w:type="pct"/>
            <w:shd w:val="clear" w:color="auto" w:fill="auto"/>
            <w:vAlign w:val="bottom"/>
          </w:tcPr>
          <w:p w14:paraId="69544656" w14:textId="05B2BF11" w:rsidR="00FA33C9" w:rsidRPr="00073BD7" w:rsidRDefault="00FA33C9" w:rsidP="00FA33C9">
            <w:pPr>
              <w:jc w:val="center"/>
              <w:rPr>
                <w:b/>
                <w:bCs/>
                <w:color w:val="000000" w:themeColor="text1"/>
              </w:rPr>
            </w:pPr>
            <w:r w:rsidRPr="00073BD7">
              <w:rPr>
                <w:b/>
                <w:bCs/>
              </w:rPr>
              <w:t>FFY 2022 Target</w:t>
            </w:r>
          </w:p>
        </w:tc>
        <w:tc>
          <w:tcPr>
            <w:tcW w:w="517" w:type="pct"/>
            <w:shd w:val="clear" w:color="auto" w:fill="auto"/>
            <w:vAlign w:val="bottom"/>
          </w:tcPr>
          <w:p w14:paraId="611B3DE3" w14:textId="35589DA2" w:rsidR="00FA33C9" w:rsidRPr="00073BD7" w:rsidRDefault="00FA33C9" w:rsidP="00FA33C9">
            <w:pPr>
              <w:jc w:val="center"/>
              <w:rPr>
                <w:b/>
                <w:bCs/>
                <w:color w:val="000000" w:themeColor="text1"/>
              </w:rPr>
            </w:pPr>
            <w:r w:rsidRPr="00073BD7">
              <w:rPr>
                <w:b/>
                <w:bCs/>
              </w:rPr>
              <w:t>FFY 2022 Data</w:t>
            </w:r>
          </w:p>
        </w:tc>
        <w:tc>
          <w:tcPr>
            <w:tcW w:w="517" w:type="pct"/>
            <w:shd w:val="clear" w:color="auto" w:fill="auto"/>
            <w:vAlign w:val="bottom"/>
          </w:tcPr>
          <w:p w14:paraId="6D2215D6" w14:textId="77777777" w:rsidR="00FA33C9" w:rsidRPr="00781112" w:rsidRDefault="00FA33C9" w:rsidP="00FA33C9">
            <w:pPr>
              <w:jc w:val="center"/>
              <w:rPr>
                <w:b/>
                <w:color w:val="000000" w:themeColor="text1"/>
              </w:rPr>
            </w:pPr>
            <w:r w:rsidRPr="00781112">
              <w:rPr>
                <w:b/>
                <w:color w:val="000000" w:themeColor="text1"/>
              </w:rPr>
              <w:t>Status</w:t>
            </w:r>
          </w:p>
        </w:tc>
        <w:tc>
          <w:tcPr>
            <w:tcW w:w="516" w:type="pct"/>
            <w:shd w:val="clear" w:color="auto" w:fill="auto"/>
            <w:vAlign w:val="bottom"/>
          </w:tcPr>
          <w:p w14:paraId="4FACB3EB" w14:textId="77777777" w:rsidR="00FA33C9" w:rsidRPr="00781112" w:rsidRDefault="00FA33C9" w:rsidP="00FA33C9">
            <w:pPr>
              <w:jc w:val="center"/>
              <w:rPr>
                <w:b/>
                <w:color w:val="000000" w:themeColor="text1"/>
              </w:rPr>
            </w:pPr>
            <w:r w:rsidRPr="00781112">
              <w:rPr>
                <w:b/>
                <w:color w:val="000000" w:themeColor="text1"/>
              </w:rPr>
              <w:t>Slippage</w:t>
            </w:r>
          </w:p>
        </w:tc>
      </w:tr>
      <w:tr w:rsidR="00E22739" w:rsidRPr="00781112" w14:paraId="190DF2EB" w14:textId="77777777" w:rsidTr="00360DD6">
        <w:tc>
          <w:tcPr>
            <w:tcW w:w="331" w:type="pct"/>
            <w:shd w:val="clear" w:color="auto" w:fill="auto"/>
            <w:vAlign w:val="center"/>
          </w:tcPr>
          <w:p w14:paraId="3AAB1776" w14:textId="77777777" w:rsidR="00E22739" w:rsidRPr="00781112" w:rsidRDefault="00E22739" w:rsidP="00E22739">
            <w:pPr>
              <w:pStyle w:val="Default"/>
              <w:jc w:val="center"/>
              <w:rPr>
                <w:rFonts w:eastAsiaTheme="minorHAnsi"/>
                <w:color w:val="000000" w:themeColor="text1"/>
                <w:sz w:val="16"/>
                <w:szCs w:val="16"/>
              </w:rPr>
            </w:pPr>
            <w:r w:rsidRPr="00781112">
              <w:rPr>
                <w:b/>
                <w:color w:val="000000" w:themeColor="text1"/>
                <w:sz w:val="16"/>
                <w:szCs w:val="16"/>
              </w:rPr>
              <w:t>A</w:t>
            </w:r>
          </w:p>
        </w:tc>
        <w:tc>
          <w:tcPr>
            <w:tcW w:w="461" w:type="pct"/>
            <w:shd w:val="clear" w:color="auto" w:fill="auto"/>
            <w:vAlign w:val="center"/>
          </w:tcPr>
          <w:p w14:paraId="50AFDCF6" w14:textId="41D78AC3" w:rsidR="00E22739" w:rsidRPr="00781112" w:rsidDel="00DE5045" w:rsidRDefault="00E22739" w:rsidP="00E22739">
            <w:pPr>
              <w:jc w:val="center"/>
              <w:rPr>
                <w:rFonts w:cs="Arial"/>
                <w:color w:val="000000" w:themeColor="text1"/>
                <w:szCs w:val="16"/>
              </w:rPr>
            </w:pPr>
            <w:r w:rsidRPr="00781112">
              <w:rPr>
                <w:rFonts w:cs="Arial"/>
                <w:color w:val="000000" w:themeColor="text1"/>
                <w:szCs w:val="16"/>
              </w:rPr>
              <w:t>Grade 4</w:t>
            </w:r>
          </w:p>
        </w:tc>
        <w:tc>
          <w:tcPr>
            <w:tcW w:w="812" w:type="pct"/>
            <w:shd w:val="clear" w:color="auto" w:fill="auto"/>
          </w:tcPr>
          <w:p w14:paraId="05BCB412" w14:textId="0263BB70" w:rsidR="00E22739" w:rsidRPr="00781112" w:rsidRDefault="00E22739" w:rsidP="00E22739">
            <w:pPr>
              <w:jc w:val="center"/>
              <w:rPr>
                <w:rFonts w:cs="Arial"/>
                <w:color w:val="000000" w:themeColor="text1"/>
                <w:szCs w:val="16"/>
              </w:rPr>
            </w:pPr>
            <w:r w:rsidRPr="00781112">
              <w:rPr>
                <w:rFonts w:cs="Arial"/>
                <w:color w:val="000000"/>
                <w:szCs w:val="16"/>
              </w:rPr>
              <w:t>12.49%</w:t>
            </w:r>
          </w:p>
        </w:tc>
        <w:tc>
          <w:tcPr>
            <w:tcW w:w="812" w:type="pct"/>
            <w:shd w:val="clear" w:color="auto" w:fill="auto"/>
            <w:vAlign w:val="center"/>
          </w:tcPr>
          <w:p w14:paraId="3354BCD4" w14:textId="5A7FC816" w:rsidR="00E22739" w:rsidRPr="00781112" w:rsidRDefault="00E22739" w:rsidP="00E22739">
            <w:pPr>
              <w:jc w:val="center"/>
              <w:rPr>
                <w:rFonts w:cs="Arial"/>
                <w:color w:val="000000" w:themeColor="text1"/>
                <w:szCs w:val="16"/>
              </w:rPr>
            </w:pPr>
            <w:r w:rsidRPr="00781112">
              <w:rPr>
                <w:rFonts w:cs="Arial"/>
                <w:color w:val="000000" w:themeColor="text1"/>
                <w:szCs w:val="16"/>
              </w:rPr>
              <w:t>41.13%</w:t>
            </w:r>
          </w:p>
        </w:tc>
        <w:tc>
          <w:tcPr>
            <w:tcW w:w="516" w:type="pct"/>
            <w:shd w:val="clear" w:color="auto" w:fill="auto"/>
            <w:vAlign w:val="center"/>
          </w:tcPr>
          <w:p w14:paraId="54DCE3E3" w14:textId="767528A8" w:rsidR="00E22739" w:rsidRPr="00781112" w:rsidRDefault="00E22739" w:rsidP="00E22739">
            <w:pPr>
              <w:jc w:val="center"/>
              <w:rPr>
                <w:rFonts w:cs="Arial"/>
                <w:color w:val="000000" w:themeColor="text1"/>
                <w:szCs w:val="16"/>
              </w:rPr>
            </w:pPr>
            <w:r w:rsidRPr="00781112">
              <w:rPr>
                <w:rFonts w:cs="Arial"/>
                <w:color w:val="000000" w:themeColor="text1"/>
                <w:szCs w:val="16"/>
              </w:rPr>
              <w:t>27.02</w:t>
            </w:r>
          </w:p>
        </w:tc>
        <w:tc>
          <w:tcPr>
            <w:tcW w:w="517" w:type="pct"/>
            <w:shd w:val="clear" w:color="auto" w:fill="auto"/>
            <w:vAlign w:val="center"/>
          </w:tcPr>
          <w:p w14:paraId="391F5142" w14:textId="770A7FE0" w:rsidR="00E22739" w:rsidRPr="00781112" w:rsidRDefault="00E22739" w:rsidP="00E22739">
            <w:pPr>
              <w:jc w:val="center"/>
              <w:rPr>
                <w:rFonts w:cs="Arial"/>
                <w:color w:val="000000" w:themeColor="text1"/>
                <w:szCs w:val="16"/>
              </w:rPr>
            </w:pPr>
            <w:r w:rsidRPr="00781112">
              <w:rPr>
                <w:rFonts w:cs="Arial"/>
                <w:color w:val="000000" w:themeColor="text1"/>
                <w:szCs w:val="16"/>
              </w:rPr>
              <w:t>38.97</w:t>
            </w:r>
          </w:p>
        </w:tc>
        <w:tc>
          <w:tcPr>
            <w:tcW w:w="517" w:type="pct"/>
            <w:shd w:val="clear" w:color="auto" w:fill="auto"/>
            <w:vAlign w:val="center"/>
          </w:tcPr>
          <w:p w14:paraId="017D29FF" w14:textId="59A06573" w:rsidR="00E22739" w:rsidRPr="00781112" w:rsidRDefault="00E22739" w:rsidP="00E22739">
            <w:pPr>
              <w:jc w:val="center"/>
              <w:rPr>
                <w:rFonts w:cs="Arial"/>
                <w:color w:val="000000" w:themeColor="text1"/>
                <w:szCs w:val="16"/>
              </w:rPr>
            </w:pPr>
            <w:r w:rsidRPr="00781112">
              <w:rPr>
                <w:rFonts w:cs="Arial"/>
                <w:color w:val="000000" w:themeColor="text1"/>
                <w:szCs w:val="16"/>
              </w:rPr>
              <w:t>28.64</w:t>
            </w:r>
          </w:p>
        </w:tc>
        <w:tc>
          <w:tcPr>
            <w:tcW w:w="517" w:type="pct"/>
            <w:shd w:val="clear" w:color="auto" w:fill="auto"/>
            <w:vAlign w:val="center"/>
          </w:tcPr>
          <w:p w14:paraId="39C0C705" w14:textId="1211FD2B" w:rsidR="00E22739" w:rsidRPr="00781112" w:rsidRDefault="00E22739" w:rsidP="00E22739">
            <w:pPr>
              <w:jc w:val="center"/>
              <w:rPr>
                <w:rFonts w:cs="Arial"/>
                <w:color w:val="000000" w:themeColor="text1"/>
                <w:szCs w:val="16"/>
              </w:rPr>
            </w:pPr>
            <w:r w:rsidRPr="00781112">
              <w:rPr>
                <w:rFonts w:cs="Arial"/>
                <w:color w:val="000000" w:themeColor="text1"/>
                <w:szCs w:val="16"/>
              </w:rPr>
              <w:t>Met target</w:t>
            </w:r>
          </w:p>
        </w:tc>
        <w:tc>
          <w:tcPr>
            <w:tcW w:w="516" w:type="pct"/>
            <w:shd w:val="clear" w:color="auto" w:fill="auto"/>
            <w:vAlign w:val="center"/>
          </w:tcPr>
          <w:p w14:paraId="339FEB2D" w14:textId="0223F580" w:rsidR="00E22739" w:rsidRPr="00781112" w:rsidRDefault="00E22739" w:rsidP="00E22739">
            <w:pPr>
              <w:jc w:val="center"/>
              <w:rPr>
                <w:rFonts w:cs="Arial"/>
                <w:color w:val="000000" w:themeColor="text1"/>
                <w:szCs w:val="16"/>
              </w:rPr>
            </w:pPr>
            <w:r w:rsidRPr="00781112">
              <w:rPr>
                <w:rFonts w:cs="Arial"/>
                <w:color w:val="000000" w:themeColor="text1"/>
                <w:szCs w:val="16"/>
              </w:rPr>
              <w:t>No Slippage</w:t>
            </w:r>
          </w:p>
        </w:tc>
      </w:tr>
      <w:tr w:rsidR="00E22739" w:rsidRPr="00781112" w14:paraId="4FDDF1FC" w14:textId="77777777" w:rsidTr="00360DD6">
        <w:tc>
          <w:tcPr>
            <w:tcW w:w="331" w:type="pct"/>
            <w:shd w:val="clear" w:color="auto" w:fill="auto"/>
            <w:vAlign w:val="center"/>
          </w:tcPr>
          <w:p w14:paraId="472CE57B" w14:textId="77777777" w:rsidR="00E22739" w:rsidRPr="00781112" w:rsidRDefault="00E22739" w:rsidP="00E22739">
            <w:pPr>
              <w:pStyle w:val="Default"/>
              <w:jc w:val="center"/>
              <w:rPr>
                <w:rFonts w:eastAsiaTheme="minorHAnsi"/>
                <w:color w:val="000000" w:themeColor="text1"/>
                <w:sz w:val="16"/>
                <w:szCs w:val="16"/>
              </w:rPr>
            </w:pPr>
            <w:r w:rsidRPr="00781112">
              <w:rPr>
                <w:b/>
                <w:color w:val="000000" w:themeColor="text1"/>
                <w:sz w:val="16"/>
                <w:szCs w:val="16"/>
              </w:rPr>
              <w:t>B</w:t>
            </w:r>
          </w:p>
        </w:tc>
        <w:tc>
          <w:tcPr>
            <w:tcW w:w="461" w:type="pct"/>
            <w:shd w:val="clear" w:color="auto" w:fill="auto"/>
            <w:vAlign w:val="center"/>
          </w:tcPr>
          <w:p w14:paraId="206C7DCC" w14:textId="37A252FA" w:rsidR="00E22739" w:rsidRPr="00781112" w:rsidDel="00DE5045" w:rsidRDefault="00E22739" w:rsidP="00E22739">
            <w:pPr>
              <w:jc w:val="center"/>
              <w:rPr>
                <w:rFonts w:cs="Arial"/>
                <w:color w:val="000000" w:themeColor="text1"/>
                <w:szCs w:val="16"/>
              </w:rPr>
            </w:pPr>
            <w:r w:rsidRPr="00781112">
              <w:rPr>
                <w:rFonts w:cs="Arial"/>
                <w:color w:val="000000" w:themeColor="text1"/>
                <w:szCs w:val="16"/>
              </w:rPr>
              <w:t>Grade 8</w:t>
            </w:r>
          </w:p>
        </w:tc>
        <w:tc>
          <w:tcPr>
            <w:tcW w:w="812" w:type="pct"/>
            <w:shd w:val="clear" w:color="auto" w:fill="auto"/>
          </w:tcPr>
          <w:p w14:paraId="7D22B3FA" w14:textId="258C0B1D" w:rsidR="00E22739" w:rsidRPr="00781112" w:rsidRDefault="00E22739" w:rsidP="00E22739">
            <w:pPr>
              <w:jc w:val="center"/>
              <w:rPr>
                <w:rFonts w:cs="Arial"/>
                <w:color w:val="000000" w:themeColor="text1"/>
                <w:szCs w:val="16"/>
              </w:rPr>
            </w:pPr>
            <w:r w:rsidRPr="00781112">
              <w:rPr>
                <w:rFonts w:cs="Arial"/>
                <w:color w:val="000000"/>
                <w:szCs w:val="16"/>
              </w:rPr>
              <w:t>10.82%</w:t>
            </w:r>
          </w:p>
        </w:tc>
        <w:tc>
          <w:tcPr>
            <w:tcW w:w="812" w:type="pct"/>
            <w:shd w:val="clear" w:color="auto" w:fill="auto"/>
            <w:vAlign w:val="center"/>
          </w:tcPr>
          <w:p w14:paraId="375F78DA" w14:textId="0FC6397A" w:rsidR="00E22739" w:rsidRPr="00781112" w:rsidRDefault="00E22739" w:rsidP="00E22739">
            <w:pPr>
              <w:jc w:val="center"/>
              <w:rPr>
                <w:rFonts w:cs="Arial"/>
                <w:color w:val="000000" w:themeColor="text1"/>
                <w:szCs w:val="16"/>
              </w:rPr>
            </w:pPr>
            <w:r w:rsidRPr="00781112">
              <w:rPr>
                <w:rFonts w:cs="Arial"/>
                <w:color w:val="000000" w:themeColor="text1"/>
                <w:szCs w:val="16"/>
              </w:rPr>
              <w:t>39.20%</w:t>
            </w:r>
          </w:p>
        </w:tc>
        <w:tc>
          <w:tcPr>
            <w:tcW w:w="516" w:type="pct"/>
            <w:shd w:val="clear" w:color="auto" w:fill="auto"/>
            <w:vAlign w:val="center"/>
          </w:tcPr>
          <w:p w14:paraId="64AC26EC" w14:textId="4F9A3CF6" w:rsidR="00E22739" w:rsidRPr="00781112" w:rsidRDefault="00E22739" w:rsidP="00E22739">
            <w:pPr>
              <w:jc w:val="center"/>
              <w:rPr>
                <w:rFonts w:cs="Arial"/>
                <w:color w:val="000000" w:themeColor="text1"/>
                <w:szCs w:val="16"/>
              </w:rPr>
            </w:pPr>
            <w:r w:rsidRPr="00781112">
              <w:rPr>
                <w:rFonts w:cs="Arial"/>
                <w:color w:val="000000" w:themeColor="text1"/>
                <w:szCs w:val="16"/>
              </w:rPr>
              <w:t>26.27</w:t>
            </w:r>
          </w:p>
        </w:tc>
        <w:tc>
          <w:tcPr>
            <w:tcW w:w="517" w:type="pct"/>
            <w:shd w:val="clear" w:color="auto" w:fill="auto"/>
            <w:vAlign w:val="center"/>
          </w:tcPr>
          <w:p w14:paraId="3B5E22DF" w14:textId="033CD131" w:rsidR="00E22739" w:rsidRPr="00781112" w:rsidRDefault="00E22739" w:rsidP="00E22739">
            <w:pPr>
              <w:jc w:val="center"/>
              <w:rPr>
                <w:rFonts w:cs="Arial"/>
                <w:color w:val="000000" w:themeColor="text1"/>
                <w:szCs w:val="16"/>
              </w:rPr>
            </w:pPr>
            <w:r w:rsidRPr="00781112">
              <w:rPr>
                <w:rFonts w:cs="Arial"/>
                <w:color w:val="000000" w:themeColor="text1"/>
                <w:szCs w:val="16"/>
              </w:rPr>
              <w:t>30.82</w:t>
            </w:r>
          </w:p>
        </w:tc>
        <w:tc>
          <w:tcPr>
            <w:tcW w:w="517" w:type="pct"/>
            <w:shd w:val="clear" w:color="auto" w:fill="auto"/>
            <w:vAlign w:val="center"/>
          </w:tcPr>
          <w:p w14:paraId="256C9782" w14:textId="4BEEC361" w:rsidR="00E22739" w:rsidRPr="00781112" w:rsidRDefault="00E22739" w:rsidP="00E22739">
            <w:pPr>
              <w:jc w:val="center"/>
              <w:rPr>
                <w:rFonts w:cs="Arial"/>
                <w:color w:val="000000" w:themeColor="text1"/>
                <w:szCs w:val="16"/>
              </w:rPr>
            </w:pPr>
            <w:r w:rsidRPr="00781112">
              <w:rPr>
                <w:rFonts w:cs="Arial"/>
                <w:color w:val="000000" w:themeColor="text1"/>
                <w:szCs w:val="16"/>
              </w:rPr>
              <w:t>28.38</w:t>
            </w:r>
          </w:p>
        </w:tc>
        <w:tc>
          <w:tcPr>
            <w:tcW w:w="517" w:type="pct"/>
            <w:shd w:val="clear" w:color="auto" w:fill="auto"/>
            <w:vAlign w:val="center"/>
          </w:tcPr>
          <w:p w14:paraId="51FD2F8A" w14:textId="67567519" w:rsidR="00E22739" w:rsidRPr="00781112" w:rsidRDefault="00E22739" w:rsidP="00E22739">
            <w:pPr>
              <w:jc w:val="center"/>
              <w:rPr>
                <w:rFonts w:cs="Arial"/>
                <w:color w:val="000000" w:themeColor="text1"/>
                <w:szCs w:val="16"/>
              </w:rPr>
            </w:pPr>
            <w:r w:rsidRPr="00781112">
              <w:rPr>
                <w:rFonts w:cs="Arial"/>
                <w:color w:val="000000" w:themeColor="text1"/>
                <w:szCs w:val="16"/>
              </w:rPr>
              <w:t>Met target</w:t>
            </w:r>
          </w:p>
        </w:tc>
        <w:tc>
          <w:tcPr>
            <w:tcW w:w="516" w:type="pct"/>
            <w:shd w:val="clear" w:color="auto" w:fill="auto"/>
            <w:vAlign w:val="center"/>
          </w:tcPr>
          <w:p w14:paraId="7915AEC0" w14:textId="2BE183B0" w:rsidR="00E22739" w:rsidRPr="00781112" w:rsidRDefault="00E22739" w:rsidP="00E22739">
            <w:pPr>
              <w:jc w:val="center"/>
              <w:rPr>
                <w:rFonts w:cs="Arial"/>
                <w:color w:val="000000" w:themeColor="text1"/>
                <w:szCs w:val="16"/>
              </w:rPr>
            </w:pPr>
            <w:r w:rsidRPr="00781112">
              <w:rPr>
                <w:rFonts w:cs="Arial"/>
                <w:color w:val="000000" w:themeColor="text1"/>
                <w:szCs w:val="16"/>
              </w:rPr>
              <w:t>No Slippage</w:t>
            </w:r>
          </w:p>
        </w:tc>
      </w:tr>
      <w:tr w:rsidR="00E22739" w:rsidRPr="00781112" w14:paraId="4A60F932" w14:textId="77777777" w:rsidTr="00360DD6">
        <w:tc>
          <w:tcPr>
            <w:tcW w:w="331" w:type="pct"/>
            <w:shd w:val="clear" w:color="auto" w:fill="auto"/>
            <w:vAlign w:val="center"/>
          </w:tcPr>
          <w:p w14:paraId="109942AA" w14:textId="77777777" w:rsidR="00E22739" w:rsidRPr="00781112" w:rsidRDefault="00E22739" w:rsidP="00E22739">
            <w:pPr>
              <w:pStyle w:val="Default"/>
              <w:jc w:val="center"/>
              <w:rPr>
                <w:rFonts w:eastAsiaTheme="minorHAnsi"/>
                <w:color w:val="000000" w:themeColor="text1"/>
                <w:sz w:val="16"/>
                <w:szCs w:val="16"/>
              </w:rPr>
            </w:pPr>
            <w:r w:rsidRPr="00781112">
              <w:rPr>
                <w:b/>
                <w:color w:val="000000" w:themeColor="text1"/>
                <w:sz w:val="16"/>
                <w:szCs w:val="16"/>
              </w:rPr>
              <w:t>C</w:t>
            </w:r>
          </w:p>
        </w:tc>
        <w:tc>
          <w:tcPr>
            <w:tcW w:w="461" w:type="pct"/>
            <w:shd w:val="clear" w:color="auto" w:fill="auto"/>
            <w:vAlign w:val="center"/>
          </w:tcPr>
          <w:p w14:paraId="629F3FBC" w14:textId="78934061" w:rsidR="00E22739" w:rsidRPr="00781112" w:rsidDel="00DE5045" w:rsidRDefault="00E22739" w:rsidP="00E22739">
            <w:pPr>
              <w:jc w:val="center"/>
              <w:rPr>
                <w:rFonts w:cs="Arial"/>
                <w:color w:val="000000" w:themeColor="text1"/>
                <w:szCs w:val="16"/>
              </w:rPr>
            </w:pPr>
            <w:r w:rsidRPr="00781112">
              <w:rPr>
                <w:rFonts w:cs="Arial"/>
                <w:color w:val="000000" w:themeColor="text1"/>
                <w:szCs w:val="16"/>
              </w:rPr>
              <w:t>Grade HS</w:t>
            </w:r>
          </w:p>
        </w:tc>
        <w:tc>
          <w:tcPr>
            <w:tcW w:w="812" w:type="pct"/>
            <w:shd w:val="clear" w:color="auto" w:fill="auto"/>
          </w:tcPr>
          <w:p w14:paraId="125CF02F" w14:textId="284CB419" w:rsidR="00E22739" w:rsidRPr="00781112" w:rsidRDefault="00E22739" w:rsidP="00E22739">
            <w:pPr>
              <w:jc w:val="center"/>
              <w:rPr>
                <w:rFonts w:cs="Arial"/>
                <w:color w:val="000000" w:themeColor="text1"/>
                <w:szCs w:val="16"/>
              </w:rPr>
            </w:pPr>
            <w:r w:rsidRPr="00781112">
              <w:rPr>
                <w:rFonts w:cs="Arial"/>
                <w:color w:val="000000"/>
                <w:szCs w:val="16"/>
              </w:rPr>
              <w:t>7.67%</w:t>
            </w:r>
          </w:p>
        </w:tc>
        <w:tc>
          <w:tcPr>
            <w:tcW w:w="812" w:type="pct"/>
            <w:shd w:val="clear" w:color="auto" w:fill="auto"/>
            <w:vAlign w:val="center"/>
          </w:tcPr>
          <w:p w14:paraId="1276E93C" w14:textId="75BFB41B" w:rsidR="00E22739" w:rsidRPr="00781112" w:rsidRDefault="00E22739" w:rsidP="00E22739">
            <w:pPr>
              <w:jc w:val="center"/>
              <w:rPr>
                <w:rFonts w:cs="Arial"/>
                <w:color w:val="000000" w:themeColor="text1"/>
                <w:szCs w:val="16"/>
              </w:rPr>
            </w:pPr>
            <w:r w:rsidRPr="00781112">
              <w:rPr>
                <w:rFonts w:cs="Arial"/>
                <w:color w:val="000000" w:themeColor="text1"/>
                <w:szCs w:val="16"/>
              </w:rPr>
              <w:t>35.56%</w:t>
            </w:r>
          </w:p>
        </w:tc>
        <w:tc>
          <w:tcPr>
            <w:tcW w:w="516" w:type="pct"/>
            <w:shd w:val="clear" w:color="auto" w:fill="auto"/>
            <w:vAlign w:val="center"/>
          </w:tcPr>
          <w:p w14:paraId="76DE5213" w14:textId="3C97B5A2" w:rsidR="00E22739" w:rsidRPr="00781112" w:rsidRDefault="00E22739" w:rsidP="00E22739">
            <w:pPr>
              <w:jc w:val="center"/>
              <w:rPr>
                <w:rFonts w:cs="Arial"/>
                <w:color w:val="000000" w:themeColor="text1"/>
                <w:szCs w:val="16"/>
              </w:rPr>
            </w:pPr>
            <w:r w:rsidRPr="00781112">
              <w:rPr>
                <w:rFonts w:cs="Arial"/>
                <w:color w:val="000000" w:themeColor="text1"/>
                <w:szCs w:val="16"/>
              </w:rPr>
              <w:t>26.79</w:t>
            </w:r>
          </w:p>
        </w:tc>
        <w:tc>
          <w:tcPr>
            <w:tcW w:w="517" w:type="pct"/>
            <w:shd w:val="clear" w:color="auto" w:fill="auto"/>
            <w:vAlign w:val="center"/>
          </w:tcPr>
          <w:p w14:paraId="49FF9458" w14:textId="166D5425" w:rsidR="00E22739" w:rsidRPr="00781112" w:rsidRDefault="00E22739" w:rsidP="00E22739">
            <w:pPr>
              <w:jc w:val="center"/>
              <w:rPr>
                <w:rFonts w:cs="Arial"/>
                <w:color w:val="000000" w:themeColor="text1"/>
                <w:szCs w:val="16"/>
              </w:rPr>
            </w:pPr>
            <w:r w:rsidRPr="00781112">
              <w:rPr>
                <w:rFonts w:cs="Arial"/>
                <w:color w:val="000000" w:themeColor="text1"/>
                <w:szCs w:val="16"/>
              </w:rPr>
              <w:t>39.00</w:t>
            </w:r>
          </w:p>
        </w:tc>
        <w:tc>
          <w:tcPr>
            <w:tcW w:w="517" w:type="pct"/>
            <w:shd w:val="clear" w:color="auto" w:fill="auto"/>
            <w:vAlign w:val="center"/>
          </w:tcPr>
          <w:p w14:paraId="6CEACE1B" w14:textId="242A6B31" w:rsidR="00E22739" w:rsidRPr="00781112" w:rsidRDefault="00E22739" w:rsidP="00E22739">
            <w:pPr>
              <w:jc w:val="center"/>
              <w:rPr>
                <w:rFonts w:cs="Arial"/>
                <w:color w:val="000000" w:themeColor="text1"/>
                <w:szCs w:val="16"/>
              </w:rPr>
            </w:pPr>
            <w:r w:rsidRPr="00781112">
              <w:rPr>
                <w:rFonts w:cs="Arial"/>
                <w:color w:val="000000" w:themeColor="text1"/>
                <w:szCs w:val="16"/>
              </w:rPr>
              <w:t>27.88</w:t>
            </w:r>
          </w:p>
        </w:tc>
        <w:tc>
          <w:tcPr>
            <w:tcW w:w="517" w:type="pct"/>
            <w:shd w:val="clear" w:color="auto" w:fill="auto"/>
            <w:vAlign w:val="center"/>
          </w:tcPr>
          <w:p w14:paraId="06F1CF5C" w14:textId="7AA9C548" w:rsidR="00E22739" w:rsidRPr="00781112" w:rsidRDefault="00E22739" w:rsidP="00E22739">
            <w:pPr>
              <w:jc w:val="center"/>
              <w:rPr>
                <w:rFonts w:cs="Arial"/>
                <w:color w:val="000000" w:themeColor="text1"/>
                <w:szCs w:val="16"/>
              </w:rPr>
            </w:pPr>
            <w:r w:rsidRPr="00781112">
              <w:rPr>
                <w:rFonts w:cs="Arial"/>
                <w:color w:val="000000" w:themeColor="text1"/>
                <w:szCs w:val="16"/>
              </w:rPr>
              <w:t>Met target</w:t>
            </w:r>
          </w:p>
        </w:tc>
        <w:tc>
          <w:tcPr>
            <w:tcW w:w="516" w:type="pct"/>
            <w:shd w:val="clear" w:color="auto" w:fill="auto"/>
            <w:vAlign w:val="center"/>
          </w:tcPr>
          <w:p w14:paraId="05AC9F1E" w14:textId="1D3DD5BD" w:rsidR="00E22739" w:rsidRPr="00781112" w:rsidRDefault="00E22739" w:rsidP="00E22739">
            <w:pPr>
              <w:jc w:val="center"/>
              <w:rPr>
                <w:rFonts w:cs="Arial"/>
                <w:color w:val="000000" w:themeColor="text1"/>
                <w:szCs w:val="16"/>
              </w:rPr>
            </w:pPr>
            <w:r w:rsidRPr="00781112">
              <w:rPr>
                <w:rFonts w:cs="Arial"/>
                <w:color w:val="000000" w:themeColor="text1"/>
                <w:szCs w:val="16"/>
              </w:rPr>
              <w:t>No Slippage</w:t>
            </w:r>
          </w:p>
        </w:tc>
      </w:tr>
    </w:tbl>
    <w:p w14:paraId="006E999D" w14:textId="77777777" w:rsidR="00DD5B7A" w:rsidRPr="00781112" w:rsidRDefault="00DD5B7A" w:rsidP="00DD5B7A">
      <w:pPr>
        <w:spacing w:before="0" w:after="200" w:line="276" w:lineRule="auto"/>
        <w:rPr>
          <w:b/>
          <w:color w:val="000000" w:themeColor="text1"/>
        </w:rPr>
      </w:pPr>
    </w:p>
    <w:p w14:paraId="2E07CCBD" w14:textId="23A41B02" w:rsidR="00DD5B7A" w:rsidRPr="00781112" w:rsidRDefault="0047313F" w:rsidP="00DD5B7A">
      <w:pPr>
        <w:rPr>
          <w:b/>
          <w:color w:val="000000" w:themeColor="text1"/>
        </w:rPr>
      </w:pPr>
      <w:r>
        <w:rPr>
          <w:b/>
          <w:color w:val="000000" w:themeColor="text1"/>
        </w:rPr>
        <w:t>FFY 2022 SPP/APR Data: Math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DFFYAPDATAMTH"/>
      </w:tblPr>
      <w:tblGrid>
        <w:gridCol w:w="715"/>
        <w:gridCol w:w="995"/>
        <w:gridCol w:w="1800"/>
        <w:gridCol w:w="1800"/>
        <w:gridCol w:w="1096"/>
        <w:gridCol w:w="1096"/>
        <w:gridCol w:w="1096"/>
        <w:gridCol w:w="1096"/>
        <w:gridCol w:w="1096"/>
      </w:tblGrid>
      <w:tr w:rsidR="00FA33C9" w:rsidRPr="00781112" w14:paraId="6355AB57" w14:textId="77777777" w:rsidTr="001B7E95">
        <w:trPr>
          <w:tblHeader/>
        </w:trPr>
        <w:tc>
          <w:tcPr>
            <w:tcW w:w="331" w:type="pct"/>
            <w:shd w:val="clear" w:color="auto" w:fill="auto"/>
            <w:vAlign w:val="bottom"/>
          </w:tcPr>
          <w:p w14:paraId="7C464B0B" w14:textId="77777777" w:rsidR="00FA33C9" w:rsidRPr="00781112" w:rsidRDefault="00FA33C9" w:rsidP="00FA33C9">
            <w:pPr>
              <w:jc w:val="center"/>
              <w:rPr>
                <w:b/>
                <w:color w:val="000000" w:themeColor="text1"/>
              </w:rPr>
            </w:pPr>
            <w:r w:rsidRPr="00781112">
              <w:rPr>
                <w:b/>
                <w:color w:val="000000" w:themeColor="text1"/>
              </w:rPr>
              <w:t>Group</w:t>
            </w:r>
          </w:p>
        </w:tc>
        <w:tc>
          <w:tcPr>
            <w:tcW w:w="461" w:type="pct"/>
            <w:shd w:val="clear" w:color="auto" w:fill="auto"/>
            <w:vAlign w:val="bottom"/>
          </w:tcPr>
          <w:p w14:paraId="2FB9EF47" w14:textId="77777777" w:rsidR="00FA33C9" w:rsidRPr="00781112" w:rsidRDefault="00FA33C9" w:rsidP="00FA33C9">
            <w:pPr>
              <w:jc w:val="center"/>
              <w:rPr>
                <w:b/>
                <w:color w:val="000000" w:themeColor="text1"/>
              </w:rPr>
            </w:pPr>
            <w:r w:rsidRPr="00781112">
              <w:rPr>
                <w:b/>
                <w:color w:val="000000" w:themeColor="text1"/>
              </w:rPr>
              <w:t>Group Name</w:t>
            </w:r>
          </w:p>
        </w:tc>
        <w:tc>
          <w:tcPr>
            <w:tcW w:w="834" w:type="pct"/>
            <w:shd w:val="clear" w:color="auto" w:fill="auto"/>
            <w:vAlign w:val="bottom"/>
          </w:tcPr>
          <w:p w14:paraId="0B1D45D9" w14:textId="51C28093" w:rsidR="00FA33C9" w:rsidRPr="00781112" w:rsidRDefault="00FA33C9" w:rsidP="00FA33C9">
            <w:pPr>
              <w:jc w:val="center"/>
              <w:rPr>
                <w:b/>
                <w:bCs/>
                <w:color w:val="000000" w:themeColor="text1"/>
              </w:rPr>
            </w:pPr>
            <w:r w:rsidRPr="00781112">
              <w:rPr>
                <w:b/>
                <w:bCs/>
              </w:rPr>
              <w:t xml:space="preserve">Proficiency rate for children with IEPs scoring at or above proficient against grade level academic achievement standards </w:t>
            </w:r>
          </w:p>
        </w:tc>
        <w:tc>
          <w:tcPr>
            <w:tcW w:w="834" w:type="pct"/>
            <w:shd w:val="clear" w:color="auto" w:fill="auto"/>
            <w:vAlign w:val="bottom"/>
          </w:tcPr>
          <w:p w14:paraId="7D0D3B25" w14:textId="708C001A" w:rsidR="00FA33C9" w:rsidRPr="00781112" w:rsidRDefault="00FA33C9" w:rsidP="00FA33C9">
            <w:pPr>
              <w:jc w:val="center"/>
              <w:rPr>
                <w:b/>
                <w:bCs/>
                <w:color w:val="000000" w:themeColor="text1"/>
              </w:rPr>
            </w:pPr>
            <w:r w:rsidRPr="00781112">
              <w:rPr>
                <w:b/>
                <w:bCs/>
              </w:rPr>
              <w:t xml:space="preserve">Proficiency rate for all students scoring at or above proficient against grade level academic achievement standards </w:t>
            </w:r>
          </w:p>
        </w:tc>
        <w:tc>
          <w:tcPr>
            <w:tcW w:w="508" w:type="pct"/>
            <w:shd w:val="clear" w:color="auto" w:fill="auto"/>
            <w:vAlign w:val="bottom"/>
          </w:tcPr>
          <w:p w14:paraId="7FA2E5CF" w14:textId="69ACD651" w:rsidR="00FA33C9" w:rsidRPr="00073BD7" w:rsidRDefault="00FA33C9" w:rsidP="00FA33C9">
            <w:pPr>
              <w:jc w:val="center"/>
              <w:rPr>
                <w:b/>
                <w:bCs/>
                <w:color w:val="000000" w:themeColor="text1"/>
              </w:rPr>
            </w:pPr>
            <w:r w:rsidRPr="00073BD7">
              <w:rPr>
                <w:b/>
                <w:bCs/>
              </w:rPr>
              <w:t>FFY 2021 Data</w:t>
            </w:r>
          </w:p>
        </w:tc>
        <w:tc>
          <w:tcPr>
            <w:tcW w:w="508" w:type="pct"/>
            <w:shd w:val="clear" w:color="auto" w:fill="auto"/>
            <w:vAlign w:val="bottom"/>
          </w:tcPr>
          <w:p w14:paraId="275741A5" w14:textId="26A6E347" w:rsidR="00FA33C9" w:rsidRPr="00073BD7" w:rsidRDefault="00FA33C9" w:rsidP="00FA33C9">
            <w:pPr>
              <w:jc w:val="center"/>
              <w:rPr>
                <w:b/>
                <w:bCs/>
                <w:color w:val="000000" w:themeColor="text1"/>
              </w:rPr>
            </w:pPr>
            <w:r w:rsidRPr="00073BD7">
              <w:rPr>
                <w:b/>
                <w:bCs/>
              </w:rPr>
              <w:t>FFY 2022 Target</w:t>
            </w:r>
          </w:p>
        </w:tc>
        <w:tc>
          <w:tcPr>
            <w:tcW w:w="508" w:type="pct"/>
            <w:shd w:val="clear" w:color="auto" w:fill="auto"/>
            <w:vAlign w:val="bottom"/>
          </w:tcPr>
          <w:p w14:paraId="597E0BC4" w14:textId="6B69EC50" w:rsidR="00FA33C9" w:rsidRPr="00073BD7" w:rsidRDefault="00FA33C9" w:rsidP="00FA33C9">
            <w:pPr>
              <w:jc w:val="center"/>
              <w:rPr>
                <w:b/>
                <w:bCs/>
                <w:color w:val="000000" w:themeColor="text1"/>
              </w:rPr>
            </w:pPr>
            <w:r w:rsidRPr="00073BD7">
              <w:rPr>
                <w:b/>
                <w:bCs/>
              </w:rPr>
              <w:t>FFY 2022 Data</w:t>
            </w:r>
          </w:p>
        </w:tc>
        <w:tc>
          <w:tcPr>
            <w:tcW w:w="508" w:type="pct"/>
            <w:shd w:val="clear" w:color="auto" w:fill="auto"/>
            <w:vAlign w:val="bottom"/>
          </w:tcPr>
          <w:p w14:paraId="53963A37" w14:textId="77777777" w:rsidR="00FA33C9" w:rsidRPr="00781112" w:rsidRDefault="00FA33C9" w:rsidP="00FA33C9">
            <w:pPr>
              <w:jc w:val="center"/>
              <w:rPr>
                <w:b/>
                <w:color w:val="000000" w:themeColor="text1"/>
              </w:rPr>
            </w:pPr>
            <w:r w:rsidRPr="00781112">
              <w:rPr>
                <w:b/>
                <w:color w:val="000000" w:themeColor="text1"/>
              </w:rPr>
              <w:t>Status</w:t>
            </w:r>
          </w:p>
        </w:tc>
        <w:tc>
          <w:tcPr>
            <w:tcW w:w="508" w:type="pct"/>
            <w:shd w:val="clear" w:color="auto" w:fill="auto"/>
            <w:vAlign w:val="bottom"/>
          </w:tcPr>
          <w:p w14:paraId="45442BEB" w14:textId="77777777" w:rsidR="00FA33C9" w:rsidRPr="00781112" w:rsidRDefault="00FA33C9" w:rsidP="00FA33C9">
            <w:pPr>
              <w:jc w:val="center"/>
              <w:rPr>
                <w:b/>
                <w:color w:val="000000" w:themeColor="text1"/>
              </w:rPr>
            </w:pPr>
            <w:r w:rsidRPr="00781112">
              <w:rPr>
                <w:b/>
                <w:color w:val="000000" w:themeColor="text1"/>
              </w:rPr>
              <w:t>Slippage</w:t>
            </w:r>
          </w:p>
        </w:tc>
      </w:tr>
      <w:tr w:rsidR="00C95D2E" w:rsidRPr="00781112" w14:paraId="37123996" w14:textId="77777777" w:rsidTr="001B7E95">
        <w:tc>
          <w:tcPr>
            <w:tcW w:w="331" w:type="pct"/>
            <w:shd w:val="clear" w:color="auto" w:fill="auto"/>
            <w:vAlign w:val="center"/>
          </w:tcPr>
          <w:p w14:paraId="689B01B1" w14:textId="77777777" w:rsidR="002A19C8" w:rsidRPr="00781112" w:rsidRDefault="002A19C8" w:rsidP="002A19C8">
            <w:pPr>
              <w:pStyle w:val="Default"/>
              <w:jc w:val="center"/>
              <w:rPr>
                <w:rFonts w:eastAsiaTheme="minorHAnsi"/>
                <w:color w:val="000000" w:themeColor="text1"/>
                <w:sz w:val="16"/>
                <w:szCs w:val="16"/>
              </w:rPr>
            </w:pPr>
            <w:r w:rsidRPr="00781112">
              <w:rPr>
                <w:b/>
                <w:color w:val="000000" w:themeColor="text1"/>
                <w:sz w:val="16"/>
                <w:szCs w:val="16"/>
              </w:rPr>
              <w:t>A</w:t>
            </w:r>
          </w:p>
        </w:tc>
        <w:tc>
          <w:tcPr>
            <w:tcW w:w="461" w:type="pct"/>
            <w:shd w:val="clear" w:color="auto" w:fill="auto"/>
            <w:vAlign w:val="center"/>
          </w:tcPr>
          <w:p w14:paraId="1D9CE262" w14:textId="508A4023" w:rsidR="002A19C8" w:rsidRPr="00781112" w:rsidDel="00DE5045" w:rsidRDefault="002A19C8" w:rsidP="002A19C8">
            <w:pPr>
              <w:jc w:val="center"/>
              <w:rPr>
                <w:rFonts w:cs="Arial"/>
                <w:color w:val="000000" w:themeColor="text1"/>
                <w:szCs w:val="16"/>
              </w:rPr>
            </w:pPr>
            <w:r w:rsidRPr="00781112">
              <w:rPr>
                <w:rFonts w:cs="Arial"/>
                <w:color w:val="000000" w:themeColor="text1"/>
                <w:szCs w:val="16"/>
              </w:rPr>
              <w:t>Grade 4</w:t>
            </w:r>
          </w:p>
        </w:tc>
        <w:tc>
          <w:tcPr>
            <w:tcW w:w="834" w:type="pct"/>
            <w:shd w:val="clear" w:color="auto" w:fill="auto"/>
            <w:vAlign w:val="center"/>
          </w:tcPr>
          <w:p w14:paraId="26A57F7A" w14:textId="09E9CA5E" w:rsidR="002A19C8" w:rsidRPr="00781112" w:rsidRDefault="002A19C8" w:rsidP="002A19C8">
            <w:pPr>
              <w:jc w:val="center"/>
              <w:rPr>
                <w:rFonts w:cs="Arial"/>
                <w:color w:val="000000" w:themeColor="text1"/>
                <w:szCs w:val="16"/>
              </w:rPr>
            </w:pPr>
            <w:r w:rsidRPr="00781112">
              <w:rPr>
                <w:rFonts w:cs="Arial"/>
                <w:color w:val="000000"/>
                <w:szCs w:val="16"/>
              </w:rPr>
              <w:t>7.57%</w:t>
            </w:r>
          </w:p>
        </w:tc>
        <w:tc>
          <w:tcPr>
            <w:tcW w:w="834" w:type="pct"/>
            <w:shd w:val="clear" w:color="auto" w:fill="auto"/>
            <w:vAlign w:val="center"/>
          </w:tcPr>
          <w:p w14:paraId="361835CD" w14:textId="59029D06" w:rsidR="002A19C8" w:rsidRPr="00781112" w:rsidRDefault="002A19C8" w:rsidP="002A19C8">
            <w:pPr>
              <w:jc w:val="center"/>
              <w:rPr>
                <w:rFonts w:cs="Arial"/>
                <w:color w:val="000000" w:themeColor="text1"/>
                <w:szCs w:val="16"/>
              </w:rPr>
            </w:pPr>
            <w:r w:rsidRPr="00781112">
              <w:rPr>
                <w:rFonts w:cs="Arial"/>
                <w:color w:val="000000" w:themeColor="text1"/>
                <w:szCs w:val="16"/>
              </w:rPr>
              <w:t>24.19%</w:t>
            </w:r>
          </w:p>
        </w:tc>
        <w:tc>
          <w:tcPr>
            <w:tcW w:w="508" w:type="pct"/>
            <w:shd w:val="clear" w:color="auto" w:fill="auto"/>
            <w:vAlign w:val="center"/>
          </w:tcPr>
          <w:p w14:paraId="59D4C214" w14:textId="5AA8261A" w:rsidR="002A19C8" w:rsidRPr="00781112" w:rsidRDefault="002A19C8" w:rsidP="002A19C8">
            <w:pPr>
              <w:jc w:val="center"/>
              <w:rPr>
                <w:rFonts w:cs="Arial"/>
                <w:color w:val="000000" w:themeColor="text1"/>
                <w:szCs w:val="16"/>
              </w:rPr>
            </w:pPr>
            <w:r w:rsidRPr="00781112">
              <w:rPr>
                <w:rFonts w:cs="Arial"/>
                <w:color w:val="000000" w:themeColor="text1"/>
                <w:szCs w:val="16"/>
              </w:rPr>
              <w:t>18.29</w:t>
            </w:r>
          </w:p>
        </w:tc>
        <w:tc>
          <w:tcPr>
            <w:tcW w:w="508" w:type="pct"/>
            <w:shd w:val="clear" w:color="auto" w:fill="auto"/>
            <w:vAlign w:val="center"/>
          </w:tcPr>
          <w:p w14:paraId="5226537A" w14:textId="04AA78B1" w:rsidR="002A19C8" w:rsidRPr="00781112" w:rsidRDefault="002A19C8" w:rsidP="002A19C8">
            <w:pPr>
              <w:jc w:val="center"/>
              <w:rPr>
                <w:rFonts w:cs="Arial"/>
                <w:color w:val="000000" w:themeColor="text1"/>
                <w:szCs w:val="16"/>
              </w:rPr>
            </w:pPr>
            <w:r w:rsidRPr="00781112">
              <w:rPr>
                <w:rFonts w:cs="Arial"/>
                <w:color w:val="000000" w:themeColor="text1"/>
                <w:szCs w:val="16"/>
              </w:rPr>
              <w:t>10.74</w:t>
            </w:r>
          </w:p>
        </w:tc>
        <w:tc>
          <w:tcPr>
            <w:tcW w:w="508" w:type="pct"/>
            <w:shd w:val="clear" w:color="auto" w:fill="auto"/>
            <w:vAlign w:val="center"/>
          </w:tcPr>
          <w:p w14:paraId="235D63D6" w14:textId="6BEC0204" w:rsidR="002A19C8" w:rsidRPr="00781112" w:rsidRDefault="002A19C8" w:rsidP="002A19C8">
            <w:pPr>
              <w:jc w:val="center"/>
              <w:rPr>
                <w:rFonts w:cs="Arial"/>
                <w:color w:val="000000" w:themeColor="text1"/>
                <w:szCs w:val="16"/>
              </w:rPr>
            </w:pPr>
            <w:r w:rsidRPr="00781112">
              <w:rPr>
                <w:rFonts w:cs="Arial"/>
                <w:color w:val="000000" w:themeColor="text1"/>
                <w:szCs w:val="16"/>
              </w:rPr>
              <w:t>16.62</w:t>
            </w:r>
          </w:p>
        </w:tc>
        <w:tc>
          <w:tcPr>
            <w:tcW w:w="508" w:type="pct"/>
            <w:shd w:val="clear" w:color="auto" w:fill="auto"/>
            <w:vAlign w:val="center"/>
          </w:tcPr>
          <w:p w14:paraId="50CBCD87" w14:textId="7E9D9F0C" w:rsidR="002A19C8" w:rsidRPr="00781112" w:rsidRDefault="002A19C8" w:rsidP="002A19C8">
            <w:pPr>
              <w:jc w:val="center"/>
              <w:rPr>
                <w:rFonts w:cs="Arial"/>
                <w:color w:val="000000" w:themeColor="text1"/>
                <w:szCs w:val="16"/>
              </w:rPr>
            </w:pPr>
            <w:r w:rsidRPr="00781112">
              <w:rPr>
                <w:rFonts w:cs="Arial"/>
                <w:color w:val="000000" w:themeColor="text1"/>
                <w:szCs w:val="16"/>
              </w:rPr>
              <w:t>Did not meet target</w:t>
            </w:r>
          </w:p>
        </w:tc>
        <w:tc>
          <w:tcPr>
            <w:tcW w:w="508" w:type="pct"/>
            <w:shd w:val="clear" w:color="auto" w:fill="auto"/>
            <w:vAlign w:val="center"/>
          </w:tcPr>
          <w:p w14:paraId="35988424" w14:textId="54CE90DF" w:rsidR="002A19C8" w:rsidRPr="00781112" w:rsidRDefault="002A19C8" w:rsidP="002A19C8">
            <w:pPr>
              <w:jc w:val="center"/>
              <w:rPr>
                <w:rFonts w:cs="Arial"/>
                <w:color w:val="000000" w:themeColor="text1"/>
                <w:szCs w:val="16"/>
              </w:rPr>
            </w:pPr>
            <w:r w:rsidRPr="00781112">
              <w:rPr>
                <w:rFonts w:cs="Arial"/>
                <w:color w:val="000000" w:themeColor="text1"/>
                <w:szCs w:val="16"/>
              </w:rPr>
              <w:t>No Slippage</w:t>
            </w:r>
          </w:p>
        </w:tc>
      </w:tr>
      <w:tr w:rsidR="00C95D2E" w:rsidRPr="00781112" w14:paraId="0DE5EFED" w14:textId="77777777" w:rsidTr="001B7E95">
        <w:tc>
          <w:tcPr>
            <w:tcW w:w="331" w:type="pct"/>
            <w:shd w:val="clear" w:color="auto" w:fill="auto"/>
            <w:vAlign w:val="center"/>
          </w:tcPr>
          <w:p w14:paraId="51380788" w14:textId="77777777" w:rsidR="002A19C8" w:rsidRPr="00781112" w:rsidRDefault="002A19C8" w:rsidP="002A19C8">
            <w:pPr>
              <w:pStyle w:val="Default"/>
              <w:jc w:val="center"/>
              <w:rPr>
                <w:rFonts w:eastAsiaTheme="minorHAnsi"/>
                <w:color w:val="000000" w:themeColor="text1"/>
                <w:sz w:val="16"/>
                <w:szCs w:val="16"/>
              </w:rPr>
            </w:pPr>
            <w:r w:rsidRPr="00781112">
              <w:rPr>
                <w:b/>
                <w:color w:val="000000" w:themeColor="text1"/>
                <w:sz w:val="16"/>
                <w:szCs w:val="16"/>
              </w:rPr>
              <w:t>B</w:t>
            </w:r>
          </w:p>
        </w:tc>
        <w:tc>
          <w:tcPr>
            <w:tcW w:w="461" w:type="pct"/>
            <w:shd w:val="clear" w:color="auto" w:fill="auto"/>
            <w:vAlign w:val="center"/>
          </w:tcPr>
          <w:p w14:paraId="6D85D6A7" w14:textId="5558F45F" w:rsidR="002A19C8" w:rsidRPr="00781112" w:rsidDel="00DE5045" w:rsidRDefault="002A19C8" w:rsidP="002A19C8">
            <w:pPr>
              <w:jc w:val="center"/>
              <w:rPr>
                <w:rFonts w:cs="Arial"/>
                <w:color w:val="000000" w:themeColor="text1"/>
                <w:szCs w:val="16"/>
              </w:rPr>
            </w:pPr>
            <w:r w:rsidRPr="00781112">
              <w:rPr>
                <w:rFonts w:cs="Arial"/>
                <w:color w:val="000000" w:themeColor="text1"/>
                <w:szCs w:val="16"/>
              </w:rPr>
              <w:t>Grade 8</w:t>
            </w:r>
          </w:p>
        </w:tc>
        <w:tc>
          <w:tcPr>
            <w:tcW w:w="834" w:type="pct"/>
            <w:shd w:val="clear" w:color="auto" w:fill="auto"/>
            <w:vAlign w:val="center"/>
          </w:tcPr>
          <w:p w14:paraId="4288B43D" w14:textId="3B77409B" w:rsidR="002A19C8" w:rsidRPr="00781112" w:rsidRDefault="002A19C8" w:rsidP="002A19C8">
            <w:pPr>
              <w:jc w:val="center"/>
              <w:rPr>
                <w:rFonts w:cs="Arial"/>
                <w:color w:val="000000" w:themeColor="text1"/>
                <w:szCs w:val="16"/>
              </w:rPr>
            </w:pPr>
            <w:r w:rsidRPr="00781112">
              <w:rPr>
                <w:rFonts w:cs="Arial"/>
                <w:color w:val="000000"/>
                <w:szCs w:val="16"/>
              </w:rPr>
              <w:t>3.31%</w:t>
            </w:r>
          </w:p>
        </w:tc>
        <w:tc>
          <w:tcPr>
            <w:tcW w:w="834" w:type="pct"/>
            <w:shd w:val="clear" w:color="auto" w:fill="auto"/>
            <w:vAlign w:val="center"/>
          </w:tcPr>
          <w:p w14:paraId="11774D79" w14:textId="6519EED1" w:rsidR="002A19C8" w:rsidRPr="00781112" w:rsidRDefault="002A19C8" w:rsidP="002A19C8">
            <w:pPr>
              <w:jc w:val="center"/>
              <w:rPr>
                <w:rFonts w:cs="Arial"/>
                <w:color w:val="000000" w:themeColor="text1"/>
                <w:szCs w:val="16"/>
              </w:rPr>
            </w:pPr>
            <w:r w:rsidRPr="00781112">
              <w:rPr>
                <w:rFonts w:cs="Arial"/>
                <w:color w:val="000000" w:themeColor="text1"/>
                <w:szCs w:val="16"/>
              </w:rPr>
              <w:t>18.57%</w:t>
            </w:r>
          </w:p>
        </w:tc>
        <w:tc>
          <w:tcPr>
            <w:tcW w:w="508" w:type="pct"/>
            <w:shd w:val="clear" w:color="auto" w:fill="auto"/>
            <w:vAlign w:val="center"/>
          </w:tcPr>
          <w:p w14:paraId="28E3CF1C" w14:textId="69751C29" w:rsidR="002A19C8" w:rsidRPr="00781112" w:rsidRDefault="002A19C8" w:rsidP="002A19C8">
            <w:pPr>
              <w:jc w:val="center"/>
              <w:rPr>
                <w:rFonts w:cs="Arial"/>
                <w:color w:val="000000" w:themeColor="text1"/>
                <w:szCs w:val="16"/>
              </w:rPr>
            </w:pPr>
            <w:r w:rsidRPr="00781112">
              <w:rPr>
                <w:rFonts w:cs="Arial"/>
                <w:color w:val="000000" w:themeColor="text1"/>
                <w:szCs w:val="16"/>
              </w:rPr>
              <w:t>17.01</w:t>
            </w:r>
          </w:p>
        </w:tc>
        <w:tc>
          <w:tcPr>
            <w:tcW w:w="508" w:type="pct"/>
            <w:shd w:val="clear" w:color="auto" w:fill="auto"/>
            <w:vAlign w:val="center"/>
          </w:tcPr>
          <w:p w14:paraId="468D28D5" w14:textId="3BD9025E" w:rsidR="002A19C8" w:rsidRPr="00781112" w:rsidRDefault="002A19C8" w:rsidP="002A19C8">
            <w:pPr>
              <w:jc w:val="center"/>
              <w:rPr>
                <w:rFonts w:cs="Arial"/>
                <w:color w:val="000000" w:themeColor="text1"/>
                <w:szCs w:val="16"/>
              </w:rPr>
            </w:pPr>
            <w:r w:rsidRPr="00781112">
              <w:rPr>
                <w:rFonts w:cs="Arial"/>
                <w:color w:val="000000" w:themeColor="text1"/>
                <w:szCs w:val="16"/>
              </w:rPr>
              <w:t>9.66</w:t>
            </w:r>
          </w:p>
        </w:tc>
        <w:tc>
          <w:tcPr>
            <w:tcW w:w="508" w:type="pct"/>
            <w:shd w:val="clear" w:color="auto" w:fill="auto"/>
            <w:vAlign w:val="center"/>
          </w:tcPr>
          <w:p w14:paraId="30644E0B" w14:textId="37C215BA" w:rsidR="002A19C8" w:rsidRPr="00781112" w:rsidRDefault="002A19C8" w:rsidP="002A19C8">
            <w:pPr>
              <w:jc w:val="center"/>
              <w:rPr>
                <w:rFonts w:cs="Arial"/>
                <w:color w:val="000000" w:themeColor="text1"/>
                <w:szCs w:val="16"/>
              </w:rPr>
            </w:pPr>
            <w:r w:rsidRPr="00781112">
              <w:rPr>
                <w:rFonts w:cs="Arial"/>
                <w:color w:val="000000" w:themeColor="text1"/>
                <w:szCs w:val="16"/>
              </w:rPr>
              <w:t>15.26</w:t>
            </w:r>
          </w:p>
        </w:tc>
        <w:tc>
          <w:tcPr>
            <w:tcW w:w="508" w:type="pct"/>
            <w:shd w:val="clear" w:color="auto" w:fill="auto"/>
            <w:vAlign w:val="center"/>
          </w:tcPr>
          <w:p w14:paraId="1312CD99" w14:textId="5541B25D" w:rsidR="002A19C8" w:rsidRPr="00781112" w:rsidRDefault="002A19C8" w:rsidP="002A19C8">
            <w:pPr>
              <w:jc w:val="center"/>
              <w:rPr>
                <w:rFonts w:cs="Arial"/>
                <w:color w:val="000000" w:themeColor="text1"/>
                <w:szCs w:val="16"/>
              </w:rPr>
            </w:pPr>
            <w:r w:rsidRPr="00781112">
              <w:rPr>
                <w:rFonts w:cs="Arial"/>
                <w:color w:val="000000" w:themeColor="text1"/>
                <w:szCs w:val="16"/>
              </w:rPr>
              <w:t>Did not meet target</w:t>
            </w:r>
          </w:p>
        </w:tc>
        <w:tc>
          <w:tcPr>
            <w:tcW w:w="508" w:type="pct"/>
            <w:shd w:val="clear" w:color="auto" w:fill="auto"/>
            <w:vAlign w:val="center"/>
          </w:tcPr>
          <w:p w14:paraId="536612A4" w14:textId="60F48CB2" w:rsidR="002A19C8" w:rsidRPr="00781112" w:rsidRDefault="002A19C8" w:rsidP="002A19C8">
            <w:pPr>
              <w:jc w:val="center"/>
              <w:rPr>
                <w:rFonts w:cs="Arial"/>
                <w:color w:val="000000" w:themeColor="text1"/>
                <w:szCs w:val="16"/>
              </w:rPr>
            </w:pPr>
            <w:r w:rsidRPr="00781112">
              <w:rPr>
                <w:rFonts w:cs="Arial"/>
                <w:color w:val="000000" w:themeColor="text1"/>
                <w:szCs w:val="16"/>
              </w:rPr>
              <w:t>No Slippage</w:t>
            </w:r>
          </w:p>
        </w:tc>
      </w:tr>
      <w:tr w:rsidR="00C95D2E" w:rsidRPr="00781112" w14:paraId="36AFD504" w14:textId="77777777" w:rsidTr="001B7E95">
        <w:tc>
          <w:tcPr>
            <w:tcW w:w="331" w:type="pct"/>
            <w:shd w:val="clear" w:color="auto" w:fill="auto"/>
            <w:vAlign w:val="center"/>
          </w:tcPr>
          <w:p w14:paraId="4932227A" w14:textId="77777777" w:rsidR="002A19C8" w:rsidRPr="00781112" w:rsidRDefault="002A19C8" w:rsidP="002A19C8">
            <w:pPr>
              <w:pStyle w:val="Default"/>
              <w:jc w:val="center"/>
              <w:rPr>
                <w:rFonts w:eastAsiaTheme="minorHAnsi"/>
                <w:color w:val="000000" w:themeColor="text1"/>
                <w:sz w:val="16"/>
                <w:szCs w:val="16"/>
              </w:rPr>
            </w:pPr>
            <w:r w:rsidRPr="00781112">
              <w:rPr>
                <w:b/>
                <w:color w:val="000000" w:themeColor="text1"/>
                <w:sz w:val="16"/>
                <w:szCs w:val="16"/>
              </w:rPr>
              <w:t>C</w:t>
            </w:r>
          </w:p>
        </w:tc>
        <w:tc>
          <w:tcPr>
            <w:tcW w:w="461" w:type="pct"/>
            <w:shd w:val="clear" w:color="auto" w:fill="auto"/>
            <w:vAlign w:val="center"/>
          </w:tcPr>
          <w:p w14:paraId="236171D2" w14:textId="335C29F0" w:rsidR="002A19C8" w:rsidRPr="00781112" w:rsidDel="00DE5045" w:rsidRDefault="002A19C8" w:rsidP="002A19C8">
            <w:pPr>
              <w:jc w:val="center"/>
              <w:rPr>
                <w:rFonts w:cs="Arial"/>
                <w:color w:val="000000" w:themeColor="text1"/>
                <w:szCs w:val="16"/>
              </w:rPr>
            </w:pPr>
            <w:r w:rsidRPr="00781112">
              <w:rPr>
                <w:rFonts w:cs="Arial"/>
                <w:color w:val="000000" w:themeColor="text1"/>
                <w:szCs w:val="16"/>
              </w:rPr>
              <w:t>Grade HS</w:t>
            </w:r>
          </w:p>
        </w:tc>
        <w:tc>
          <w:tcPr>
            <w:tcW w:w="834" w:type="pct"/>
            <w:shd w:val="clear" w:color="auto" w:fill="auto"/>
            <w:vAlign w:val="center"/>
          </w:tcPr>
          <w:p w14:paraId="6C585469" w14:textId="27CFD453" w:rsidR="002A19C8" w:rsidRPr="00781112" w:rsidRDefault="002A19C8" w:rsidP="002A19C8">
            <w:pPr>
              <w:jc w:val="center"/>
              <w:rPr>
                <w:rFonts w:cs="Arial"/>
                <w:color w:val="000000" w:themeColor="text1"/>
                <w:szCs w:val="16"/>
              </w:rPr>
            </w:pPr>
            <w:r w:rsidRPr="00781112">
              <w:rPr>
                <w:rFonts w:cs="Arial"/>
                <w:color w:val="000000"/>
                <w:szCs w:val="16"/>
              </w:rPr>
              <w:t>2.08%</w:t>
            </w:r>
          </w:p>
        </w:tc>
        <w:tc>
          <w:tcPr>
            <w:tcW w:w="834" w:type="pct"/>
            <w:shd w:val="clear" w:color="auto" w:fill="auto"/>
            <w:vAlign w:val="center"/>
          </w:tcPr>
          <w:p w14:paraId="13AB3928" w14:textId="234CBFA8" w:rsidR="002A19C8" w:rsidRPr="00781112" w:rsidRDefault="002A19C8" w:rsidP="002A19C8">
            <w:pPr>
              <w:jc w:val="center"/>
              <w:rPr>
                <w:rFonts w:cs="Arial"/>
                <w:color w:val="000000" w:themeColor="text1"/>
                <w:szCs w:val="16"/>
              </w:rPr>
            </w:pPr>
            <w:r w:rsidRPr="00781112">
              <w:rPr>
                <w:rFonts w:cs="Arial"/>
                <w:color w:val="000000" w:themeColor="text1"/>
                <w:szCs w:val="16"/>
              </w:rPr>
              <w:t>15.39%</w:t>
            </w:r>
          </w:p>
        </w:tc>
        <w:tc>
          <w:tcPr>
            <w:tcW w:w="508" w:type="pct"/>
            <w:shd w:val="clear" w:color="auto" w:fill="auto"/>
            <w:vAlign w:val="center"/>
          </w:tcPr>
          <w:p w14:paraId="2ABC747F" w14:textId="158D9570" w:rsidR="002A19C8" w:rsidRPr="00781112" w:rsidRDefault="002A19C8" w:rsidP="002A19C8">
            <w:pPr>
              <w:jc w:val="center"/>
              <w:rPr>
                <w:rFonts w:cs="Arial"/>
                <w:color w:val="000000" w:themeColor="text1"/>
                <w:szCs w:val="16"/>
              </w:rPr>
            </w:pPr>
            <w:r w:rsidRPr="00781112">
              <w:rPr>
                <w:rFonts w:cs="Arial"/>
                <w:color w:val="000000" w:themeColor="text1"/>
                <w:szCs w:val="16"/>
              </w:rPr>
              <w:t>13.81</w:t>
            </w:r>
          </w:p>
        </w:tc>
        <w:tc>
          <w:tcPr>
            <w:tcW w:w="508" w:type="pct"/>
            <w:shd w:val="clear" w:color="auto" w:fill="auto"/>
            <w:vAlign w:val="center"/>
          </w:tcPr>
          <w:p w14:paraId="1ACDF21F" w14:textId="6248B4E9" w:rsidR="002A19C8" w:rsidRPr="00781112" w:rsidRDefault="002A19C8" w:rsidP="002A19C8">
            <w:pPr>
              <w:jc w:val="center"/>
              <w:rPr>
                <w:rFonts w:cs="Arial"/>
                <w:color w:val="000000" w:themeColor="text1"/>
                <w:szCs w:val="16"/>
              </w:rPr>
            </w:pPr>
            <w:r w:rsidRPr="00781112">
              <w:rPr>
                <w:rFonts w:cs="Arial"/>
                <w:color w:val="000000" w:themeColor="text1"/>
                <w:szCs w:val="16"/>
              </w:rPr>
              <w:t>28.45</w:t>
            </w:r>
          </w:p>
        </w:tc>
        <w:tc>
          <w:tcPr>
            <w:tcW w:w="508" w:type="pct"/>
            <w:shd w:val="clear" w:color="auto" w:fill="auto"/>
            <w:vAlign w:val="center"/>
          </w:tcPr>
          <w:p w14:paraId="69CE5BC3" w14:textId="39D166D6" w:rsidR="002A19C8" w:rsidRPr="00781112" w:rsidRDefault="002A19C8" w:rsidP="002A19C8">
            <w:pPr>
              <w:jc w:val="center"/>
              <w:rPr>
                <w:rFonts w:cs="Arial"/>
                <w:color w:val="000000" w:themeColor="text1"/>
                <w:szCs w:val="16"/>
              </w:rPr>
            </w:pPr>
            <w:r w:rsidRPr="00781112">
              <w:rPr>
                <w:rFonts w:cs="Arial"/>
                <w:color w:val="000000" w:themeColor="text1"/>
                <w:szCs w:val="16"/>
              </w:rPr>
              <w:t>13.31</w:t>
            </w:r>
          </w:p>
        </w:tc>
        <w:tc>
          <w:tcPr>
            <w:tcW w:w="508" w:type="pct"/>
            <w:shd w:val="clear" w:color="auto" w:fill="auto"/>
            <w:vAlign w:val="center"/>
          </w:tcPr>
          <w:p w14:paraId="2CA33323" w14:textId="59FD6DC7" w:rsidR="002A19C8" w:rsidRPr="00781112" w:rsidRDefault="002A19C8" w:rsidP="002A19C8">
            <w:pPr>
              <w:jc w:val="center"/>
              <w:rPr>
                <w:rFonts w:cs="Arial"/>
                <w:color w:val="000000" w:themeColor="text1"/>
                <w:szCs w:val="16"/>
              </w:rPr>
            </w:pPr>
            <w:r w:rsidRPr="00781112">
              <w:rPr>
                <w:rFonts w:cs="Arial"/>
                <w:color w:val="000000" w:themeColor="text1"/>
                <w:szCs w:val="16"/>
              </w:rPr>
              <w:t>Met target</w:t>
            </w:r>
          </w:p>
        </w:tc>
        <w:tc>
          <w:tcPr>
            <w:tcW w:w="508" w:type="pct"/>
            <w:shd w:val="clear" w:color="auto" w:fill="auto"/>
            <w:vAlign w:val="center"/>
          </w:tcPr>
          <w:p w14:paraId="0BEDA3C1" w14:textId="6A01F324" w:rsidR="002A19C8" w:rsidRPr="00781112" w:rsidRDefault="002A19C8" w:rsidP="002A19C8">
            <w:pPr>
              <w:jc w:val="center"/>
              <w:rPr>
                <w:rFonts w:cs="Arial"/>
                <w:color w:val="000000" w:themeColor="text1"/>
                <w:szCs w:val="16"/>
              </w:rPr>
            </w:pPr>
            <w:r w:rsidRPr="00781112">
              <w:rPr>
                <w:rFonts w:cs="Arial"/>
                <w:color w:val="000000" w:themeColor="text1"/>
                <w:szCs w:val="16"/>
              </w:rPr>
              <w:t>No Slippage</w:t>
            </w:r>
          </w:p>
        </w:tc>
      </w:tr>
    </w:tbl>
    <w:p w14:paraId="67B1DC74" w14:textId="77777777" w:rsidR="00DD5B7A" w:rsidRPr="00781112" w:rsidRDefault="00DD5B7A" w:rsidP="00DD5B7A">
      <w:pPr>
        <w:spacing w:before="0" w:after="200" w:line="276" w:lineRule="auto"/>
        <w:rPr>
          <w:b/>
          <w:color w:val="000000" w:themeColor="text1"/>
        </w:rPr>
      </w:pPr>
    </w:p>
    <w:p w14:paraId="2FF851DB" w14:textId="77777777" w:rsidR="00DD5B7A" w:rsidRPr="00781112" w:rsidRDefault="00DD5B7A" w:rsidP="00DD5B7A">
      <w:pPr>
        <w:rPr>
          <w:b/>
          <w:color w:val="000000" w:themeColor="text1"/>
        </w:rPr>
      </w:pPr>
      <w:r w:rsidRPr="00781112">
        <w:rPr>
          <w:b/>
          <w:color w:val="000000" w:themeColor="text1"/>
        </w:rPr>
        <w:t>Provide additional information about this indicator (optional)</w:t>
      </w:r>
    </w:p>
    <w:p w14:paraId="646908D0" w14:textId="2EB40E98" w:rsidR="00DD5B7A" w:rsidRPr="00781112" w:rsidRDefault="00DD5B7A" w:rsidP="00DD5B7A">
      <w:pPr>
        <w:rPr>
          <w:rFonts w:cs="Arial"/>
          <w:color w:val="000000" w:themeColor="text1"/>
          <w:szCs w:val="16"/>
        </w:rPr>
      </w:pPr>
      <w:r w:rsidRPr="00781112">
        <w:rPr>
          <w:rFonts w:cs="Arial"/>
          <w:color w:val="000000" w:themeColor="text1"/>
          <w:szCs w:val="16"/>
        </w:rPr>
        <w:t/>
      </w:r>
    </w:p>
    <w:p w14:paraId="2ABFD82D" w14:textId="77777777" w:rsidR="00764DDE" w:rsidRPr="00781112" w:rsidRDefault="00764DDE" w:rsidP="00764DDE">
      <w:pPr>
        <w:spacing w:before="0" w:after="200" w:line="276" w:lineRule="auto"/>
        <w:rPr>
          <w:color w:val="000000" w:themeColor="text1"/>
          <w:szCs w:val="16"/>
        </w:rPr>
      </w:pPr>
    </w:p>
    <w:p w14:paraId="1CD50F37" w14:textId="6334E2E5" w:rsidR="00764DDE" w:rsidRPr="00781112" w:rsidRDefault="00764DDE" w:rsidP="00764DDE">
      <w:pPr>
        <w:pStyle w:val="Heading2"/>
      </w:pPr>
      <w:r w:rsidRPr="00781112">
        <w:t>3D - Prior FFY Required Actions</w:t>
      </w:r>
    </w:p>
    <w:p w14:paraId="34B574CB" w14:textId="14B02F6F" w:rsidR="00764DDE" w:rsidRPr="00781112" w:rsidRDefault="00764DDE" w:rsidP="00764DDE">
      <w:pPr>
        <w:rPr>
          <w:rFonts w:cs="Arial"/>
          <w:color w:val="000000" w:themeColor="text1"/>
          <w:szCs w:val="16"/>
        </w:rPr>
      </w:pPr>
      <w:r w:rsidRPr="00781112">
        <w:rPr>
          <w:rFonts w:cs="Arial"/>
          <w:color w:val="000000" w:themeColor="text1"/>
          <w:szCs w:val="16"/>
        </w:rPr>
        <w:t>None</w:t>
      </w:r>
    </w:p>
    <w:p w14:paraId="02AADAEE" w14:textId="09BE2C66" w:rsidR="00764DDE" w:rsidRPr="00781112" w:rsidRDefault="00764DDE" w:rsidP="00764DDE">
      <w:pPr>
        <w:pStyle w:val="Heading2"/>
      </w:pPr>
      <w:r w:rsidRPr="00781112">
        <w:t>3D - OSEP Response</w:t>
      </w:r>
    </w:p>
    <w:p w14:paraId="6F9D8957" w14:textId="2AADB119" w:rsidR="00764DDE" w:rsidRPr="00781112" w:rsidRDefault="00764DDE" w:rsidP="00764DDE">
      <w:pPr>
        <w:rPr>
          <w:rFonts w:cs="Arial"/>
          <w:color w:val="000000" w:themeColor="text1"/>
          <w:szCs w:val="16"/>
        </w:rPr>
      </w:pPr>
      <w:r w:rsidRPr="00781112">
        <w:rPr>
          <w:rFonts w:cs="Arial"/>
          <w:color w:val="000000" w:themeColor="text1"/>
          <w:szCs w:val="16"/>
          <w:shd w:val="clear" w:color="auto" w:fill="FFFFFF"/>
        </w:rPr>
        <w:t/>
      </w:r>
    </w:p>
    <w:p w14:paraId="09AAC73F" w14:textId="7E96F305" w:rsidR="00764DDE" w:rsidRPr="00781112" w:rsidRDefault="00764DDE" w:rsidP="00764DDE">
      <w:pPr>
        <w:pStyle w:val="Heading2"/>
      </w:pPr>
      <w:r w:rsidRPr="00781112">
        <w:t>3D - Required Actions</w:t>
      </w:r>
    </w:p>
    <w:p w14:paraId="77AA7102" w14:textId="5725FBB6" w:rsidR="00764DDE" w:rsidRPr="00781112" w:rsidRDefault="00764DDE" w:rsidP="00764DDE">
      <w:pPr>
        <w:rPr>
          <w:rFonts w:cs="Arial"/>
          <w:color w:val="000000" w:themeColor="text1"/>
          <w:szCs w:val="16"/>
        </w:rPr>
      </w:pPr>
      <w:r w:rsidRPr="00781112">
        <w:rPr>
          <w:rFonts w:cs="Arial"/>
          <w:color w:val="000000" w:themeColor="text1"/>
          <w:szCs w:val="16"/>
          <w:shd w:val="clear" w:color="auto" w:fill="FFFFFF"/>
        </w:rPr>
        <w:t/>
      </w:r>
    </w:p>
    <w:p w14:paraId="72857535" w14:textId="77777777" w:rsidR="00764DDE" w:rsidRPr="00781112" w:rsidRDefault="00764DDE">
      <w:pPr>
        <w:spacing w:before="0" w:after="200" w:line="276" w:lineRule="auto"/>
        <w:rPr>
          <w:rFonts w:eastAsiaTheme="majorEastAsia" w:cstheme="majorBidi"/>
          <w:b/>
          <w:bCs/>
          <w:color w:val="000000" w:themeColor="text1"/>
          <w:sz w:val="22"/>
          <w:szCs w:val="28"/>
        </w:rPr>
      </w:pPr>
      <w:r w:rsidRPr="00781112">
        <w:rPr>
          <w:color w:val="000000" w:themeColor="text1"/>
          <w:sz w:val="22"/>
        </w:rPr>
        <w:br w:type="page"/>
      </w:r>
    </w:p>
    <w:p w14:paraId="1E2B07DD" w14:textId="7F0EB6BD" w:rsidR="00D03701" w:rsidRPr="00781112" w:rsidRDefault="00D03701" w:rsidP="000444E2">
      <w:pPr>
        <w:pStyle w:val="Heading1"/>
        <w:rPr>
          <w:color w:val="000000" w:themeColor="text1"/>
          <w:sz w:val="22"/>
        </w:rPr>
      </w:pPr>
      <w:r w:rsidRPr="00781112">
        <w:rPr>
          <w:color w:val="000000" w:themeColor="text1"/>
          <w:sz w:val="22"/>
        </w:rPr>
        <w:lastRenderedPageBreak/>
        <w:t>Indicator 4A: Suspension/Expulsion</w:t>
      </w:r>
      <w:bookmarkEnd w:id="20"/>
      <w:bookmarkEnd w:id="21"/>
    </w:p>
    <w:p w14:paraId="6B24B370" w14:textId="77777777" w:rsidR="006E5AE4" w:rsidRPr="00781112" w:rsidRDefault="006E5AE4" w:rsidP="00A018D4">
      <w:pPr>
        <w:rPr>
          <w:color w:val="000000" w:themeColor="text1"/>
          <w:szCs w:val="20"/>
        </w:rPr>
      </w:pPr>
      <w:bookmarkStart w:id="23" w:name="_Toc384383331"/>
      <w:bookmarkStart w:id="24" w:name="_Toc392159283"/>
      <w:r w:rsidRPr="00781112">
        <w:rPr>
          <w:b/>
          <w:color w:val="000000" w:themeColor="text1"/>
          <w:sz w:val="20"/>
          <w:szCs w:val="20"/>
        </w:rPr>
        <w:t xml:space="preserve">Instructions and Measurement </w:t>
      </w:r>
    </w:p>
    <w:p w14:paraId="73D979E8" w14:textId="6D1D1338" w:rsidR="00DD1D55" w:rsidRPr="00781112" w:rsidRDefault="00DD1D55"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1281AA40" w14:textId="5BDAB0D4" w:rsidR="000A5A2E" w:rsidRPr="00781112" w:rsidRDefault="00DD1D55" w:rsidP="00286BDF">
      <w:pPr>
        <w:rPr>
          <w:rFonts w:cs="Arial"/>
          <w:color w:val="000000" w:themeColor="text1"/>
          <w:szCs w:val="16"/>
        </w:rPr>
      </w:pPr>
      <w:r w:rsidRPr="00781112">
        <w:rPr>
          <w:rFonts w:cs="Arial"/>
          <w:b/>
          <w:color w:val="000000" w:themeColor="text1"/>
          <w:szCs w:val="16"/>
        </w:rPr>
        <w:t>Results Indicator:</w:t>
      </w:r>
      <w:r w:rsidR="00286BDF" w:rsidRPr="00781112">
        <w:rPr>
          <w:rFonts w:cs="Arial"/>
          <w:color w:val="000000" w:themeColor="text1"/>
          <w:szCs w:val="16"/>
        </w:rPr>
        <w:t xml:space="preserve"> </w:t>
      </w:r>
      <w:r w:rsidR="000A5A2E" w:rsidRPr="00781112">
        <w:rPr>
          <w:rFonts w:cs="Arial"/>
          <w:color w:val="000000" w:themeColor="text1"/>
          <w:szCs w:val="16"/>
        </w:rPr>
        <w:t>Rates of suspension and expulsion:</w:t>
      </w:r>
    </w:p>
    <w:p w14:paraId="075F6BB9" w14:textId="62CB55C8" w:rsidR="000A5A2E" w:rsidRPr="00781112" w:rsidRDefault="001D5BAF" w:rsidP="006A01BD">
      <w:pPr>
        <w:ind w:left="720"/>
        <w:rPr>
          <w:color w:val="000000" w:themeColor="text1"/>
        </w:rPr>
      </w:pPr>
      <w:r w:rsidRPr="00781112">
        <w:rPr>
          <w:rFonts w:cs="Arial"/>
          <w:color w:val="000000" w:themeColor="text1"/>
          <w:szCs w:val="16"/>
        </w:rPr>
        <w:t xml:space="preserve">A. Percent of </w:t>
      </w:r>
      <w:r w:rsidR="00752D76" w:rsidRPr="00781112">
        <w:rPr>
          <w:rFonts w:cs="Arial"/>
          <w:szCs w:val="16"/>
        </w:rPr>
        <w:t>local educational agencies (LEA)</w:t>
      </w:r>
      <w:r w:rsidRPr="00781112">
        <w:rPr>
          <w:rFonts w:cs="Arial"/>
          <w:color w:val="000000" w:themeColor="text1"/>
          <w:szCs w:val="16"/>
        </w:rPr>
        <w:t xml:space="preserve"> that have a significant discrepancy</w:t>
      </w:r>
      <w:r w:rsidR="00F46CC4" w:rsidRPr="00781112">
        <w:rPr>
          <w:rFonts w:cs="Arial"/>
          <w:szCs w:val="16"/>
        </w:rPr>
        <w:t>, as defined by the State,</w:t>
      </w:r>
      <w:r w:rsidRPr="00781112">
        <w:rPr>
          <w:rFonts w:cs="Arial"/>
          <w:color w:val="000000" w:themeColor="text1"/>
          <w:szCs w:val="16"/>
        </w:rPr>
        <w:t xml:space="preserve"> in the rate of suspensions and expulsions of greater than 10 days in a school </w:t>
      </w:r>
      <w:r w:rsidR="00DD1D55" w:rsidRPr="00781112">
        <w:rPr>
          <w:color w:val="000000" w:themeColor="text1"/>
        </w:rPr>
        <w:t>year for children with IEPs</w:t>
      </w:r>
      <w:r w:rsidR="00E97863" w:rsidRPr="00781112">
        <w:rPr>
          <w:color w:val="000000" w:themeColor="text1"/>
        </w:rPr>
        <w:t>; and</w:t>
      </w:r>
    </w:p>
    <w:p w14:paraId="269BA1CE" w14:textId="0C66D8C5" w:rsidR="00E97863" w:rsidRPr="002529C8" w:rsidRDefault="00BA66ED" w:rsidP="002529C8">
      <w:pPr>
        <w:ind w:left="720"/>
        <w:rPr>
          <w:rFonts w:cs="Arial"/>
          <w:szCs w:val="16"/>
        </w:rPr>
      </w:pPr>
      <w:r w:rsidRPr="00781112">
        <w:rPr>
          <w:rFonts w:cs="Arial"/>
          <w:color w:val="000000" w:themeColor="text1"/>
          <w:szCs w:val="16"/>
        </w:rPr>
        <w:t xml:space="preserve">B. </w:t>
      </w:r>
      <w:r w:rsidR="00E97863" w:rsidRPr="00856B0E">
        <w:rPr>
          <w:rFonts w:cs="Arial"/>
          <w:szCs w:val="16"/>
        </w:rPr>
        <w:t>Percent of LEAs that have:</w:t>
      </w:r>
      <w:r w:rsidR="00E97863" w:rsidRPr="00781112">
        <w:rPr>
          <w:rFonts w:cs="Arial"/>
          <w:szCs w:val="16"/>
        </w:rPr>
        <w:t xml:space="preserve"> (a) a significant discrepancy, as defined by the State, by race or ethnicity, in the rate of suspensions and</w:t>
      </w:r>
      <w:r w:rsidR="002529C8">
        <w:rPr>
          <w:rFonts w:cs="Arial"/>
          <w:szCs w:val="16"/>
        </w:rPr>
        <w:t xml:space="preserve"> </w:t>
      </w:r>
      <w:r w:rsidR="00E97863" w:rsidRPr="002529C8">
        <w:rPr>
          <w:rFonts w:cs="Arial"/>
          <w:szCs w:val="16"/>
        </w:rPr>
        <w:t>expulsions of greater than 10 days in a school year for</w:t>
      </w:r>
      <w:r w:rsidR="002529C8">
        <w:rPr>
          <w:rFonts w:cs="Arial"/>
          <w:szCs w:val="16"/>
        </w:rPr>
        <w:t xml:space="preserve"> </w:t>
      </w:r>
      <w:r w:rsidR="00E97863" w:rsidRPr="002529C8">
        <w:rPr>
          <w:rFonts w:cs="Arial"/>
          <w:szCs w:val="16"/>
        </w:rPr>
        <w:t>children with IEPs; and (b) policies, procedures or practices that contribute to the significant discrepancy, as defined by the State, and do not comply with requirements relating to the development</w:t>
      </w:r>
      <w:r w:rsidR="002529C8">
        <w:rPr>
          <w:rFonts w:cs="Arial"/>
          <w:szCs w:val="16"/>
        </w:rPr>
        <w:t xml:space="preserve"> </w:t>
      </w:r>
      <w:r w:rsidR="00E97863" w:rsidRPr="002529C8">
        <w:rPr>
          <w:rFonts w:cs="Arial"/>
          <w:szCs w:val="16"/>
        </w:rPr>
        <w:t>and implementation of IEPs, the use of positive behavioral interventions and supports, and procedural safeguards.</w:t>
      </w:r>
    </w:p>
    <w:p w14:paraId="104900D3" w14:textId="4D6824EB" w:rsidR="0011074D" w:rsidRPr="00781112" w:rsidRDefault="0011074D" w:rsidP="0011074D">
      <w:pPr>
        <w:rPr>
          <w:rFonts w:cs="Arial"/>
          <w:color w:val="000000" w:themeColor="text1"/>
          <w:szCs w:val="16"/>
        </w:rPr>
      </w:pPr>
      <w:r w:rsidRPr="00781112">
        <w:rPr>
          <w:rFonts w:cs="Arial"/>
          <w:color w:val="000000" w:themeColor="text1"/>
          <w:szCs w:val="16"/>
        </w:rPr>
        <w:t>(20 U.S.C. 1416(a)(3)(A); 1412(a)(22))</w:t>
      </w:r>
    </w:p>
    <w:p w14:paraId="09801465" w14:textId="77777777" w:rsidR="000A5A2E" w:rsidRPr="00781112" w:rsidRDefault="000A5A2E" w:rsidP="004369B2">
      <w:pPr>
        <w:rPr>
          <w:color w:val="000000" w:themeColor="text1"/>
        </w:rPr>
      </w:pPr>
      <w:r w:rsidRPr="00781112">
        <w:rPr>
          <w:b/>
          <w:color w:val="000000" w:themeColor="text1"/>
        </w:rPr>
        <w:t>Data Source</w:t>
      </w:r>
    </w:p>
    <w:p w14:paraId="06368193" w14:textId="2006ADF5" w:rsidR="000A5A2E" w:rsidRPr="00781112" w:rsidRDefault="000A5A2E" w:rsidP="00286BDF">
      <w:pPr>
        <w:rPr>
          <w:rFonts w:cs="Arial"/>
          <w:color w:val="000000" w:themeColor="text1"/>
          <w:szCs w:val="16"/>
        </w:rPr>
      </w:pPr>
      <w:r w:rsidRPr="00781112">
        <w:rPr>
          <w:rFonts w:cs="Arial"/>
          <w:color w:val="000000" w:themeColor="text1"/>
          <w:szCs w:val="16"/>
        </w:rPr>
        <w:t xml:space="preserve">State </w:t>
      </w:r>
      <w:r w:rsidRPr="00781112">
        <w:rPr>
          <w:rFonts w:cs="Arial"/>
          <w:color w:val="000000" w:themeColor="text1"/>
          <w:szCs w:val="16"/>
          <w:shd w:val="clear" w:color="auto" w:fill="FFFFFF"/>
        </w:rPr>
        <w:t>discipline data, including State’s analysis of State’s Discipline data collected under IDEA Section 618, where applicable. Discrepancy can be computed by either comparing the rates of suspensions and expulsions for children with IEPs to rates for nondisabled children within the LEA or by comparing the rates of suspensions and expulsions for children with IEPs among LEAs within the State.</w:t>
      </w:r>
    </w:p>
    <w:p w14:paraId="74159870" w14:textId="77777777" w:rsidR="000A5A2E" w:rsidRPr="00781112" w:rsidRDefault="000A5A2E" w:rsidP="004369B2">
      <w:pPr>
        <w:rPr>
          <w:color w:val="000000" w:themeColor="text1"/>
        </w:rPr>
      </w:pPr>
      <w:r w:rsidRPr="00781112">
        <w:rPr>
          <w:b/>
          <w:color w:val="000000" w:themeColor="text1"/>
        </w:rPr>
        <w:t>Measurement</w:t>
      </w:r>
    </w:p>
    <w:p w14:paraId="5CD903C0" w14:textId="4C799C0D" w:rsidR="000A5A2E" w:rsidRPr="00781112" w:rsidRDefault="000A5A2E" w:rsidP="00286BDF">
      <w:pPr>
        <w:rPr>
          <w:rFonts w:cs="Arial"/>
          <w:color w:val="000000" w:themeColor="text1"/>
          <w:szCs w:val="16"/>
        </w:rPr>
      </w:pPr>
      <w:r w:rsidRPr="00781112">
        <w:rPr>
          <w:rFonts w:cs="Arial"/>
          <w:color w:val="000000" w:themeColor="text1"/>
          <w:szCs w:val="16"/>
        </w:rPr>
        <w:t xml:space="preserve">Percent </w:t>
      </w:r>
      <w:r w:rsidRPr="00781112">
        <w:rPr>
          <w:rFonts w:cs="Arial"/>
          <w:color w:val="000000" w:themeColor="text1"/>
          <w:szCs w:val="16"/>
          <w:shd w:val="clear" w:color="auto" w:fill="FFFFFF"/>
        </w:rPr>
        <w:t xml:space="preserve">= </w:t>
      </w:r>
      <w:r w:rsidR="009B02BC" w:rsidRPr="00781112">
        <w:rPr>
          <w:rFonts w:cs="Arial"/>
          <w:color w:val="000000" w:themeColor="text1"/>
          <w:szCs w:val="16"/>
          <w:shd w:val="clear" w:color="auto" w:fill="FFFFFF"/>
        </w:rPr>
        <w:t>[</w:t>
      </w:r>
      <w:r w:rsidRPr="00781112">
        <w:rPr>
          <w:rFonts w:cs="Arial"/>
          <w:color w:val="000000" w:themeColor="text1"/>
          <w:szCs w:val="16"/>
          <w:shd w:val="clear" w:color="auto" w:fill="FFFFFF"/>
        </w:rPr>
        <w:t xml:space="preserve">(# of </w:t>
      </w:r>
      <w:r w:rsidR="00315E88"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that meet the State-established n</w:t>
      </w:r>
      <w:r w:rsidR="0087130D" w:rsidRPr="00781112">
        <w:rPr>
          <w:rFonts w:cs="Arial"/>
          <w:color w:val="000000" w:themeColor="text1"/>
          <w:szCs w:val="16"/>
          <w:shd w:val="clear" w:color="auto" w:fill="FFFFFF"/>
        </w:rPr>
        <w:t xml:space="preserve"> </w:t>
      </w:r>
      <w:r w:rsidR="0087130D" w:rsidRPr="00781112">
        <w:rPr>
          <w:rFonts w:cs="Arial"/>
          <w:szCs w:val="16"/>
          <w:shd w:val="clear" w:color="auto" w:fill="FFFFFF"/>
        </w:rPr>
        <w:t>and/or cell</w:t>
      </w:r>
      <w:r w:rsidRPr="00781112">
        <w:rPr>
          <w:rFonts w:cs="Arial"/>
          <w:color w:val="000000" w:themeColor="text1"/>
          <w:szCs w:val="16"/>
          <w:shd w:val="clear" w:color="auto" w:fill="FFFFFF"/>
        </w:rPr>
        <w:t xml:space="preserve"> size (if applicable) that have a significant discrepancy</w:t>
      </w:r>
      <w:r w:rsidR="00770816" w:rsidRPr="00781112">
        <w:rPr>
          <w:rFonts w:cs="Arial"/>
          <w:color w:val="000000" w:themeColor="text1"/>
          <w:szCs w:val="16"/>
          <w:shd w:val="clear" w:color="auto" w:fill="FFFFFF"/>
        </w:rPr>
        <w:t xml:space="preserve">, </w:t>
      </w:r>
      <w:r w:rsidR="00770816" w:rsidRPr="00781112">
        <w:rPr>
          <w:rFonts w:cs="Arial"/>
          <w:szCs w:val="16"/>
          <w:shd w:val="clear" w:color="auto" w:fill="FFFFFF"/>
        </w:rPr>
        <w:t>as defined by the State,</w:t>
      </w:r>
      <w:r w:rsidRPr="00781112">
        <w:rPr>
          <w:rFonts w:cs="Arial"/>
          <w:color w:val="000000" w:themeColor="text1"/>
          <w:szCs w:val="16"/>
          <w:shd w:val="clear" w:color="auto" w:fill="FFFFFF"/>
        </w:rPr>
        <w:t xml:space="preserve"> in the rates of suspensions and expulsions for </w:t>
      </w:r>
      <w:r w:rsidR="001F6583" w:rsidRPr="00781112">
        <w:rPr>
          <w:rFonts w:cs="Arial"/>
          <w:color w:val="000000" w:themeColor="text1"/>
          <w:szCs w:val="16"/>
          <w:shd w:val="clear" w:color="auto" w:fill="FFFFFF"/>
        </w:rPr>
        <w:t xml:space="preserve">more </w:t>
      </w:r>
      <w:r w:rsidRPr="00781112">
        <w:rPr>
          <w:rFonts w:cs="Arial"/>
          <w:color w:val="000000" w:themeColor="text1"/>
          <w:szCs w:val="16"/>
          <w:shd w:val="clear" w:color="auto" w:fill="FFFFFF"/>
        </w:rPr>
        <w:t xml:space="preserve">than 10 days </w:t>
      </w:r>
      <w:r w:rsidR="001F6583" w:rsidRPr="00781112">
        <w:rPr>
          <w:rFonts w:cs="Arial"/>
          <w:color w:val="000000" w:themeColor="text1"/>
          <w:szCs w:val="16"/>
          <w:shd w:val="clear" w:color="auto" w:fill="FFFFFF"/>
        </w:rPr>
        <w:t xml:space="preserve">during </w:t>
      </w:r>
      <w:r w:rsidR="00041274" w:rsidRPr="00781112">
        <w:rPr>
          <w:rFonts w:cs="Arial"/>
          <w:color w:val="000000" w:themeColor="text1"/>
          <w:szCs w:val="16"/>
          <w:shd w:val="clear" w:color="auto" w:fill="FFFFFF"/>
        </w:rPr>
        <w:t xml:space="preserve">the </w:t>
      </w:r>
      <w:r w:rsidRPr="00781112">
        <w:rPr>
          <w:rFonts w:cs="Arial"/>
          <w:color w:val="000000" w:themeColor="text1"/>
          <w:szCs w:val="16"/>
          <w:shd w:val="clear" w:color="auto" w:fill="FFFFFF"/>
        </w:rPr>
        <w:t xml:space="preserve">school year of children with IEPs) divided by the (# of </w:t>
      </w:r>
      <w:r w:rsidR="00041274"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in the State that meet the State-established n</w:t>
      </w:r>
      <w:r w:rsidR="00041274" w:rsidRPr="00781112">
        <w:rPr>
          <w:rFonts w:cs="Arial"/>
          <w:color w:val="000000" w:themeColor="text1"/>
          <w:szCs w:val="16"/>
          <w:shd w:val="clear" w:color="auto" w:fill="FFFFFF"/>
        </w:rPr>
        <w:t xml:space="preserve"> and</w:t>
      </w:r>
      <w:r w:rsidR="00742DCB" w:rsidRPr="00781112">
        <w:rPr>
          <w:rFonts w:cs="Arial"/>
          <w:color w:val="000000" w:themeColor="text1"/>
          <w:szCs w:val="16"/>
          <w:shd w:val="clear" w:color="auto" w:fill="FFFFFF"/>
        </w:rPr>
        <w:t>/or cell</w:t>
      </w:r>
      <w:r w:rsidRPr="00781112">
        <w:rPr>
          <w:rFonts w:cs="Arial"/>
          <w:color w:val="000000" w:themeColor="text1"/>
          <w:szCs w:val="16"/>
          <w:shd w:val="clear" w:color="auto" w:fill="FFFFFF"/>
        </w:rPr>
        <w:t xml:space="preserve"> size (if applicable))</w:t>
      </w:r>
      <w:r w:rsidR="009B02BC" w:rsidRPr="00781112">
        <w:rPr>
          <w:rFonts w:cs="Arial"/>
          <w:color w:val="000000" w:themeColor="text1"/>
          <w:szCs w:val="16"/>
          <w:shd w:val="clear" w:color="auto" w:fill="FFFFFF"/>
        </w:rPr>
        <w:t>]</w:t>
      </w:r>
      <w:r w:rsidRPr="00781112">
        <w:rPr>
          <w:rFonts w:cs="Arial"/>
          <w:color w:val="000000" w:themeColor="text1"/>
          <w:szCs w:val="16"/>
          <w:shd w:val="clear" w:color="auto" w:fill="FFFFFF"/>
        </w:rPr>
        <w:t xml:space="preserve"> times 100.</w:t>
      </w:r>
    </w:p>
    <w:p w14:paraId="4D7272B6" w14:textId="2A0B0F5F" w:rsidR="00636061" w:rsidRPr="00781112" w:rsidRDefault="00636061" w:rsidP="00286BDF">
      <w:pPr>
        <w:rPr>
          <w:rFonts w:cs="Arial"/>
          <w:color w:val="000000" w:themeColor="text1"/>
          <w:szCs w:val="16"/>
        </w:rPr>
      </w:pPr>
      <w:r w:rsidRPr="00781112">
        <w:rPr>
          <w:rFonts w:cs="Arial"/>
          <w:color w:val="000000" w:themeColor="text1"/>
          <w:szCs w:val="16"/>
          <w:shd w:val="clear" w:color="auto" w:fill="FFFFFF"/>
        </w:rPr>
        <w:t>Include State’s definition of “significant discrepancy.”</w:t>
      </w:r>
    </w:p>
    <w:p w14:paraId="0C71C487" w14:textId="316E6449" w:rsidR="000A5A2E" w:rsidRPr="00781112" w:rsidRDefault="000A5A2E" w:rsidP="004369B2">
      <w:pPr>
        <w:rPr>
          <w:color w:val="000000" w:themeColor="text1"/>
        </w:rPr>
      </w:pPr>
      <w:r w:rsidRPr="00781112">
        <w:rPr>
          <w:b/>
          <w:color w:val="000000" w:themeColor="text1"/>
        </w:rPr>
        <w:t>Instructions</w:t>
      </w:r>
    </w:p>
    <w:p w14:paraId="20DD9B9C" w14:textId="5B313E3D" w:rsidR="000A5A2E" w:rsidRPr="00781112" w:rsidRDefault="00636061" w:rsidP="00BB7BC9">
      <w:pPr>
        <w:rPr>
          <w:rFonts w:cs="Arial"/>
          <w:color w:val="000000" w:themeColor="text1"/>
          <w:szCs w:val="16"/>
        </w:rPr>
      </w:pPr>
      <w:r w:rsidRPr="00781112">
        <w:rPr>
          <w:rFonts w:cs="Arial"/>
          <w:color w:val="000000" w:themeColor="text1"/>
          <w:szCs w:val="16"/>
        </w:rPr>
        <w:t xml:space="preserve">If the State has established a minimum n and/or cell size requirement, the State may only include, in both the numerator and the denominator, LEAs that met that State-established n and/or cell size. If the State used a minimum n and/or cell size requirement, report the number of LEAs </w:t>
      </w:r>
      <w:r w:rsidR="00F65586">
        <w:rPr>
          <w:rFonts w:cs="Arial"/>
          <w:color w:val="000000" w:themeColor="text1"/>
          <w:szCs w:val="16"/>
        </w:rPr>
        <w:t>to</w:t>
      </w:r>
      <w:r w:rsidR="00862019">
        <w:rPr>
          <w:rFonts w:cs="Arial"/>
          <w:color w:val="000000" w:themeColor="text1"/>
          <w:szCs w:val="16"/>
        </w:rPr>
        <w:t>t</w:t>
      </w:r>
      <w:r w:rsidR="00F65586">
        <w:rPr>
          <w:rFonts w:cs="Arial"/>
          <w:color w:val="000000" w:themeColor="text1"/>
          <w:szCs w:val="16"/>
        </w:rPr>
        <w:t xml:space="preserve">ally </w:t>
      </w:r>
      <w:r w:rsidRPr="00781112">
        <w:rPr>
          <w:rFonts w:cs="Arial"/>
          <w:color w:val="000000" w:themeColor="text1"/>
          <w:szCs w:val="16"/>
        </w:rPr>
        <w:t>excluded from the calculation as a result of this requirement.</w:t>
      </w:r>
    </w:p>
    <w:p w14:paraId="3AD8FD7E" w14:textId="170B3CE4" w:rsidR="00636061" w:rsidRPr="00781112" w:rsidRDefault="00A14B5D" w:rsidP="00BB7BC9">
      <w:pPr>
        <w:rPr>
          <w:rFonts w:cs="Arial"/>
          <w:color w:val="000000" w:themeColor="text1"/>
          <w:szCs w:val="16"/>
        </w:rPr>
      </w:pPr>
      <w:r w:rsidRPr="00781112">
        <w:rPr>
          <w:rFonts w:cs="Arial"/>
          <w:color w:val="000000" w:themeColor="text1"/>
          <w:szCs w:val="16"/>
        </w:rPr>
        <w:t>Describe the results of the State’s examination of the data for the year before the reporting year (e.g., for the FFY 2022 SPP/APR, use data from 2021-2022), including data disaggregated by race and ethnicity to determine if significant discrepancies</w:t>
      </w:r>
      <w:r w:rsidR="001E6FDD" w:rsidRPr="00781112">
        <w:rPr>
          <w:rFonts w:cs="Arial"/>
          <w:szCs w:val="16"/>
        </w:rPr>
        <w:t xml:space="preserve">, as defined by the State, </w:t>
      </w:r>
      <w:r w:rsidRPr="00781112">
        <w:rPr>
          <w:rFonts w:cs="Arial"/>
          <w:color w:val="000000" w:themeColor="text1"/>
          <w:szCs w:val="16"/>
        </w:rPr>
        <w:t xml:space="preserve">are occurring in the rates of long-term suspensions and expulsions </w:t>
      </w:r>
      <w:r w:rsidR="00E14CF0" w:rsidRPr="00781112">
        <w:rPr>
          <w:rFonts w:cs="Arial"/>
          <w:szCs w:val="16"/>
        </w:rPr>
        <w:t xml:space="preserve">(more than 10 days during the school year) </w:t>
      </w:r>
      <w:r w:rsidRPr="00781112">
        <w:rPr>
          <w:rFonts w:cs="Arial"/>
          <w:color w:val="000000" w:themeColor="text1"/>
          <w:szCs w:val="16"/>
        </w:rPr>
        <w:t>of children with IEPs, as required at 20 U.S.C. 1412(a)(22). The State’s examination must include one of the following comparisons:</w:t>
      </w:r>
    </w:p>
    <w:p w14:paraId="4D5D1D9E" w14:textId="3C303A84" w:rsidR="00636061" w:rsidRPr="00781112" w:rsidRDefault="006279F2" w:rsidP="006A01BD">
      <w:pPr>
        <w:ind w:firstLine="720"/>
        <w:rPr>
          <w:rFonts w:cs="Arial"/>
          <w:color w:val="000000" w:themeColor="text1"/>
          <w:szCs w:val="16"/>
        </w:rPr>
      </w:pPr>
      <w:r w:rsidRPr="00781112">
        <w:rPr>
          <w:rFonts w:cs="Arial"/>
          <w:color w:val="000000" w:themeColor="text1"/>
          <w:szCs w:val="16"/>
        </w:rPr>
        <w:t>--The rates of suspensions and expulsions for children with IEPs among LEAs within the State; or</w:t>
      </w:r>
    </w:p>
    <w:p w14:paraId="671599A1" w14:textId="4BC66802" w:rsidR="00636061" w:rsidRPr="00781112" w:rsidRDefault="006279F2" w:rsidP="00BA3DBE">
      <w:pPr>
        <w:ind w:left="720"/>
        <w:rPr>
          <w:rFonts w:cs="Arial"/>
          <w:color w:val="000000" w:themeColor="text1"/>
          <w:szCs w:val="16"/>
        </w:rPr>
      </w:pPr>
      <w:r w:rsidRPr="00781112">
        <w:rPr>
          <w:rFonts w:cs="Arial"/>
          <w:color w:val="000000" w:themeColor="text1"/>
          <w:szCs w:val="16"/>
        </w:rPr>
        <w:t>--The rates of suspensions and expulsions for children with IEPs to</w:t>
      </w:r>
      <w:r w:rsidR="00F65586">
        <w:rPr>
          <w:rFonts w:cs="Arial"/>
          <w:color w:val="000000" w:themeColor="text1"/>
          <w:szCs w:val="16"/>
        </w:rPr>
        <w:t xml:space="preserve"> </w:t>
      </w:r>
      <w:bookmarkStart w:id="25" w:name="_Hlk150863518"/>
      <w:r w:rsidR="00F65586">
        <w:rPr>
          <w:rFonts w:cs="Arial"/>
          <w:color w:val="000000" w:themeColor="text1"/>
          <w:szCs w:val="16"/>
        </w:rPr>
        <w:t>rates of suspensions and expulsions for</w:t>
      </w:r>
      <w:r w:rsidRPr="00781112">
        <w:rPr>
          <w:rFonts w:cs="Arial"/>
          <w:color w:val="000000" w:themeColor="text1"/>
          <w:szCs w:val="16"/>
        </w:rPr>
        <w:t xml:space="preserve"> </w:t>
      </w:r>
      <w:bookmarkEnd w:id="25"/>
      <w:r w:rsidRPr="00781112">
        <w:rPr>
          <w:rFonts w:cs="Arial"/>
          <w:color w:val="000000" w:themeColor="text1"/>
          <w:szCs w:val="16"/>
        </w:rPr>
        <w:t>nondisabled children within the</w:t>
      </w:r>
      <w:r w:rsidR="00F65586">
        <w:rPr>
          <w:rFonts w:cs="Arial"/>
          <w:color w:val="000000" w:themeColor="text1"/>
          <w:szCs w:val="16"/>
        </w:rPr>
        <w:t xml:space="preserve"> </w:t>
      </w:r>
      <w:r w:rsidRPr="00781112">
        <w:rPr>
          <w:rFonts w:cs="Arial"/>
          <w:color w:val="000000" w:themeColor="text1"/>
          <w:szCs w:val="16"/>
        </w:rPr>
        <w:t>LEAs</w:t>
      </w:r>
      <w:r w:rsidR="00F65586">
        <w:rPr>
          <w:rFonts w:cs="Arial"/>
          <w:color w:val="000000" w:themeColor="text1"/>
          <w:szCs w:val="16"/>
        </w:rPr>
        <w:t>.</w:t>
      </w:r>
    </w:p>
    <w:p w14:paraId="64CB6014" w14:textId="58F4D965" w:rsidR="00636061" w:rsidRPr="00781112" w:rsidRDefault="00636061" w:rsidP="00BB7BC9">
      <w:pPr>
        <w:rPr>
          <w:rFonts w:cs="Arial"/>
          <w:color w:val="000000" w:themeColor="text1"/>
          <w:szCs w:val="16"/>
        </w:rPr>
      </w:pPr>
      <w:r w:rsidRPr="00781112">
        <w:rPr>
          <w:rFonts w:cs="Arial"/>
          <w:color w:val="000000" w:themeColor="text1"/>
          <w:szCs w:val="16"/>
        </w:rPr>
        <w:t>In the description, specify which method the State used to determine possible discrepancies and explain what constitutes those discrepancies.</w:t>
      </w:r>
    </w:p>
    <w:p w14:paraId="222C5D4B" w14:textId="2B719143" w:rsidR="004F019B" w:rsidRPr="00781112" w:rsidRDefault="004F019B" w:rsidP="004F019B">
      <w:pPr>
        <w:rPr>
          <w:rFonts w:cs="Arial"/>
          <w:szCs w:val="16"/>
        </w:rPr>
      </w:pPr>
      <w:r w:rsidRPr="00781112">
        <w:rPr>
          <w:rFonts w:cs="Arial"/>
          <w:szCs w:val="16"/>
        </w:rPr>
        <w:t xml:space="preserve">Because the measurement table requires that the data examined for this indicator are lag year data, States should examine the </w:t>
      </w:r>
      <w:r w:rsidR="00D5021D">
        <w:rPr>
          <w:rFonts w:cs="Arial"/>
          <w:szCs w:val="16"/>
        </w:rPr>
        <w:t xml:space="preserve">section </w:t>
      </w:r>
      <w:r w:rsidRPr="00781112">
        <w:rPr>
          <w:rFonts w:cs="Arial"/>
          <w:szCs w:val="16"/>
        </w:rPr>
        <w:t xml:space="preserve">618 data that was submitted by LEAs that were in operation during the school year before the reporting year. For example, if a State has 100 LEAs operating in the 2021-2022 school year, those 100 LEAs would have reported </w:t>
      </w:r>
      <w:r w:rsidR="00D5021D">
        <w:rPr>
          <w:rFonts w:cs="Arial"/>
          <w:szCs w:val="16"/>
        </w:rPr>
        <w:t xml:space="preserve">section </w:t>
      </w:r>
      <w:r w:rsidRPr="00781112">
        <w:rPr>
          <w:rFonts w:cs="Arial"/>
          <w:szCs w:val="16"/>
        </w:rPr>
        <w:t xml:space="preserve">618 data in 2021-2022 on the number of children suspended/expelled. If the State then opens 15 new LEAs in 2022-2023, suspension/expulsion data from those 15 new LEAs would not be in the 2021-2022 </w:t>
      </w:r>
      <w:r w:rsidR="00D5021D">
        <w:rPr>
          <w:rFonts w:cs="Arial"/>
          <w:szCs w:val="16"/>
        </w:rPr>
        <w:t xml:space="preserve">section </w:t>
      </w:r>
      <w:r w:rsidRPr="00781112">
        <w:rPr>
          <w:rFonts w:cs="Arial"/>
          <w:szCs w:val="16"/>
        </w:rPr>
        <w:t>618 data set, and therefore, those 15 new LEAs should not be included in the denominator of the calculation. States must use the number of LEAs from the year before the reporting year in its calculation for this indicator. For the FFY 2022 SPP/APR submission, States must use the number of LEAs reported in 2021-2022 (which can be found in the FFY 2021 SPP/APR introduction).</w:t>
      </w:r>
    </w:p>
    <w:p w14:paraId="2CD8E267" w14:textId="1590FF94" w:rsidR="00636061" w:rsidRPr="00781112" w:rsidRDefault="00636061" w:rsidP="00BB7BC9">
      <w:pPr>
        <w:rPr>
          <w:rFonts w:cs="Arial"/>
          <w:color w:val="000000" w:themeColor="text1"/>
          <w:szCs w:val="16"/>
        </w:rPr>
      </w:pPr>
      <w:r w:rsidRPr="00781112">
        <w:rPr>
          <w:rFonts w:cs="Arial"/>
          <w:color w:val="000000" w:themeColor="text1"/>
          <w:szCs w:val="16"/>
        </w:rPr>
        <w:t xml:space="preserve">Indicator 4A: Provide the actual numbers used in the calculation (based upon </w:t>
      </w:r>
      <w:r w:rsidR="00FC69E3">
        <w:rPr>
          <w:rFonts w:cs="Arial"/>
          <w:color w:val="000000" w:themeColor="text1"/>
          <w:szCs w:val="16"/>
        </w:rPr>
        <w:t>LEAs</w:t>
      </w:r>
      <w:r w:rsidR="00FC69E3" w:rsidRPr="00781112">
        <w:rPr>
          <w:rFonts w:cs="Arial"/>
          <w:color w:val="000000" w:themeColor="text1"/>
          <w:szCs w:val="16"/>
        </w:rPr>
        <w:t xml:space="preserve"> </w:t>
      </w:r>
      <w:r w:rsidRPr="00781112">
        <w:rPr>
          <w:rFonts w:cs="Arial"/>
          <w:color w:val="000000" w:themeColor="text1"/>
          <w:szCs w:val="16"/>
        </w:rPr>
        <w:t>that met the minimum n and/or cell size requirement, if applicable). If significant discrepancies occurred, describe how the State educational agency reviewed and, if appropriate, revised (or required the affected local educational agency to revise) its policies, procedures, and practices relating to the development and implementation of IEPs, the use of positive behavioral interventions and supports, and procedural safeguards, to ensure that such policies, procedures, and practices comply with applicable requirements.</w:t>
      </w:r>
    </w:p>
    <w:p w14:paraId="03BDAB2D" w14:textId="605FCEE6" w:rsidR="00636061" w:rsidRPr="00781112" w:rsidRDefault="00636061" w:rsidP="00BB7BC9">
      <w:pPr>
        <w:rPr>
          <w:rFonts w:cs="Arial"/>
          <w:color w:val="000000" w:themeColor="text1"/>
          <w:szCs w:val="16"/>
        </w:rPr>
      </w:pPr>
      <w:r w:rsidRPr="00781112">
        <w:rPr>
          <w:rFonts w:cs="Arial"/>
          <w:color w:val="000000" w:themeColor="text1"/>
          <w:szCs w:val="16"/>
        </w:rPr>
        <w:t xml:space="preserve">Provide detailed information about the timely correction of </w:t>
      </w:r>
      <w:bookmarkStart w:id="26" w:name="_Hlk150863571"/>
      <w:r w:rsidR="00FC69E3">
        <w:rPr>
          <w:rFonts w:cs="Arial"/>
          <w:color w:val="000000" w:themeColor="text1"/>
          <w:szCs w:val="16"/>
        </w:rPr>
        <w:t xml:space="preserve">child-specific and regulatory/systemic </w:t>
      </w:r>
      <w:bookmarkEnd w:id="26"/>
      <w:r w:rsidRPr="00781112">
        <w:rPr>
          <w:rFonts w:cs="Arial"/>
          <w:color w:val="000000" w:themeColor="text1"/>
          <w:szCs w:val="16"/>
        </w:rPr>
        <w:t>noncompliance as noted in OSEP’s response for the previous SPP/APR. If discrepancies occurred and the LEA with discrepancies had policies, procedures or practices that contributed to the significant discrepancy,</w:t>
      </w:r>
      <w:r w:rsidR="00ED1949" w:rsidRPr="00781112">
        <w:rPr>
          <w:rFonts w:cs="Arial"/>
          <w:szCs w:val="16"/>
        </w:rPr>
        <w:t xml:space="preserve"> as defined by the State,</w:t>
      </w:r>
      <w:r w:rsidRPr="00781112">
        <w:rPr>
          <w:rFonts w:cs="Arial"/>
          <w:color w:val="000000" w:themeColor="text1"/>
          <w:szCs w:val="16"/>
        </w:rPr>
        <w:t xml:space="preserve"> and that do not comply with requirements relating to the development and implementation of IEPs, the use of positive behavioral interventions and supports, and procedural safeguards, describe how the State ensured that such policies, procedures, and practices were revised to comply with applicable requirements consistent with OSEP</w:t>
      </w:r>
      <w:r w:rsidR="004D1797">
        <w:rPr>
          <w:rFonts w:cs="Arial"/>
          <w:color w:val="000000" w:themeColor="text1"/>
          <w:szCs w:val="16"/>
        </w:rPr>
        <w:t xml:space="preserve"> </w:t>
      </w:r>
      <w:r w:rsidR="004D1797" w:rsidRPr="00BA3DBE">
        <w:rPr>
          <w:rFonts w:cs="Arial"/>
          <w:bCs/>
          <w:color w:val="000000" w:themeColor="text1"/>
          <w:szCs w:val="16"/>
        </w:rPr>
        <w:t>QA 23-01, dated July 24, 2023</w:t>
      </w:r>
      <w:r w:rsidRPr="00781112">
        <w:rPr>
          <w:rFonts w:cs="Arial"/>
          <w:color w:val="000000" w:themeColor="text1"/>
          <w:szCs w:val="16"/>
        </w:rPr>
        <w:t>.</w:t>
      </w:r>
    </w:p>
    <w:p w14:paraId="6D645554" w14:textId="56914A76" w:rsidR="00636061" w:rsidRPr="00781112" w:rsidRDefault="00636061" w:rsidP="00BB7BC9">
      <w:pPr>
        <w:rPr>
          <w:rFonts w:cs="Arial"/>
          <w:color w:val="000000" w:themeColor="text1"/>
          <w:szCs w:val="16"/>
        </w:rPr>
      </w:pPr>
      <w:r w:rsidRPr="00781112">
        <w:rPr>
          <w:rFonts w:cs="Arial"/>
          <w:color w:val="000000" w:themeColor="text1"/>
          <w:szCs w:val="16"/>
        </w:rPr>
        <w:t>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and any enforcement actions that were taken.</w:t>
      </w:r>
    </w:p>
    <w:p w14:paraId="406A7CC3" w14:textId="5FE1C245" w:rsidR="00636061" w:rsidRPr="00781112" w:rsidRDefault="00A14B5D" w:rsidP="00BB7BC9">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2022 SPP/APR, the data for FFY 2021), and the State did not identify any findings of noncompliance, provide an explanation of why the State did not identify any findings of noncompliance.</w:t>
      </w:r>
    </w:p>
    <w:p w14:paraId="216100ED" w14:textId="6483EA1E" w:rsidR="006E5AE4" w:rsidRPr="00781112" w:rsidRDefault="00697434" w:rsidP="008645AD">
      <w:pPr>
        <w:pStyle w:val="Heading2"/>
      </w:pPr>
      <w:bookmarkStart w:id="27" w:name="_Toc384383332"/>
      <w:bookmarkStart w:id="28" w:name="_Toc392159284"/>
      <w:bookmarkEnd w:id="23"/>
      <w:bookmarkEnd w:id="24"/>
      <w:r w:rsidRPr="00781112">
        <w:t>4A</w:t>
      </w:r>
      <w:r w:rsidR="00DA3C7A" w:rsidRPr="00781112">
        <w:t xml:space="preserve"> </w:t>
      </w:r>
      <w:r w:rsidRPr="00781112">
        <w:t xml:space="preserve">- </w:t>
      </w:r>
      <w:r w:rsidR="006E5AE4" w:rsidRPr="00781112">
        <w:t>Indicator Data</w:t>
      </w:r>
    </w:p>
    <w:p w14:paraId="4E76A356" w14:textId="4BD9398E" w:rsidR="00EC46E4" w:rsidRPr="00781112" w:rsidRDefault="00EC46E4" w:rsidP="004369B2">
      <w:pPr>
        <w:rPr>
          <w:b/>
          <w:color w:val="000000" w:themeColor="text1"/>
        </w:rPr>
      </w:pPr>
      <w:r w:rsidRPr="00781112">
        <w:rPr>
          <w:b/>
          <w:color w:val="000000" w:themeColor="text1"/>
        </w:rPr>
        <w:t>Historical Data</w:t>
      </w:r>
    </w:p>
    <w:tbl>
      <w:tblPr>
        <w:tblStyle w:val="TableGrid"/>
        <w:tblW w:w="0" w:type="auto"/>
        <w:tblLook w:val="04A0" w:firstRow="1" w:lastRow="0" w:firstColumn="1" w:lastColumn="0" w:noHBand="0" w:noVBand="1"/>
        <w:tblCaption w:val="B04ABASELINEDATA"/>
      </w:tblPr>
      <w:tblGrid>
        <w:gridCol w:w="2562"/>
        <w:gridCol w:w="2563"/>
      </w:tblGrid>
      <w:tr w:rsidR="002B6965" w:rsidRPr="00781112" w14:paraId="5B1BF1C8" w14:textId="77777777" w:rsidTr="002B6965">
        <w:trPr>
          <w:trHeight w:val="311"/>
          <w:tblHeader/>
        </w:trPr>
        <w:tc>
          <w:tcPr>
            <w:tcW w:w="2562" w:type="dxa"/>
          </w:tcPr>
          <w:p w14:paraId="3EC58E83" w14:textId="77777777" w:rsidR="002B6965" w:rsidRPr="00781112" w:rsidRDefault="002B6965" w:rsidP="002B6965">
            <w:pPr>
              <w:jc w:val="center"/>
              <w:rPr>
                <w:b/>
                <w:color w:val="000000" w:themeColor="text1"/>
              </w:rPr>
            </w:pPr>
            <w:r w:rsidRPr="00781112">
              <w:rPr>
                <w:rFonts w:cs="Arial"/>
                <w:b/>
                <w:color w:val="000000" w:themeColor="text1"/>
                <w:szCs w:val="16"/>
              </w:rPr>
              <w:t>Baseline Year</w:t>
            </w:r>
          </w:p>
        </w:tc>
        <w:tc>
          <w:tcPr>
            <w:tcW w:w="2563" w:type="dxa"/>
          </w:tcPr>
          <w:p w14:paraId="3BF90404" w14:textId="77777777" w:rsidR="002B6965" w:rsidRPr="00781112" w:rsidRDefault="002B6965" w:rsidP="002B6965">
            <w:pPr>
              <w:jc w:val="center"/>
              <w:rPr>
                <w:b/>
                <w:color w:val="000000" w:themeColor="text1"/>
              </w:rPr>
            </w:pPr>
            <w:r w:rsidRPr="00781112">
              <w:rPr>
                <w:b/>
                <w:color w:val="000000" w:themeColor="text1"/>
              </w:rPr>
              <w:t>Baseline Data</w:t>
            </w:r>
          </w:p>
        </w:tc>
      </w:tr>
      <w:tr w:rsidR="002B6965" w:rsidRPr="00781112" w14:paraId="5EF83473" w14:textId="77777777" w:rsidTr="002B6965">
        <w:trPr>
          <w:trHeight w:val="311"/>
        </w:trPr>
        <w:tc>
          <w:tcPr>
            <w:tcW w:w="2562" w:type="dxa"/>
            <w:vAlign w:val="center"/>
          </w:tcPr>
          <w:p w14:paraId="5A1767D0" w14:textId="7AC9A457" w:rsidR="002B6965" w:rsidRPr="00781112" w:rsidRDefault="002B6965" w:rsidP="002B6965">
            <w:pPr>
              <w:jc w:val="center"/>
              <w:rPr>
                <w:b/>
                <w:color w:val="000000" w:themeColor="text1"/>
              </w:rPr>
            </w:pPr>
            <w:r w:rsidRPr="00781112">
              <w:rPr>
                <w:rFonts w:cs="Arial"/>
                <w:color w:val="000000" w:themeColor="text1"/>
                <w:szCs w:val="16"/>
              </w:rPr>
              <w:t>2022</w:t>
            </w:r>
          </w:p>
        </w:tc>
        <w:tc>
          <w:tcPr>
            <w:tcW w:w="2563" w:type="dxa"/>
            <w:vAlign w:val="center"/>
          </w:tcPr>
          <w:p w14:paraId="4EF66E74" w14:textId="7A5DFEFF" w:rsidR="002B6965" w:rsidRPr="00781112" w:rsidRDefault="002B6965" w:rsidP="002B6965">
            <w:pPr>
              <w:jc w:val="center"/>
              <w:rPr>
                <w:b/>
                <w:color w:val="000000" w:themeColor="text1"/>
              </w:rPr>
            </w:pPr>
            <w:r w:rsidRPr="00781112">
              <w:rPr>
                <w:rFonts w:cs="Arial"/>
                <w:color w:val="000000" w:themeColor="text1"/>
                <w:szCs w:val="16"/>
              </w:rPr>
              <w:t>12.14%</w:t>
            </w:r>
          </w:p>
        </w:tc>
      </w:tr>
    </w:tbl>
    <w:p w14:paraId="6781E363" w14:textId="556D76E5" w:rsidR="002B6965" w:rsidRPr="00781112" w:rsidRDefault="002E111A" w:rsidP="004369B2">
      <w:pPr>
        <w:rPr>
          <w:color w:val="000000" w:themeColor="text1"/>
        </w:rPr>
      </w:pP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4AHISTDATA"/>
      </w:tblPr>
      <w:tblGrid>
        <w:gridCol w:w="1798"/>
        <w:gridCol w:w="1798"/>
        <w:gridCol w:w="1798"/>
        <w:gridCol w:w="1798"/>
        <w:gridCol w:w="1798"/>
        <w:gridCol w:w="1800"/>
      </w:tblGrid>
      <w:tr w:rsidR="005C29F8" w:rsidRPr="00781112" w14:paraId="2DAF49AB" w14:textId="32F9B748" w:rsidTr="00E95FBF">
        <w:trPr>
          <w:trHeight w:val="350"/>
        </w:trPr>
        <w:tc>
          <w:tcPr>
            <w:tcW w:w="833" w:type="pct"/>
            <w:tcBorders>
              <w:bottom w:val="single" w:sz="4" w:space="0" w:color="auto"/>
            </w:tcBorders>
            <w:shd w:val="clear" w:color="auto" w:fill="auto"/>
          </w:tcPr>
          <w:p w14:paraId="7844FE4C" w14:textId="77777777" w:rsidR="00E4112E" w:rsidRPr="00781112" w:rsidRDefault="00E4112E" w:rsidP="004369B2">
            <w:pPr>
              <w:jc w:val="center"/>
              <w:rPr>
                <w:b/>
                <w:color w:val="000000" w:themeColor="text1"/>
              </w:rPr>
            </w:pPr>
            <w:r w:rsidRPr="00781112">
              <w:rPr>
                <w:b/>
                <w:color w:val="000000" w:themeColor="text1"/>
              </w:rPr>
              <w:t>FFY</w:t>
            </w:r>
          </w:p>
        </w:tc>
        <w:tc>
          <w:tcPr>
            <w:tcW w:w="833" w:type="pct"/>
            <w:shd w:val="clear" w:color="auto" w:fill="auto"/>
          </w:tcPr>
          <w:p w14:paraId="09DCA0E6" w14:textId="614607D6" w:rsidR="00E4112E" w:rsidRPr="00781112" w:rsidRDefault="002B7490">
            <w:pPr>
              <w:jc w:val="center"/>
              <w:rPr>
                <w:b/>
                <w:color w:val="000000" w:themeColor="text1"/>
              </w:rPr>
            </w:pPr>
            <w:r w:rsidRPr="00781112">
              <w:rPr>
                <w:b/>
                <w:color w:val="000000" w:themeColor="text1"/>
              </w:rPr>
              <w:t>2017</w:t>
            </w:r>
          </w:p>
        </w:tc>
        <w:tc>
          <w:tcPr>
            <w:tcW w:w="833" w:type="pct"/>
            <w:shd w:val="clear" w:color="auto" w:fill="auto"/>
          </w:tcPr>
          <w:p w14:paraId="7015519F" w14:textId="3BECE8C5" w:rsidR="00E4112E" w:rsidRPr="00781112" w:rsidRDefault="002B7490">
            <w:pPr>
              <w:jc w:val="center"/>
              <w:rPr>
                <w:b/>
                <w:color w:val="000000" w:themeColor="text1"/>
              </w:rPr>
            </w:pPr>
            <w:r w:rsidRPr="00781112">
              <w:rPr>
                <w:b/>
                <w:color w:val="000000" w:themeColor="text1"/>
              </w:rPr>
              <w:t>2018</w:t>
            </w:r>
          </w:p>
        </w:tc>
        <w:tc>
          <w:tcPr>
            <w:tcW w:w="833" w:type="pct"/>
            <w:shd w:val="clear" w:color="auto" w:fill="auto"/>
          </w:tcPr>
          <w:p w14:paraId="7CE93832" w14:textId="3E179BB5" w:rsidR="00E4112E" w:rsidRPr="00781112" w:rsidRDefault="002B7490">
            <w:pPr>
              <w:jc w:val="center"/>
              <w:rPr>
                <w:b/>
                <w:color w:val="000000" w:themeColor="text1"/>
              </w:rPr>
            </w:pPr>
            <w:r w:rsidRPr="00781112">
              <w:rPr>
                <w:b/>
                <w:color w:val="000000" w:themeColor="text1"/>
              </w:rPr>
              <w:t>2019</w:t>
            </w:r>
          </w:p>
        </w:tc>
        <w:tc>
          <w:tcPr>
            <w:tcW w:w="833" w:type="pct"/>
            <w:shd w:val="clear" w:color="auto" w:fill="auto"/>
          </w:tcPr>
          <w:p w14:paraId="1A1DC4B0" w14:textId="32B92E1C" w:rsidR="00E4112E" w:rsidRPr="00781112" w:rsidRDefault="002B7490">
            <w:pPr>
              <w:jc w:val="center"/>
              <w:rPr>
                <w:b/>
                <w:color w:val="000000" w:themeColor="text1"/>
              </w:rPr>
            </w:pPr>
            <w:r w:rsidRPr="00781112">
              <w:rPr>
                <w:b/>
                <w:color w:val="000000" w:themeColor="text1"/>
              </w:rPr>
              <w:t>2020</w:t>
            </w:r>
          </w:p>
        </w:tc>
        <w:tc>
          <w:tcPr>
            <w:tcW w:w="834" w:type="pct"/>
            <w:shd w:val="clear" w:color="auto" w:fill="auto"/>
          </w:tcPr>
          <w:p w14:paraId="030F446C" w14:textId="279E0CA2" w:rsidR="00E4112E" w:rsidRPr="00781112" w:rsidRDefault="002B7490">
            <w:pPr>
              <w:jc w:val="center"/>
              <w:rPr>
                <w:b/>
                <w:color w:val="000000" w:themeColor="text1"/>
              </w:rPr>
            </w:pPr>
            <w:r w:rsidRPr="00781112">
              <w:rPr>
                <w:b/>
                <w:color w:val="000000" w:themeColor="text1"/>
              </w:rPr>
              <w:t>2021</w:t>
            </w:r>
          </w:p>
        </w:tc>
      </w:tr>
      <w:tr w:rsidR="005C29F8" w:rsidRPr="00781112" w14:paraId="166D6AFF" w14:textId="0C956946" w:rsidTr="00E95FBF">
        <w:trPr>
          <w:trHeight w:val="357"/>
        </w:trPr>
        <w:tc>
          <w:tcPr>
            <w:tcW w:w="833" w:type="pct"/>
            <w:shd w:val="clear" w:color="auto" w:fill="auto"/>
            <w:vAlign w:val="center"/>
          </w:tcPr>
          <w:p w14:paraId="38AA0076" w14:textId="731BFD6B" w:rsidR="00BB7BC9" w:rsidRPr="00781112" w:rsidRDefault="00BB7BC9" w:rsidP="00BA3DBE">
            <w:pPr>
              <w:jc w:val="center"/>
              <w:rPr>
                <w:rFonts w:cs="Arial"/>
                <w:color w:val="000000" w:themeColor="text1"/>
                <w:szCs w:val="16"/>
              </w:rPr>
            </w:pPr>
            <w:r w:rsidRPr="00781112">
              <w:rPr>
                <w:rFonts w:cs="Arial"/>
                <w:color w:val="000000" w:themeColor="text1"/>
                <w:szCs w:val="16"/>
              </w:rPr>
              <w:t xml:space="preserve">Target </w:t>
            </w:r>
            <w:r w:rsidR="009B02BC" w:rsidRPr="00781112">
              <w:rPr>
                <w:rFonts w:cs="Arial"/>
                <w:color w:val="000000" w:themeColor="text1"/>
                <w:szCs w:val="16"/>
                <w:shd w:val="clear" w:color="auto" w:fill="FFFFFF"/>
              </w:rPr>
              <w:t>&lt;=</w:t>
            </w:r>
          </w:p>
        </w:tc>
        <w:tc>
          <w:tcPr>
            <w:tcW w:w="833" w:type="pct"/>
            <w:shd w:val="clear" w:color="auto" w:fill="auto"/>
            <w:vAlign w:val="center"/>
          </w:tcPr>
          <w:p w14:paraId="6CE07273" w14:textId="702A47D4" w:rsidR="00BB7BC9" w:rsidRPr="00781112" w:rsidRDefault="002B7490" w:rsidP="00A018D4">
            <w:pPr>
              <w:jc w:val="center"/>
              <w:rPr>
                <w:rFonts w:cs="Arial"/>
                <w:color w:val="000000" w:themeColor="text1"/>
                <w:szCs w:val="16"/>
              </w:rPr>
            </w:pPr>
            <w:r w:rsidRPr="00781112">
              <w:rPr>
                <w:rFonts w:cs="Arial"/>
                <w:color w:val="000000" w:themeColor="text1"/>
                <w:szCs w:val="16"/>
              </w:rPr>
              <w:t>0.81%</w:t>
            </w:r>
          </w:p>
        </w:tc>
        <w:tc>
          <w:tcPr>
            <w:tcW w:w="833" w:type="pct"/>
            <w:shd w:val="clear" w:color="auto" w:fill="auto"/>
            <w:vAlign w:val="center"/>
          </w:tcPr>
          <w:p w14:paraId="79939FD5" w14:textId="354F468A" w:rsidR="00BB7BC9" w:rsidRPr="00781112" w:rsidRDefault="002B7490" w:rsidP="00A018D4">
            <w:pPr>
              <w:jc w:val="center"/>
              <w:rPr>
                <w:rFonts w:cs="Arial"/>
                <w:color w:val="000000" w:themeColor="text1"/>
                <w:szCs w:val="16"/>
              </w:rPr>
            </w:pPr>
            <w:r w:rsidRPr="00781112">
              <w:rPr>
                <w:rFonts w:cs="Arial"/>
                <w:color w:val="000000" w:themeColor="text1"/>
                <w:szCs w:val="16"/>
              </w:rPr>
              <w:t>0.80%</w:t>
            </w:r>
          </w:p>
        </w:tc>
        <w:tc>
          <w:tcPr>
            <w:tcW w:w="833" w:type="pct"/>
            <w:shd w:val="clear" w:color="auto" w:fill="auto"/>
            <w:vAlign w:val="center"/>
          </w:tcPr>
          <w:p w14:paraId="2F67AA89" w14:textId="7720B113" w:rsidR="00BB7BC9" w:rsidRPr="00781112" w:rsidRDefault="002B7490" w:rsidP="00A018D4">
            <w:pPr>
              <w:jc w:val="center"/>
              <w:rPr>
                <w:rFonts w:cs="Arial"/>
                <w:color w:val="000000" w:themeColor="text1"/>
                <w:szCs w:val="16"/>
              </w:rPr>
            </w:pPr>
            <w:r w:rsidRPr="00781112">
              <w:rPr>
                <w:rFonts w:cs="Arial"/>
                <w:color w:val="000000" w:themeColor="text1"/>
                <w:szCs w:val="16"/>
              </w:rPr>
              <w:t>0.80%</w:t>
            </w:r>
          </w:p>
        </w:tc>
        <w:tc>
          <w:tcPr>
            <w:tcW w:w="833" w:type="pct"/>
            <w:shd w:val="clear" w:color="auto" w:fill="auto"/>
            <w:vAlign w:val="center"/>
          </w:tcPr>
          <w:p w14:paraId="370622DC" w14:textId="1DC834EA" w:rsidR="00BB7BC9" w:rsidRPr="00781112" w:rsidRDefault="002B7490" w:rsidP="00A018D4">
            <w:pPr>
              <w:jc w:val="center"/>
              <w:rPr>
                <w:rFonts w:cs="Arial"/>
                <w:color w:val="000000" w:themeColor="text1"/>
                <w:szCs w:val="16"/>
              </w:rPr>
            </w:pPr>
            <w:r w:rsidRPr="00781112">
              <w:rPr>
                <w:rFonts w:cs="Arial"/>
                <w:color w:val="000000" w:themeColor="text1"/>
                <w:szCs w:val="16"/>
              </w:rPr>
              <w:t>0.81%</w:t>
            </w:r>
          </w:p>
        </w:tc>
        <w:tc>
          <w:tcPr>
            <w:tcW w:w="834" w:type="pct"/>
            <w:shd w:val="clear" w:color="auto" w:fill="auto"/>
            <w:vAlign w:val="center"/>
          </w:tcPr>
          <w:p w14:paraId="01742AA4" w14:textId="72802F04" w:rsidR="00BB7BC9" w:rsidRPr="00781112" w:rsidRDefault="002B7490" w:rsidP="00A018D4">
            <w:pPr>
              <w:jc w:val="center"/>
              <w:rPr>
                <w:rFonts w:cs="Arial"/>
                <w:color w:val="000000" w:themeColor="text1"/>
                <w:szCs w:val="16"/>
              </w:rPr>
            </w:pPr>
            <w:r w:rsidRPr="00781112">
              <w:rPr>
                <w:rFonts w:cs="Arial"/>
                <w:color w:val="000000" w:themeColor="text1"/>
                <w:szCs w:val="16"/>
              </w:rPr>
              <w:t>0.68%</w:t>
            </w:r>
          </w:p>
        </w:tc>
      </w:tr>
      <w:tr w:rsidR="005C29F8" w:rsidRPr="00781112" w14:paraId="7A0B9513" w14:textId="222C1F8D" w:rsidTr="00E95FBF">
        <w:trPr>
          <w:trHeight w:val="85"/>
        </w:trPr>
        <w:tc>
          <w:tcPr>
            <w:tcW w:w="833" w:type="pct"/>
            <w:shd w:val="clear" w:color="auto" w:fill="auto"/>
            <w:vAlign w:val="center"/>
          </w:tcPr>
          <w:p w14:paraId="7EAE8715" w14:textId="77777777" w:rsidR="00BB7BC9" w:rsidRPr="00781112" w:rsidRDefault="00BB7BC9"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088137A7" w14:textId="7782C22E" w:rsidR="00BB7BC9" w:rsidRPr="00781112" w:rsidRDefault="002B7490" w:rsidP="00A018D4">
            <w:pPr>
              <w:jc w:val="center"/>
              <w:rPr>
                <w:rFonts w:cs="Arial"/>
                <w:color w:val="000000" w:themeColor="text1"/>
                <w:szCs w:val="16"/>
              </w:rPr>
            </w:pPr>
            <w:r w:rsidRPr="00781112">
              <w:rPr>
                <w:rFonts w:cs="Arial"/>
                <w:color w:val="000000" w:themeColor="text1"/>
                <w:szCs w:val="16"/>
              </w:rPr>
              <w:t>0.76%</w:t>
            </w:r>
          </w:p>
        </w:tc>
        <w:tc>
          <w:tcPr>
            <w:tcW w:w="833" w:type="pct"/>
            <w:shd w:val="clear" w:color="auto" w:fill="auto"/>
            <w:vAlign w:val="center"/>
          </w:tcPr>
          <w:p w14:paraId="6040C16E" w14:textId="1898F821"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2F4988E8" w14:textId="56ECA0F8" w:rsidR="00BB7BC9" w:rsidRPr="00781112" w:rsidRDefault="002B7490" w:rsidP="00A018D4">
            <w:pPr>
              <w:jc w:val="center"/>
              <w:rPr>
                <w:rFonts w:cs="Arial"/>
                <w:color w:val="000000" w:themeColor="text1"/>
                <w:szCs w:val="16"/>
              </w:rPr>
            </w:pPr>
            <w:r w:rsidRPr="00781112">
              <w:rPr>
                <w:rFonts w:cs="Arial"/>
                <w:color w:val="000000" w:themeColor="text1"/>
                <w:szCs w:val="16"/>
              </w:rPr>
              <w:t>0.71%</w:t>
            </w:r>
          </w:p>
        </w:tc>
        <w:tc>
          <w:tcPr>
            <w:tcW w:w="833" w:type="pct"/>
            <w:tcBorders>
              <w:bottom w:val="single" w:sz="4" w:space="0" w:color="auto"/>
            </w:tcBorders>
            <w:shd w:val="clear" w:color="auto" w:fill="auto"/>
            <w:vAlign w:val="center"/>
          </w:tcPr>
          <w:p w14:paraId="3315EDFF" w14:textId="1943A2C3" w:rsidR="00BB7BC9" w:rsidRPr="00781112" w:rsidRDefault="002B7490" w:rsidP="00A018D4">
            <w:pPr>
              <w:jc w:val="center"/>
              <w:rPr>
                <w:rFonts w:cs="Arial"/>
                <w:color w:val="000000" w:themeColor="text1"/>
                <w:szCs w:val="16"/>
              </w:rPr>
            </w:pPr>
            <w:r w:rsidRPr="00781112">
              <w:rPr>
                <w:rFonts w:cs="Arial"/>
                <w:color w:val="000000" w:themeColor="text1"/>
                <w:szCs w:val="16"/>
              </w:rPr>
              <w:t>0.71%</w:t>
            </w:r>
          </w:p>
        </w:tc>
        <w:tc>
          <w:tcPr>
            <w:tcW w:w="834" w:type="pct"/>
            <w:tcBorders>
              <w:bottom w:val="single" w:sz="4" w:space="0" w:color="auto"/>
            </w:tcBorders>
            <w:shd w:val="clear" w:color="auto" w:fill="auto"/>
            <w:vAlign w:val="center"/>
          </w:tcPr>
          <w:p w14:paraId="6B580E93" w14:textId="6155D799" w:rsidR="00BB7BC9" w:rsidRPr="00781112" w:rsidRDefault="002B7490" w:rsidP="00A018D4">
            <w:pPr>
              <w:jc w:val="center"/>
              <w:rPr>
                <w:rFonts w:cs="Arial"/>
                <w:color w:val="000000" w:themeColor="text1"/>
                <w:szCs w:val="16"/>
              </w:rPr>
            </w:pPr>
            <w:r w:rsidRPr="00781112">
              <w:rPr>
                <w:rFonts w:cs="Arial"/>
                <w:color w:val="000000" w:themeColor="text1"/>
                <w:szCs w:val="16"/>
              </w:rPr>
              <w:t>Not Valid and Reliable</w:t>
            </w:r>
          </w:p>
        </w:tc>
      </w:tr>
    </w:tbl>
    <w:p w14:paraId="5F34812B" w14:textId="77777777" w:rsidR="006478FC" w:rsidRPr="00781112" w:rsidRDefault="006478FC" w:rsidP="004369B2">
      <w:pPr>
        <w:rPr>
          <w:color w:val="000000" w:themeColor="text1"/>
        </w:rPr>
      </w:pPr>
    </w:p>
    <w:p w14:paraId="4841771C" w14:textId="2E3FC34F" w:rsidR="00ED5FCE" w:rsidRPr="00781112" w:rsidRDefault="00ED5FCE" w:rsidP="004369B2">
      <w:pPr>
        <w:rPr>
          <w:color w:val="000000" w:themeColor="text1"/>
        </w:rPr>
      </w:pPr>
      <w:r w:rsidRPr="00781112">
        <w:rPr>
          <w:b/>
          <w:color w:val="000000" w:themeColor="text1"/>
        </w:rPr>
        <w:t>Targets</w:t>
      </w:r>
    </w:p>
    <w:tbl>
      <w:tblPr>
        <w:tblW w:w="4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4ATARGETS"/>
      </w:tblPr>
      <w:tblGrid>
        <w:gridCol w:w="642"/>
        <w:gridCol w:w="2414"/>
        <w:gridCol w:w="2578"/>
        <w:gridCol w:w="2578"/>
        <w:gridCol w:w="2578"/>
      </w:tblGrid>
      <w:tr w:rsidR="00B67FCE" w:rsidRPr="00781112" w14:paraId="00255703" w14:textId="57B86D35" w:rsidTr="006A7621">
        <w:trPr>
          <w:trHeight w:val="350"/>
        </w:trPr>
        <w:tc>
          <w:tcPr>
            <w:tcW w:w="316" w:type="pct"/>
            <w:tcBorders>
              <w:bottom w:val="single" w:sz="4" w:space="0" w:color="auto"/>
            </w:tcBorders>
            <w:shd w:val="clear" w:color="auto" w:fill="auto"/>
          </w:tcPr>
          <w:p w14:paraId="12833EEC" w14:textId="77777777" w:rsidR="00B67FCE" w:rsidRPr="00781112" w:rsidRDefault="00B67FCE" w:rsidP="00373F78">
            <w:pPr>
              <w:jc w:val="center"/>
              <w:rPr>
                <w:b/>
                <w:color w:val="000000" w:themeColor="text1"/>
              </w:rPr>
            </w:pPr>
            <w:r w:rsidRPr="00781112">
              <w:rPr>
                <w:b/>
                <w:color w:val="000000" w:themeColor="text1"/>
              </w:rPr>
              <w:t>FFY</w:t>
            </w:r>
          </w:p>
        </w:tc>
        <w:tc>
          <w:tcPr>
            <w:tcW w:w="1115" w:type="pct"/>
            <w:shd w:val="clear" w:color="auto" w:fill="auto"/>
          </w:tcPr>
          <w:p w14:paraId="50119DBA" w14:textId="04DC2A77" w:rsidR="00B67FCE" w:rsidRPr="00781112" w:rsidRDefault="00B67FCE" w:rsidP="00373F78">
            <w:pPr>
              <w:jc w:val="center"/>
              <w:rPr>
                <w:b/>
                <w:color w:val="000000" w:themeColor="text1"/>
              </w:rPr>
            </w:pPr>
            <w:r w:rsidRPr="00781112">
              <w:rPr>
                <w:b/>
                <w:color w:val="000000" w:themeColor="text1"/>
              </w:rPr>
              <w:t>2022</w:t>
            </w:r>
          </w:p>
        </w:tc>
        <w:tc>
          <w:tcPr>
            <w:tcW w:w="1190" w:type="pct"/>
          </w:tcPr>
          <w:p w14:paraId="59425E52" w14:textId="30A73A95" w:rsidR="00B67FCE" w:rsidRPr="00781112" w:rsidRDefault="00B67FCE" w:rsidP="00373F78">
            <w:pPr>
              <w:jc w:val="center"/>
              <w:rPr>
                <w:b/>
                <w:color w:val="000000" w:themeColor="text1"/>
              </w:rPr>
            </w:pPr>
            <w:r w:rsidRPr="00781112">
              <w:rPr>
                <w:rFonts w:cs="Arial"/>
                <w:b/>
                <w:color w:val="000000" w:themeColor="text1"/>
                <w:szCs w:val="16"/>
              </w:rPr>
              <w:t>2023</w:t>
            </w:r>
          </w:p>
        </w:tc>
        <w:tc>
          <w:tcPr>
            <w:tcW w:w="1190" w:type="pct"/>
          </w:tcPr>
          <w:p w14:paraId="62296859" w14:textId="1A7F3D46" w:rsidR="00B67FCE" w:rsidRPr="00781112" w:rsidRDefault="00B67FCE" w:rsidP="00373F78">
            <w:pPr>
              <w:jc w:val="center"/>
              <w:rPr>
                <w:b/>
                <w:color w:val="000000" w:themeColor="text1"/>
              </w:rPr>
            </w:pPr>
            <w:r w:rsidRPr="00781112">
              <w:rPr>
                <w:rFonts w:cs="Arial"/>
                <w:b/>
                <w:color w:val="000000" w:themeColor="text1"/>
                <w:szCs w:val="16"/>
              </w:rPr>
              <w:t>2024</w:t>
            </w:r>
          </w:p>
        </w:tc>
        <w:tc>
          <w:tcPr>
            <w:tcW w:w="1190" w:type="pct"/>
          </w:tcPr>
          <w:p w14:paraId="69950222" w14:textId="1E5E636C" w:rsidR="00B67FCE" w:rsidRPr="00781112" w:rsidRDefault="00B67FCE" w:rsidP="00373F78">
            <w:pPr>
              <w:jc w:val="center"/>
              <w:rPr>
                <w:b/>
                <w:color w:val="000000" w:themeColor="text1"/>
              </w:rPr>
            </w:pPr>
            <w:r w:rsidRPr="00781112">
              <w:rPr>
                <w:rFonts w:cs="Arial"/>
                <w:b/>
                <w:color w:val="000000" w:themeColor="text1"/>
                <w:szCs w:val="16"/>
              </w:rPr>
              <w:t>2025</w:t>
            </w:r>
          </w:p>
        </w:tc>
      </w:tr>
      <w:tr w:rsidR="00B67FCE" w:rsidRPr="00781112" w14:paraId="1ACE760A" w14:textId="1AE21F6E" w:rsidTr="006A7621">
        <w:trPr>
          <w:trHeight w:val="357"/>
        </w:trPr>
        <w:tc>
          <w:tcPr>
            <w:tcW w:w="316" w:type="pct"/>
            <w:shd w:val="clear" w:color="auto" w:fill="auto"/>
            <w:vAlign w:val="center"/>
          </w:tcPr>
          <w:p w14:paraId="3387B9B3" w14:textId="0ED5756F" w:rsidR="00B67FCE" w:rsidRPr="00781112" w:rsidRDefault="00B67FCE" w:rsidP="00BA3DBE">
            <w:pPr>
              <w:jc w:val="center"/>
              <w:rPr>
                <w:rFonts w:cs="Arial"/>
                <w:color w:val="000000" w:themeColor="text1"/>
                <w:szCs w:val="16"/>
              </w:rPr>
            </w:pPr>
            <w:r w:rsidRPr="00781112">
              <w:rPr>
                <w:rFonts w:cs="Arial"/>
                <w:color w:val="000000" w:themeColor="text1"/>
                <w:szCs w:val="16"/>
              </w:rPr>
              <w:t xml:space="preserve">Target </w:t>
            </w:r>
            <w:r w:rsidRPr="00781112">
              <w:rPr>
                <w:rFonts w:cs="Arial"/>
                <w:color w:val="000000" w:themeColor="text1"/>
                <w:szCs w:val="16"/>
                <w:shd w:val="clear" w:color="auto" w:fill="FFFFFF"/>
              </w:rPr>
              <w:t>&lt;=</w:t>
            </w:r>
          </w:p>
        </w:tc>
        <w:tc>
          <w:tcPr>
            <w:tcW w:w="1115" w:type="pct"/>
            <w:shd w:val="clear" w:color="auto" w:fill="auto"/>
            <w:vAlign w:val="center"/>
          </w:tcPr>
          <w:p w14:paraId="78EBD6ED" w14:textId="4FA09BBD" w:rsidR="00B67FCE" w:rsidRPr="00781112" w:rsidRDefault="00B67FCE" w:rsidP="00373F78">
            <w:pPr>
              <w:jc w:val="center"/>
              <w:rPr>
                <w:rFonts w:cs="Arial"/>
                <w:color w:val="000000" w:themeColor="text1"/>
                <w:szCs w:val="16"/>
              </w:rPr>
            </w:pPr>
            <w:r w:rsidRPr="00781112">
              <w:rPr>
                <w:rFonts w:cs="Arial"/>
                <w:color w:val="000000" w:themeColor="text1"/>
                <w:szCs w:val="16"/>
              </w:rPr>
              <w:t>12.14%</w:t>
            </w:r>
          </w:p>
        </w:tc>
        <w:tc>
          <w:tcPr>
            <w:tcW w:w="1190" w:type="pct"/>
          </w:tcPr>
          <w:p w14:paraId="6FDC82B2" w14:textId="0C85D604" w:rsidR="00B67FCE" w:rsidRPr="00781112" w:rsidRDefault="00B67FCE" w:rsidP="00373F78">
            <w:pPr>
              <w:jc w:val="center"/>
              <w:rPr>
                <w:rFonts w:cs="Arial"/>
                <w:color w:val="000000" w:themeColor="text1"/>
                <w:szCs w:val="16"/>
              </w:rPr>
            </w:pPr>
            <w:r w:rsidRPr="00781112">
              <w:rPr>
                <w:color w:val="000000" w:themeColor="text1"/>
                <w:szCs w:val="16"/>
              </w:rPr>
              <w:t>12.10%</w:t>
            </w:r>
          </w:p>
        </w:tc>
        <w:tc>
          <w:tcPr>
            <w:tcW w:w="1190" w:type="pct"/>
          </w:tcPr>
          <w:p w14:paraId="798EC84B" w14:textId="0E47DBF4" w:rsidR="00B67FCE" w:rsidRPr="00781112" w:rsidRDefault="00B67FCE" w:rsidP="00373F78">
            <w:pPr>
              <w:jc w:val="center"/>
              <w:rPr>
                <w:rFonts w:cs="Arial"/>
                <w:color w:val="000000" w:themeColor="text1"/>
                <w:szCs w:val="16"/>
              </w:rPr>
            </w:pPr>
            <w:r w:rsidRPr="00781112">
              <w:rPr>
                <w:color w:val="000000" w:themeColor="text1"/>
                <w:szCs w:val="16"/>
              </w:rPr>
              <w:t>12.05%</w:t>
            </w:r>
          </w:p>
        </w:tc>
        <w:tc>
          <w:tcPr>
            <w:tcW w:w="1190" w:type="pct"/>
          </w:tcPr>
          <w:p w14:paraId="75A6D928" w14:textId="791A7001" w:rsidR="00B67FCE" w:rsidRPr="00781112" w:rsidRDefault="00B67FCE" w:rsidP="00373F78">
            <w:pPr>
              <w:jc w:val="center"/>
              <w:rPr>
                <w:rFonts w:cs="Arial"/>
                <w:color w:val="000000" w:themeColor="text1"/>
                <w:szCs w:val="16"/>
              </w:rPr>
            </w:pPr>
            <w:r w:rsidRPr="00781112">
              <w:rPr>
                <w:color w:val="000000" w:themeColor="text1"/>
                <w:szCs w:val="16"/>
              </w:rPr>
              <w:t>12.00%</w:t>
            </w:r>
          </w:p>
        </w:tc>
      </w:tr>
    </w:tbl>
    <w:p w14:paraId="05EA20CB" w14:textId="0A0E8C80" w:rsidR="002D145D" w:rsidRPr="00781112" w:rsidRDefault="002D145D" w:rsidP="004369B2">
      <w:pPr>
        <w:rPr>
          <w:b/>
          <w:color w:val="000000" w:themeColor="text1"/>
        </w:rPr>
      </w:pPr>
      <w:r w:rsidRPr="00781112">
        <w:rPr>
          <w:b/>
          <w:color w:val="000000" w:themeColor="text1"/>
        </w:rPr>
        <w:t xml:space="preserve">Targets: Description of Stakeholder Input </w:t>
      </w:r>
    </w:p>
    <w:p w14:paraId="01F8C61F" w14:textId="7DC6A451" w:rsidR="002D145D" w:rsidRPr="00781112" w:rsidRDefault="002B7490" w:rsidP="002D145D">
      <w:pPr>
        <w:rPr>
          <w:rFonts w:cs="Arial"/>
          <w:color w:val="000000" w:themeColor="text1"/>
          <w:szCs w:val="16"/>
        </w:rPr>
      </w:pPr>
      <w:r w:rsidRPr="00781112">
        <w:rPr>
          <w:rFonts w:cs="Arial"/>
          <w:color w:val="000000" w:themeColor="text1"/>
          <w:szCs w:val="16"/>
        </w:rPr>
        <w:t>Mechanism for Broad Stakeholder Input:</w:t>
        <w:br/>
        <w:t xml:space="preserve">During FFY2022, the State held stakeholder meetings as the mechanism for soliciting broad stakeholder input on the State’s targets in the SPP/APR and any subsequent revisions. The meetings were held in-person for the first time following the COVID-19 pandemic. An online option was available for stakeholders that were not able to meet in person. In the meetings, Stakeholder groups reviewed the FFY2021 data, and the baselines and targets established for FFY 2020-2025. The groups analyzed the data to determine if established baselines and targets established in the prior year, were still an accurate depiction of the state’s performance trajectory. The meetings also allowed time for stakeholders to provide input on improvement strategies and progress for the SPP/APR indicators. The State also revised its methodology for Indicators 4a and 4b in which the information was shared with stakeholders and input was sought. In addition, the State also proposed a revised LEA annual determination rubric to include target indicators. The revised rubric will be used with FFY2023 LEA annual determinations and is consistent with the information in the OSEP Question and Answer document QA 23-01. </w:t>
        <w:br/>
        <w:t/>
        <w:br/>
        <w:t xml:space="preserve">Stakeholder meeting information including meeting logistics and presentations are available on the Special Education Division (SED) website for the public and any interested individual to access. Flyers were created and LEAs were asked to disseminate the information to their staff, parents, and students. The Parent Training Centers (PTCs) were asked to share the meeting information with parents including through social media. Other groups such as tribes, IDEA panel members, the State Special Education Ombud, and other parent advocacy groups were sent invitations to each of the meetings. </w:t>
        <w:br/>
        <w:t/>
        <w:br/>
        <w:t>Any stakeholder that wanted to provide feedback but could not attend the meetings, had an opportunity to do so. On the State’s stakeholder page, individuals can click on the link and share their input with the state staff by completing an input form. The feedback received from the website is also considered when making revisions and establishing targets.</w:t>
        <w:br/>
        <w:t/>
        <w:br/>
        <w:t>Feedback Summary:</w:t>
        <w:br/>
        <w:t>For Indicators 4a and 4b, the State’s methodology was proposed to be changed to meet OSEP requirements as indicated in the FFY2021, SPP/APR OSEP Responses and Required Actions. Stakeholders were presented with the new proposed methodology in which the cell size of 10 requirement was removed, the N size was reduced to 10 and a rate ratio of 3.0 was introduced. In comparison to the previous methodology, where a cell size and N size of 10 were required as well as a risk ratio of 1 percentage point above the state rate. Stakeholders had no objections or concerns with the new methodology. The State will use the new methodology to apply to the Indicator 4 data reported in this FFY2022 State Performance Plan/Annual Performance Report (SPP/APR).</w:t>
        <w:br/>
        <w:t/>
        <w:br/>
        <w:t>Indicator 17, State Systemic Improvement Plan:</w:t>
        <w:br/>
        <w:t xml:space="preserve">1. ECLIPSE program coordinators presented data and program updates to the state IDEA Panel (members include parents, advocates, state staff, and educators) during the 2022-2023 school year. IDEA panel members were engaged in the ECLIPSE program presentation on Indicator 17 and updates. An ECLIPSE panel committee provided qualitative feedback via a Google Form survey. The panel members conveyed the program is making progress in improving literacy outcomes forward for students with disabilities. Recommendations included increasing parental involvement and increased awareness of the program's successes. </w:t>
        <w:br/>
        <w:t>2. A virtual ECLIPSE stakeholder meeting was held during the 2022-2023 school year. Stakeholders in attendance included the ECLIPSE staff, Regional Education Cooperative (REC) coordinators, Special Education Directors, and ECLIPSE school principals. Stakeholders in attendance were provided with ECLIPSE program details for the upcoming school year and verbal feedback about the ECLIPSE Program at the end of the meeting.</w:t>
        <w:br/>
        <w:t xml:space="preserve">3. Parent engagement stakeholder meetings were held in-person and through online platforms where they were provided direct literacy training via hands-on activities. If the meeting was online, materials were provided to the schools prior to the meeting. The Regional Education Cooperative (REC) contractors provided materials, activities, and training to parents in-person. The REC initiated Google Pre and Post surveys following the trainings and it indicated that the level of understanding to support reading at home increased. Parental understanding of what the predicator of reading success was increased dramatically between pre and post surveys. A summary of parent comments included that the engagement sessions provided a lot of great information, it was a fun learning experience, and they looked forward to future meetings. </w:t>
        <w:br/>
        <w:t xml:space="preserve">4. The ECLIPSE staff initiated surveys during 2022-2023 to principals and teachers through Google Forms survey. Teachers showed dramatic increases in their knowledge of the incorporation of engagement strategies with their students due to their coaches. In a pre-survey, administrators listed that professional development on literacy is one of the greatest needs of the teachers they support. They also stated that time and equitable feedback were areas of administrative need. </w:t>
        <w:br/>
        <w:t>5. An online end of year survey was sent to all ECLIPSE stakeholders as the 2022-2023 school year ended. The main consensus from the survey supported the ongoing development of the program to illustrate its impact so adjustments can be made to better inform ourselves and our stakeholders of progress.</w:t>
      </w:r>
    </w:p>
    <w:p w14:paraId="3FD5337B" w14:textId="54E74935" w:rsidR="002D145D" w:rsidRPr="00781112" w:rsidRDefault="002B7490" w:rsidP="002D145D">
      <w:pPr>
        <w:rPr>
          <w:rFonts w:cs="Arial"/>
          <w:color w:val="000000" w:themeColor="text1"/>
          <w:szCs w:val="16"/>
        </w:rPr>
      </w:pPr>
      <w:r w:rsidRPr="00781112">
        <w:rPr>
          <w:rFonts w:cs="Arial"/>
          <w:color w:val="000000" w:themeColor="text1"/>
          <w:szCs w:val="16"/>
        </w:rPr>
        <w:t/>
      </w:r>
    </w:p>
    <w:p w14:paraId="2AE297AB" w14:textId="77777777" w:rsidR="007E6F97" w:rsidRPr="00781112" w:rsidRDefault="007E6F97" w:rsidP="004369B2">
      <w:pPr>
        <w:rPr>
          <w:color w:val="000000" w:themeColor="text1"/>
        </w:rPr>
      </w:pPr>
    </w:p>
    <w:bookmarkEnd w:id="27"/>
    <w:bookmarkEnd w:id="28"/>
    <w:p w14:paraId="2E616696" w14:textId="72E6A91B" w:rsidR="00D03701" w:rsidRPr="00781112" w:rsidRDefault="0047313F">
      <w:pPr>
        <w:rPr>
          <w:b/>
          <w:color w:val="000000" w:themeColor="text1"/>
        </w:rPr>
      </w:pPr>
      <w:r>
        <w:rPr>
          <w:b/>
          <w:color w:val="000000" w:themeColor="text1"/>
        </w:rPr>
        <w:t>FFY 2022 SPP/APR Data</w:t>
      </w:r>
    </w:p>
    <w:p w14:paraId="01DBD317" w14:textId="57913AA7" w:rsidR="009B02BC" w:rsidRPr="00781112" w:rsidRDefault="009B02BC">
      <w:pPr>
        <w:rPr>
          <w:rFonts w:cs="Arial"/>
          <w:b/>
          <w:color w:val="000000" w:themeColor="text1"/>
          <w:szCs w:val="16"/>
        </w:rPr>
      </w:pPr>
      <w:r w:rsidRPr="00781112">
        <w:rPr>
          <w:rFonts w:cs="Arial"/>
          <w:b/>
          <w:color w:val="000000" w:themeColor="text1"/>
          <w:szCs w:val="16"/>
        </w:rPr>
        <w:t>Has the state established a minimum n/cell-size requirement? (yes/no)</w:t>
      </w:r>
    </w:p>
    <w:p w14:paraId="6A8BDBAB" w14:textId="22481006" w:rsidR="009B02BC" w:rsidRPr="00781112" w:rsidRDefault="009B02BC">
      <w:pPr>
        <w:rPr>
          <w:rFonts w:cs="Arial"/>
          <w:color w:val="000000" w:themeColor="text1"/>
          <w:szCs w:val="16"/>
        </w:rPr>
      </w:pPr>
      <w:r w:rsidRPr="00781112">
        <w:rPr>
          <w:rFonts w:cs="Arial"/>
          <w:color w:val="000000" w:themeColor="text1"/>
          <w:szCs w:val="16"/>
        </w:rPr>
        <w:t>YES</w:t>
      </w:r>
    </w:p>
    <w:p w14:paraId="1DB615CF" w14:textId="2B2BB733" w:rsidR="009B02BC" w:rsidRPr="00781112" w:rsidRDefault="009B02BC">
      <w:pPr>
        <w:rPr>
          <w:rFonts w:cs="Arial"/>
          <w:b/>
          <w:color w:val="000000" w:themeColor="text1"/>
          <w:szCs w:val="16"/>
        </w:rPr>
      </w:pPr>
      <w:r w:rsidRPr="00781112">
        <w:rPr>
          <w:rFonts w:cs="Arial"/>
          <w:b/>
          <w:color w:val="000000" w:themeColor="text1"/>
          <w:szCs w:val="16"/>
        </w:rPr>
        <w:t>If yes, the State may only include, in both the numerator and the denominator, LEAs that met the State-established n/cell size. Report the number of LEAs excluded from the calculation as a result of the requirement.</w:t>
      </w:r>
    </w:p>
    <w:p w14:paraId="5F36FA89" w14:textId="7B8DA8B5" w:rsidR="009B02BC" w:rsidRPr="00781112" w:rsidRDefault="009B02BC" w:rsidP="004369B2">
      <w:pPr>
        <w:rPr>
          <w:rFonts w:cs="Arial"/>
          <w:color w:val="000000" w:themeColor="text1"/>
          <w:szCs w:val="16"/>
        </w:rPr>
      </w:pPr>
      <w:r w:rsidRPr="00781112">
        <w:rPr>
          <w:rFonts w:cs="Arial"/>
          <w:color w:val="000000" w:themeColor="text1"/>
          <w:szCs w:val="16"/>
        </w:rPr>
        <w:t>8</w:t>
      </w:r>
    </w:p>
    <w:p w14:paraId="4E14BC0D" w14:textId="77777777" w:rsidR="00A14B5D" w:rsidRPr="00781112" w:rsidRDefault="00A14B5D" w:rsidP="004369B2">
      <w:pPr>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4ACFFYAPRDATA"/>
      </w:tblPr>
      <w:tblGrid>
        <w:gridCol w:w="1410"/>
        <w:gridCol w:w="1897"/>
        <w:gridCol w:w="1368"/>
        <w:gridCol w:w="1890"/>
        <w:gridCol w:w="1260"/>
        <w:gridCol w:w="1439"/>
        <w:gridCol w:w="1526"/>
      </w:tblGrid>
      <w:tr w:rsidR="00450F98" w:rsidRPr="00781112" w14:paraId="25961F2E" w14:textId="5D241BED" w:rsidTr="00E95FBF">
        <w:trPr>
          <w:trHeight w:val="994"/>
          <w:jc w:val="center"/>
        </w:trPr>
        <w:tc>
          <w:tcPr>
            <w:tcW w:w="653" w:type="pct"/>
            <w:shd w:val="clear" w:color="auto" w:fill="auto"/>
            <w:vAlign w:val="bottom"/>
          </w:tcPr>
          <w:p w14:paraId="1D711F21" w14:textId="471FE8E2" w:rsidR="00450F98" w:rsidRPr="00781112" w:rsidRDefault="00450F98" w:rsidP="00450F98">
            <w:pPr>
              <w:jc w:val="center"/>
              <w:rPr>
                <w:rFonts w:cs="Arial"/>
                <w:b/>
                <w:color w:val="000000" w:themeColor="text1"/>
                <w:szCs w:val="16"/>
              </w:rPr>
            </w:pPr>
            <w:r w:rsidRPr="00781112">
              <w:rPr>
                <w:rFonts w:cs="Arial"/>
                <w:b/>
                <w:color w:val="000000" w:themeColor="text1"/>
                <w:szCs w:val="16"/>
              </w:rPr>
              <w:t>Number of LEAs that have a significant discrepancy</w:t>
            </w:r>
          </w:p>
        </w:tc>
        <w:tc>
          <w:tcPr>
            <w:tcW w:w="879" w:type="pct"/>
            <w:shd w:val="clear" w:color="auto" w:fill="auto"/>
            <w:vAlign w:val="bottom"/>
          </w:tcPr>
          <w:p w14:paraId="196C509D" w14:textId="54B65E72" w:rsidR="00450F98" w:rsidRPr="00781112" w:rsidRDefault="00450F98" w:rsidP="00450F98">
            <w:pPr>
              <w:jc w:val="center"/>
              <w:rPr>
                <w:rFonts w:cs="Arial"/>
                <w:b/>
                <w:color w:val="000000" w:themeColor="text1"/>
                <w:szCs w:val="16"/>
              </w:rPr>
            </w:pPr>
            <w:r w:rsidRPr="00781112">
              <w:rPr>
                <w:rFonts w:cs="Arial"/>
                <w:b/>
                <w:color w:val="000000" w:themeColor="text1"/>
                <w:szCs w:val="16"/>
              </w:rPr>
              <w:t>Number of LEAs that met the State's minimum n/cell-size</w:t>
            </w:r>
          </w:p>
        </w:tc>
        <w:tc>
          <w:tcPr>
            <w:tcW w:w="634" w:type="pct"/>
            <w:shd w:val="clear" w:color="auto" w:fill="auto"/>
            <w:vAlign w:val="bottom"/>
          </w:tcPr>
          <w:p w14:paraId="20C8255F" w14:textId="15F25B0F" w:rsidR="00450F98" w:rsidRPr="00073BD7" w:rsidRDefault="00450F98" w:rsidP="00450F98">
            <w:pPr>
              <w:jc w:val="center"/>
              <w:rPr>
                <w:rFonts w:cs="Arial"/>
                <w:b/>
                <w:bCs/>
                <w:color w:val="000000" w:themeColor="text1"/>
                <w:szCs w:val="16"/>
              </w:rPr>
            </w:pPr>
            <w:r w:rsidRPr="00073BD7">
              <w:rPr>
                <w:b/>
                <w:bCs/>
              </w:rPr>
              <w:t>FFY 2021 Data</w:t>
            </w:r>
          </w:p>
        </w:tc>
        <w:tc>
          <w:tcPr>
            <w:tcW w:w="876" w:type="pct"/>
            <w:shd w:val="clear" w:color="auto" w:fill="auto"/>
            <w:vAlign w:val="bottom"/>
          </w:tcPr>
          <w:p w14:paraId="2298BC2C" w14:textId="0D9C17CF" w:rsidR="00450F98" w:rsidRPr="00073BD7" w:rsidRDefault="00450F98" w:rsidP="00450F98">
            <w:pPr>
              <w:jc w:val="center"/>
              <w:rPr>
                <w:rFonts w:cs="Arial"/>
                <w:b/>
                <w:bCs/>
                <w:color w:val="000000" w:themeColor="text1"/>
                <w:szCs w:val="16"/>
              </w:rPr>
            </w:pPr>
            <w:r w:rsidRPr="00073BD7">
              <w:rPr>
                <w:b/>
                <w:bCs/>
              </w:rPr>
              <w:t>FFY 2022 Target</w:t>
            </w:r>
          </w:p>
        </w:tc>
        <w:tc>
          <w:tcPr>
            <w:tcW w:w="584" w:type="pct"/>
            <w:shd w:val="clear" w:color="auto" w:fill="auto"/>
            <w:vAlign w:val="bottom"/>
          </w:tcPr>
          <w:p w14:paraId="3E9B682A" w14:textId="384A0D02" w:rsidR="00450F98" w:rsidRPr="00073BD7" w:rsidRDefault="00450F98" w:rsidP="00450F98">
            <w:pPr>
              <w:jc w:val="center"/>
              <w:rPr>
                <w:rFonts w:cs="Arial"/>
                <w:b/>
                <w:bCs/>
                <w:color w:val="000000" w:themeColor="text1"/>
                <w:szCs w:val="16"/>
              </w:rPr>
            </w:pPr>
            <w:r w:rsidRPr="00073BD7">
              <w:rPr>
                <w:b/>
                <w:bCs/>
              </w:rPr>
              <w:t>FFY 2022 Data</w:t>
            </w:r>
          </w:p>
        </w:tc>
        <w:tc>
          <w:tcPr>
            <w:tcW w:w="667" w:type="pct"/>
            <w:shd w:val="clear" w:color="auto" w:fill="auto"/>
            <w:vAlign w:val="bottom"/>
          </w:tcPr>
          <w:p w14:paraId="7B5A071B" w14:textId="6C45C0BB" w:rsidR="00450F98" w:rsidRPr="00781112" w:rsidRDefault="00450F98" w:rsidP="00450F98">
            <w:pPr>
              <w:jc w:val="center"/>
              <w:rPr>
                <w:rFonts w:cs="Arial"/>
                <w:b/>
                <w:color w:val="000000" w:themeColor="text1"/>
                <w:szCs w:val="16"/>
              </w:rPr>
            </w:pPr>
            <w:r w:rsidRPr="00781112">
              <w:rPr>
                <w:rFonts w:cs="Arial"/>
                <w:b/>
                <w:color w:val="000000" w:themeColor="text1"/>
                <w:szCs w:val="16"/>
              </w:rPr>
              <w:t>Status</w:t>
            </w:r>
          </w:p>
        </w:tc>
        <w:tc>
          <w:tcPr>
            <w:tcW w:w="707" w:type="pct"/>
            <w:shd w:val="clear" w:color="auto" w:fill="auto"/>
            <w:vAlign w:val="bottom"/>
          </w:tcPr>
          <w:p w14:paraId="4D50491C" w14:textId="7F184394" w:rsidR="00450F98" w:rsidRPr="00781112" w:rsidRDefault="00450F98" w:rsidP="00450F98">
            <w:pPr>
              <w:jc w:val="center"/>
              <w:rPr>
                <w:rFonts w:cs="Arial"/>
                <w:b/>
                <w:color w:val="000000" w:themeColor="text1"/>
                <w:szCs w:val="16"/>
              </w:rPr>
            </w:pPr>
            <w:r w:rsidRPr="00781112">
              <w:rPr>
                <w:rFonts w:cs="Arial"/>
                <w:b/>
                <w:color w:val="000000" w:themeColor="text1"/>
                <w:szCs w:val="16"/>
              </w:rPr>
              <w:t>Slippage</w:t>
            </w:r>
          </w:p>
        </w:tc>
      </w:tr>
      <w:tr w:rsidR="005C29F8" w:rsidRPr="00781112" w14:paraId="0246961D" w14:textId="1C11943C" w:rsidTr="00E95FBF">
        <w:trPr>
          <w:trHeight w:val="233"/>
          <w:jc w:val="center"/>
        </w:trPr>
        <w:tc>
          <w:tcPr>
            <w:tcW w:w="653" w:type="pct"/>
            <w:shd w:val="clear" w:color="auto" w:fill="auto"/>
            <w:vAlign w:val="center"/>
          </w:tcPr>
          <w:p w14:paraId="0B36F15E" w14:textId="239D7181" w:rsidR="00A862C3" w:rsidRPr="00781112" w:rsidRDefault="002B7490" w:rsidP="00A018D4">
            <w:pPr>
              <w:jc w:val="center"/>
              <w:rPr>
                <w:rFonts w:cs="Arial"/>
                <w:color w:val="000000" w:themeColor="text1"/>
                <w:szCs w:val="16"/>
              </w:rPr>
            </w:pPr>
            <w:r w:rsidRPr="00781112">
              <w:rPr>
                <w:rFonts w:cs="Arial"/>
                <w:color w:val="000000" w:themeColor="text1"/>
                <w:szCs w:val="16"/>
              </w:rPr>
              <w:t>12</w:t>
            </w:r>
          </w:p>
        </w:tc>
        <w:tc>
          <w:tcPr>
            <w:tcW w:w="879" w:type="pct"/>
            <w:shd w:val="clear" w:color="auto" w:fill="auto"/>
          </w:tcPr>
          <w:p w14:paraId="77E03427" w14:textId="31D4B2F4" w:rsidR="00A862C3" w:rsidRPr="00781112" w:rsidRDefault="002B7490" w:rsidP="00A018D4">
            <w:pPr>
              <w:jc w:val="center"/>
              <w:rPr>
                <w:rFonts w:cs="Arial"/>
                <w:color w:val="000000" w:themeColor="text1"/>
                <w:szCs w:val="16"/>
              </w:rPr>
            </w:pPr>
            <w:r w:rsidRPr="00781112">
              <w:rPr>
                <w:rFonts w:cs="Arial"/>
                <w:color w:val="000000" w:themeColor="text1"/>
                <w:szCs w:val="16"/>
              </w:rPr>
              <w:t>140</w:t>
            </w:r>
          </w:p>
        </w:tc>
        <w:tc>
          <w:tcPr>
            <w:tcW w:w="634" w:type="pct"/>
            <w:shd w:val="clear" w:color="auto" w:fill="auto"/>
          </w:tcPr>
          <w:p w14:paraId="12EAED8C" w14:textId="23973C25" w:rsidR="00A862C3" w:rsidRPr="00781112" w:rsidRDefault="002B7490" w:rsidP="00A018D4">
            <w:pPr>
              <w:jc w:val="center"/>
              <w:rPr>
                <w:rFonts w:cs="Arial"/>
                <w:color w:val="000000" w:themeColor="text1"/>
                <w:szCs w:val="16"/>
              </w:rPr>
            </w:pPr>
            <w:r w:rsidRPr="00781112">
              <w:rPr>
                <w:rFonts w:cs="Arial"/>
                <w:color w:val="000000" w:themeColor="text1"/>
                <w:szCs w:val="16"/>
              </w:rPr>
              <w:t>Not Valid and Reliable</w:t>
            </w:r>
          </w:p>
        </w:tc>
        <w:tc>
          <w:tcPr>
            <w:tcW w:w="876" w:type="pct"/>
            <w:shd w:val="clear" w:color="auto" w:fill="auto"/>
          </w:tcPr>
          <w:p w14:paraId="0310AC78" w14:textId="48F7D944" w:rsidR="00A862C3" w:rsidRPr="00781112" w:rsidRDefault="002B7490" w:rsidP="00A018D4">
            <w:pPr>
              <w:jc w:val="center"/>
              <w:rPr>
                <w:rFonts w:cs="Arial"/>
                <w:color w:val="000000" w:themeColor="text1"/>
                <w:szCs w:val="16"/>
              </w:rPr>
            </w:pPr>
            <w:r w:rsidRPr="00781112">
              <w:rPr>
                <w:rFonts w:cs="Arial"/>
                <w:color w:val="000000" w:themeColor="text1"/>
                <w:szCs w:val="16"/>
              </w:rPr>
              <w:t>12.14%</w:t>
            </w:r>
          </w:p>
        </w:tc>
        <w:tc>
          <w:tcPr>
            <w:tcW w:w="584" w:type="pct"/>
            <w:shd w:val="clear" w:color="auto" w:fill="auto"/>
          </w:tcPr>
          <w:p w14:paraId="411F4E7C" w14:textId="0AFD7B4B" w:rsidR="00A862C3" w:rsidRPr="00781112" w:rsidRDefault="002B7490" w:rsidP="00A018D4">
            <w:pPr>
              <w:jc w:val="center"/>
              <w:rPr>
                <w:rFonts w:cs="Arial"/>
                <w:color w:val="000000" w:themeColor="text1"/>
                <w:szCs w:val="16"/>
              </w:rPr>
            </w:pPr>
            <w:r w:rsidRPr="00781112">
              <w:rPr>
                <w:rFonts w:cs="Arial"/>
                <w:color w:val="000000" w:themeColor="text1"/>
                <w:szCs w:val="16"/>
              </w:rPr>
              <w:t>8.57%</w:t>
            </w:r>
          </w:p>
        </w:tc>
        <w:tc>
          <w:tcPr>
            <w:tcW w:w="667" w:type="pct"/>
            <w:shd w:val="clear" w:color="auto" w:fill="auto"/>
          </w:tcPr>
          <w:p w14:paraId="000F74CB" w14:textId="0986D493" w:rsidR="00A862C3" w:rsidRPr="00781112" w:rsidRDefault="002B7490" w:rsidP="00A018D4">
            <w:pPr>
              <w:jc w:val="center"/>
              <w:rPr>
                <w:rFonts w:cs="Arial"/>
                <w:color w:val="000000" w:themeColor="text1"/>
                <w:szCs w:val="16"/>
              </w:rPr>
            </w:pPr>
            <w:r w:rsidRPr="00781112">
              <w:rPr>
                <w:rFonts w:cs="Arial"/>
                <w:color w:val="000000" w:themeColor="text1"/>
                <w:szCs w:val="16"/>
              </w:rPr>
              <w:t>N/A</w:t>
            </w:r>
          </w:p>
        </w:tc>
        <w:tc>
          <w:tcPr>
            <w:tcW w:w="707" w:type="pct"/>
            <w:shd w:val="clear" w:color="auto" w:fill="auto"/>
          </w:tcPr>
          <w:p w14:paraId="69708C33" w14:textId="1D4517AD" w:rsidR="00A862C3" w:rsidRPr="00781112" w:rsidRDefault="002B7490" w:rsidP="00A018D4">
            <w:pPr>
              <w:jc w:val="center"/>
              <w:rPr>
                <w:rFonts w:cs="Arial"/>
                <w:color w:val="000000" w:themeColor="text1"/>
                <w:szCs w:val="16"/>
              </w:rPr>
            </w:pPr>
            <w:r w:rsidRPr="00781112">
              <w:rPr>
                <w:rFonts w:cs="Arial"/>
                <w:color w:val="000000" w:themeColor="text1"/>
                <w:szCs w:val="16"/>
              </w:rPr>
              <w:t>N/A</w:t>
            </w:r>
          </w:p>
        </w:tc>
      </w:tr>
    </w:tbl>
    <w:p w14:paraId="278EEC3E" w14:textId="77777777" w:rsidR="006D741F" w:rsidRPr="00781112" w:rsidRDefault="00082667" w:rsidP="00286BDF">
      <w:pPr>
        <w:rPr>
          <w:rFonts w:cs="Arial"/>
          <w:b/>
          <w:color w:val="000000" w:themeColor="text1"/>
          <w:szCs w:val="16"/>
        </w:rPr>
      </w:pPr>
      <w:r w:rsidRPr="00781112">
        <w:rPr>
          <w:rFonts w:cs="Arial"/>
          <w:b/>
          <w:color w:val="000000" w:themeColor="text1"/>
          <w:szCs w:val="16"/>
        </w:rPr>
        <w:t xml:space="preserve">Choose one of the following comparison methodologies to determine whether significant discrepancies are occurring (34 CFR §300.170(a)) </w:t>
      </w:r>
    </w:p>
    <w:p w14:paraId="444FB8E0" w14:textId="3109DE1E" w:rsidR="002C705B" w:rsidRPr="00781112" w:rsidRDefault="002B7490" w:rsidP="00286BDF">
      <w:pPr>
        <w:rPr>
          <w:rFonts w:cs="Arial"/>
          <w:color w:val="000000" w:themeColor="text1"/>
          <w:szCs w:val="16"/>
        </w:rPr>
      </w:pPr>
      <w:r w:rsidRPr="00781112">
        <w:rPr>
          <w:rFonts w:cs="Arial"/>
          <w:color w:val="000000" w:themeColor="text1"/>
          <w:szCs w:val="16"/>
        </w:rPr>
        <w:t>Compare the rates of suspensions and expulsions of greater than 10 days in a school year for children with IEPs among LEAs in the State</w:t>
      </w:r>
    </w:p>
    <w:p w14:paraId="4F94634D" w14:textId="77777777" w:rsidR="00082667" w:rsidRPr="00781112" w:rsidRDefault="00082667" w:rsidP="00286BDF">
      <w:pPr>
        <w:rPr>
          <w:rFonts w:cs="Arial"/>
          <w:b/>
          <w:color w:val="000000" w:themeColor="text1"/>
          <w:szCs w:val="16"/>
        </w:rPr>
      </w:pPr>
      <w:r w:rsidRPr="00781112">
        <w:rPr>
          <w:rFonts w:cs="Arial"/>
          <w:b/>
          <w:color w:val="000000" w:themeColor="text1"/>
          <w:szCs w:val="16"/>
        </w:rPr>
        <w:t>State’s definition of “significant discrepancy” and methodology</w:t>
      </w:r>
    </w:p>
    <w:p w14:paraId="37248070" w14:textId="1657C005" w:rsidR="00A869E9" w:rsidRPr="00781112" w:rsidRDefault="002B7490" w:rsidP="0085119E">
      <w:pPr>
        <w:rPr>
          <w:rFonts w:cs="Arial"/>
          <w:color w:val="000000" w:themeColor="text1"/>
          <w:szCs w:val="16"/>
        </w:rPr>
      </w:pPr>
      <w:r w:rsidRPr="00781112">
        <w:rPr>
          <w:rFonts w:cs="Arial"/>
          <w:color w:val="000000" w:themeColor="text1"/>
          <w:szCs w:val="16"/>
        </w:rPr>
        <w:t>State definition of significant discrepancy:</w:t>
        <w:br/>
        <w:t>LEAs must have the minimum N size of 10. N size refers to the number of students with disabilities enrolled in the LEA. LEAs are determined as significantly discrepant when they meet the minimum N size and exceed the threshold of 3.0 times the State rate.</w:t>
        <w:br/>
        <w:t/>
        <w:br/>
        <w:t>Methodology:</w:t>
        <w:br/>
        <w:t>- No minimum cell size</w:t>
        <w:br/>
        <w:t>- Minimum N size of 10: LEAs must have at least 10 students with disabilities enrolled</w:t>
        <w:br/>
        <w:t>- Threshold of significance: 3 times of the state rate. The calculation method used is rate ratio.</w:t>
      </w:r>
    </w:p>
    <w:p w14:paraId="47F07052" w14:textId="77777777" w:rsidR="00BB504D" w:rsidRPr="00781112" w:rsidRDefault="00BB504D" w:rsidP="004369B2">
      <w:pPr>
        <w:rPr>
          <w:b/>
          <w:color w:val="000000" w:themeColor="text1"/>
        </w:rPr>
      </w:pPr>
      <w:bookmarkStart w:id="29" w:name="_Toc384383334"/>
      <w:bookmarkStart w:id="30" w:name="_Toc392159286"/>
      <w:r w:rsidRPr="00781112">
        <w:rPr>
          <w:b/>
          <w:color w:val="000000" w:themeColor="text1"/>
        </w:rPr>
        <w:t>Provide additional information about this indicator (optional)</w:t>
      </w:r>
    </w:p>
    <w:p w14:paraId="0275E470" w14:textId="5748926D" w:rsidR="00A869E9" w:rsidRPr="00781112" w:rsidRDefault="002B7490" w:rsidP="000E33D0">
      <w:pPr>
        <w:rPr>
          <w:rFonts w:cs="Arial"/>
          <w:color w:val="000000" w:themeColor="text1"/>
          <w:szCs w:val="16"/>
        </w:rPr>
      </w:pPr>
      <w:r w:rsidRPr="00781112">
        <w:rPr>
          <w:rFonts w:cs="Arial"/>
          <w:color w:val="000000" w:themeColor="text1"/>
          <w:szCs w:val="16"/>
        </w:rPr>
        <w:t>The State took into advisement the comments OSEP made in the FFY2021 SPP/APR and revisited the significant discrepancy methodology with stakeholders. Previously, the State had an N size and cell size requirement where the majority of LEAs were eliminated and never required a review of policies, practices and procedures (PPP). Although the data was reviewed, a PPP review and the need for further examination was not triggered. With the revised methodology reported in this FFY2022 SPP/APR, 8.57% of the LEAs were found to have significant discrepancy and examined further. The examination included a review of PPPs, student files and a Root Cause Analysis were completed by identified LEAs.</w:t>
        <w:br/>
        <w:t/>
        <w:br/>
        <w:t>Due to the change in methodology, the baselines and targets have been reestablished in this SPP/APR.</w:t>
      </w:r>
    </w:p>
    <w:bookmarkEnd w:id="29"/>
    <w:bookmarkEnd w:id="30"/>
    <w:p w14:paraId="227CCB46" w14:textId="77777777" w:rsidR="007E6F97" w:rsidRPr="00781112" w:rsidRDefault="007E6F97" w:rsidP="004369B2">
      <w:pPr>
        <w:rPr>
          <w:color w:val="000000" w:themeColor="text1"/>
        </w:rPr>
      </w:pPr>
    </w:p>
    <w:p w14:paraId="3F63E777" w14:textId="7D0DE3EE" w:rsidR="00082667" w:rsidRPr="00781112" w:rsidRDefault="00082667" w:rsidP="004369B2">
      <w:pPr>
        <w:rPr>
          <w:color w:val="000000" w:themeColor="text1"/>
        </w:rPr>
      </w:pPr>
      <w:r w:rsidRPr="00781112">
        <w:rPr>
          <w:b/>
          <w:color w:val="000000" w:themeColor="text1"/>
        </w:rPr>
        <w:t>Review of Policies, Procedures, and Practices (completed in FFY 2022 using 2021-2022 data)</w:t>
      </w:r>
    </w:p>
    <w:p w14:paraId="76B39D83" w14:textId="1E1AB613" w:rsidR="00082667" w:rsidRPr="00781112" w:rsidRDefault="00571EAB" w:rsidP="00162F4A">
      <w:pPr>
        <w:rPr>
          <w:b/>
          <w:color w:val="000000" w:themeColor="text1"/>
        </w:rPr>
      </w:pPr>
      <w:r w:rsidRPr="00781112">
        <w:rPr>
          <w:b/>
          <w:color w:val="000000" w:themeColor="text1"/>
        </w:rPr>
        <w:t>Provide a description of the review of policies, procedures, and practices relating to the development and implementation of IEPs, the use of positive behavioral interventions and supports, and procedural safeguards.</w:t>
      </w:r>
    </w:p>
    <w:p w14:paraId="040DE8B4" w14:textId="52454A8A" w:rsidR="002D57DA" w:rsidRPr="00781112" w:rsidRDefault="002B7490" w:rsidP="00082667">
      <w:pPr>
        <w:rPr>
          <w:rFonts w:cs="Arial"/>
          <w:color w:val="000000" w:themeColor="text1"/>
          <w:szCs w:val="16"/>
        </w:rPr>
      </w:pPr>
      <w:r w:rsidRPr="00781112">
        <w:rPr>
          <w:rFonts w:cs="Arial"/>
          <w:color w:val="000000" w:themeColor="text1"/>
          <w:szCs w:val="16"/>
        </w:rPr>
        <w:t>LEAs submitted their policies, procedures and practices (PPPs) related to the development and implementation of IEPs, the use of positive behavioral interventions and supports (PBIS), and procedural safeguards to the State. The PPPs were reviewed utilizing a rubric to guide the review of the implementation of IEPs, PBIS, and procedural safeguard documents provided by the LEAs. The State's contractor reviewed the documents and utilized the State’s rubric. Based on the review results provided by the contractor, State staff made the determination of compliance or non-compliance. State staff determined that 4 LEAs that were found to have significant discrepancy did not have PPPs which contributed to the significant discrepancy. There were 8 LEAs that did have deficient PPPs which contributed to the significant discrepancy.</w:t>
      </w:r>
    </w:p>
    <w:p w14:paraId="47497C41" w14:textId="77777777" w:rsidR="003B64C0" w:rsidRPr="00781112" w:rsidRDefault="003B64C0" w:rsidP="00082667">
      <w:pPr>
        <w:rPr>
          <w:rFonts w:cs="Arial"/>
          <w:color w:val="000000" w:themeColor="text1"/>
          <w:szCs w:val="16"/>
        </w:rPr>
      </w:pPr>
    </w:p>
    <w:p w14:paraId="38E1E629" w14:textId="1EF02333" w:rsidR="003B64C0" w:rsidRPr="00781112" w:rsidRDefault="003B64C0" w:rsidP="00082667">
      <w:pPr>
        <w:rPr>
          <w:rFonts w:cs="Arial"/>
          <w:color w:val="000000" w:themeColor="text1"/>
          <w:szCs w:val="16"/>
        </w:rPr>
      </w:pPr>
      <w:r w:rsidRPr="00781112">
        <w:rPr>
          <w:rFonts w:cs="Arial"/>
          <w:color w:val="000000" w:themeColor="text1"/>
          <w:szCs w:val="16"/>
        </w:rPr>
        <w:t>The State DID identify noncompliance with Part B requirements as a result of the review required by 34 CFR §300.170(b).</w:t>
      </w:r>
    </w:p>
    <w:p w14:paraId="2F8EF51C" w14:textId="56A16050" w:rsidR="00EA1474" w:rsidRPr="00781112" w:rsidRDefault="00EA1474" w:rsidP="000D3273">
      <w:pPr>
        <w:rPr>
          <w:rFonts w:cs="Arial"/>
          <w:color w:val="000000" w:themeColor="text1"/>
          <w:szCs w:val="16"/>
        </w:rPr>
      </w:pPr>
      <w:r w:rsidRPr="00781112">
        <w:rPr>
          <w:rFonts w:cs="Arial"/>
          <w:b/>
          <w:color w:val="000000" w:themeColor="text1"/>
          <w:szCs w:val="16"/>
        </w:rPr>
        <w:t>If YES, select one of the following:</w:t>
      </w:r>
    </w:p>
    <w:p w14:paraId="41D44805" w14:textId="3EC1E585" w:rsidR="000D3273" w:rsidRPr="00781112" w:rsidRDefault="003B64C0" w:rsidP="000D3273">
      <w:pPr>
        <w:rPr>
          <w:rFonts w:cs="Arial"/>
          <w:color w:val="000000" w:themeColor="text1"/>
          <w:szCs w:val="16"/>
        </w:rPr>
      </w:pPr>
      <w:r w:rsidRPr="00781112">
        <w:rPr>
          <w:rFonts w:cs="Arial"/>
          <w:color w:val="000000" w:themeColor="text1"/>
          <w:szCs w:val="16"/>
        </w:rPr>
        <w:t>The State did NOT ensure that such policies, procedures, and practices were revised to comply with applicable requirements consistent with OSEP Memorandum 09-02, dated October 17, 2008.</w:t>
      </w:r>
    </w:p>
    <w:p w14:paraId="6DA50664" w14:textId="1EE262D7" w:rsidR="002D57DA" w:rsidRPr="00781112" w:rsidRDefault="002D57DA" w:rsidP="001011BB">
      <w:pPr>
        <w:tabs>
          <w:tab w:val="left" w:pos="4068"/>
        </w:tabs>
        <w:rPr>
          <w:rFonts w:cs="Arial"/>
          <w:b/>
          <w:color w:val="000000" w:themeColor="text1"/>
          <w:szCs w:val="16"/>
        </w:rPr>
      </w:pPr>
      <w:r w:rsidRPr="00781112">
        <w:rPr>
          <w:rFonts w:cs="Arial"/>
          <w:b/>
          <w:color w:val="000000" w:themeColor="text1"/>
          <w:szCs w:val="16"/>
        </w:rPr>
        <w:t xml:space="preserve">The State must report on the correction of noncompliance in next year's SPP/APR consistent with requirements in the Measurement Table and OSEP </w:t>
      </w:r>
      <w:r w:rsidR="004D1797">
        <w:rPr>
          <w:rFonts w:cs="Arial"/>
          <w:b/>
          <w:color w:val="000000" w:themeColor="text1"/>
          <w:szCs w:val="16"/>
        </w:rPr>
        <w:t>QA 23-01, dated July 24, 2023</w:t>
      </w:r>
      <w:r w:rsidRPr="00781112">
        <w:rPr>
          <w:rFonts w:cs="Arial"/>
          <w:b/>
          <w:color w:val="000000" w:themeColor="text1"/>
          <w:szCs w:val="16"/>
        </w:rPr>
        <w:t>. Please explain why the State did not ensure that policies, procedures, and practices were revised to comply with applicable requirements</w:t>
      </w:r>
      <w:r w:rsidRPr="00781112">
        <w:rPr>
          <w:rFonts w:cs="Arial"/>
          <w:b/>
          <w:i/>
          <w:color w:val="000000" w:themeColor="text1"/>
          <w:szCs w:val="16"/>
        </w:rPr>
        <w:t>.</w:t>
      </w:r>
    </w:p>
    <w:p w14:paraId="6EF32908" w14:textId="05683DB9" w:rsidR="002D57DA" w:rsidRPr="00781112" w:rsidRDefault="002B7490" w:rsidP="001011BB">
      <w:pPr>
        <w:tabs>
          <w:tab w:val="left" w:pos="4068"/>
        </w:tabs>
        <w:rPr>
          <w:rFonts w:cs="Arial"/>
          <w:color w:val="000000" w:themeColor="text1"/>
          <w:szCs w:val="16"/>
        </w:rPr>
      </w:pPr>
      <w:r w:rsidRPr="00781112">
        <w:rPr>
          <w:rFonts w:cs="Arial"/>
          <w:color w:val="000000" w:themeColor="text1"/>
          <w:szCs w:val="16"/>
        </w:rPr>
        <w:t>The State is currently in the process of verifying correction of non -compliance consistent with requirements in the Measurement Table and OSEP QA 23-01.  Therefore, the State does not have results available at the time of the SPP/APR submission and clarification period to provide. This information will be provided in next year's SPP/APR.</w:t>
      </w:r>
    </w:p>
    <w:p w14:paraId="1295BAEB" w14:textId="77777777" w:rsidR="007E6F97" w:rsidRPr="00781112" w:rsidRDefault="007E6F97" w:rsidP="004369B2">
      <w:pPr>
        <w:rPr>
          <w:color w:val="000000" w:themeColor="text1"/>
        </w:rPr>
      </w:pPr>
      <w:bookmarkStart w:id="31" w:name="_Toc381956335"/>
      <w:bookmarkStart w:id="32" w:name="_Toc384383336"/>
      <w:bookmarkStart w:id="33" w:name="_Toc392159288"/>
    </w:p>
    <w:p w14:paraId="0496594E" w14:textId="18EE1A2C" w:rsidR="00B9048A" w:rsidRPr="00781112" w:rsidRDefault="00450F98" w:rsidP="004369B2">
      <w:pPr>
        <w:rPr>
          <w:color w:val="000000" w:themeColor="text1"/>
        </w:rPr>
      </w:pPr>
      <w:r>
        <w:rPr>
          <w:b/>
          <w:color w:val="000000" w:themeColor="text1"/>
        </w:rPr>
        <w:lastRenderedPageBreak/>
        <w:t>Correction of Findings of Noncompliance Identified in FFY 2021</w:t>
      </w:r>
    </w:p>
    <w:tbl>
      <w:tblPr>
        <w:tblStyle w:val="TableGrid"/>
        <w:tblW w:w="5000" w:type="pct"/>
        <w:tblLook w:val="04A0" w:firstRow="1" w:lastRow="0" w:firstColumn="1" w:lastColumn="0" w:noHBand="0" w:noVBand="1"/>
        <w:tblCaption w:val="PFFYNCFINDINGS"/>
      </w:tblPr>
      <w:tblGrid>
        <w:gridCol w:w="2613"/>
        <w:gridCol w:w="2743"/>
        <w:gridCol w:w="2620"/>
        <w:gridCol w:w="2814"/>
      </w:tblGrid>
      <w:tr w:rsidR="005C29F8" w:rsidRPr="00781112" w14:paraId="5E5B522D" w14:textId="77777777" w:rsidTr="000D3273">
        <w:trPr>
          <w:trHeight w:val="389"/>
          <w:tblHeader/>
        </w:trPr>
        <w:tc>
          <w:tcPr>
            <w:tcW w:w="1211" w:type="pct"/>
            <w:shd w:val="clear" w:color="auto" w:fill="auto"/>
            <w:vAlign w:val="bottom"/>
          </w:tcPr>
          <w:p w14:paraId="16ECB6B7"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Identified</w:t>
            </w:r>
          </w:p>
        </w:tc>
        <w:tc>
          <w:tcPr>
            <w:tcW w:w="1271" w:type="pct"/>
            <w:shd w:val="clear" w:color="auto" w:fill="auto"/>
            <w:vAlign w:val="bottom"/>
          </w:tcPr>
          <w:p w14:paraId="122A58DC"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14" w:type="pct"/>
            <w:shd w:val="clear" w:color="auto" w:fill="auto"/>
            <w:vAlign w:val="bottom"/>
          </w:tcPr>
          <w:p w14:paraId="7D9FA33F"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304" w:type="pct"/>
            <w:shd w:val="clear" w:color="auto" w:fill="auto"/>
            <w:vAlign w:val="bottom"/>
          </w:tcPr>
          <w:p w14:paraId="704691FC"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41836014" w14:textId="77777777" w:rsidTr="000D3273">
        <w:tc>
          <w:tcPr>
            <w:tcW w:w="1211" w:type="pct"/>
            <w:shd w:val="clear" w:color="auto" w:fill="auto"/>
          </w:tcPr>
          <w:p w14:paraId="706C7C42" w14:textId="616D64A9" w:rsidR="00B9048A" w:rsidRPr="00781112" w:rsidRDefault="002B7490" w:rsidP="00A018D4">
            <w:pPr>
              <w:jc w:val="center"/>
              <w:rPr>
                <w:rFonts w:cs="Arial"/>
                <w:color w:val="000000" w:themeColor="text1"/>
                <w:szCs w:val="16"/>
              </w:rPr>
            </w:pPr>
            <w:r w:rsidRPr="00781112">
              <w:rPr>
                <w:rFonts w:cs="Arial"/>
                <w:color w:val="000000" w:themeColor="text1"/>
                <w:szCs w:val="16"/>
              </w:rPr>
              <w:t/>
            </w:r>
          </w:p>
        </w:tc>
        <w:tc>
          <w:tcPr>
            <w:tcW w:w="1271" w:type="pct"/>
            <w:shd w:val="clear" w:color="auto" w:fill="auto"/>
          </w:tcPr>
          <w:p w14:paraId="0CE7F01B" w14:textId="4009BBFE" w:rsidR="00B9048A" w:rsidRPr="00781112" w:rsidRDefault="002B7490" w:rsidP="00A018D4">
            <w:pPr>
              <w:jc w:val="center"/>
              <w:rPr>
                <w:rFonts w:cs="Arial"/>
                <w:color w:val="000000" w:themeColor="text1"/>
                <w:szCs w:val="16"/>
              </w:rPr>
            </w:pPr>
            <w:r w:rsidRPr="00781112">
              <w:rPr>
                <w:rFonts w:cs="Arial"/>
                <w:color w:val="000000" w:themeColor="text1"/>
                <w:szCs w:val="16"/>
              </w:rPr>
              <w:t/>
            </w:r>
          </w:p>
        </w:tc>
        <w:tc>
          <w:tcPr>
            <w:tcW w:w="1214" w:type="pct"/>
            <w:shd w:val="clear" w:color="auto" w:fill="auto"/>
          </w:tcPr>
          <w:p w14:paraId="38F306AA" w14:textId="2CC74FE3" w:rsidR="00B9048A" w:rsidRPr="00781112" w:rsidRDefault="002B7490" w:rsidP="00A018D4">
            <w:pPr>
              <w:jc w:val="center"/>
              <w:rPr>
                <w:rFonts w:cs="Arial"/>
                <w:color w:val="000000" w:themeColor="text1"/>
                <w:szCs w:val="16"/>
              </w:rPr>
            </w:pPr>
            <w:r w:rsidRPr="00781112">
              <w:rPr>
                <w:rFonts w:cs="Arial"/>
                <w:color w:val="000000" w:themeColor="text1"/>
                <w:szCs w:val="16"/>
              </w:rPr>
              <w:t/>
            </w:r>
          </w:p>
        </w:tc>
        <w:tc>
          <w:tcPr>
            <w:tcW w:w="1304" w:type="pct"/>
            <w:shd w:val="clear" w:color="auto" w:fill="auto"/>
          </w:tcPr>
          <w:p w14:paraId="5E536CD7" w14:textId="387A8666" w:rsidR="00B9048A" w:rsidRPr="00781112" w:rsidRDefault="002B7490" w:rsidP="00A018D4">
            <w:pPr>
              <w:jc w:val="center"/>
              <w:rPr>
                <w:rFonts w:cs="Arial"/>
                <w:color w:val="000000" w:themeColor="text1"/>
                <w:szCs w:val="16"/>
              </w:rPr>
            </w:pPr>
            <w:r w:rsidRPr="00781112">
              <w:rPr>
                <w:rFonts w:cs="Arial"/>
                <w:color w:val="000000" w:themeColor="text1"/>
                <w:szCs w:val="16"/>
              </w:rPr>
              <w:t/>
            </w:r>
          </w:p>
        </w:tc>
      </w:tr>
    </w:tbl>
    <w:p w14:paraId="6809AF49" w14:textId="38B5C989" w:rsidR="00B9048A" w:rsidRPr="00781112" w:rsidRDefault="00450F98" w:rsidP="004369B2">
      <w:pPr>
        <w:rPr>
          <w:color w:val="000000" w:themeColor="text1"/>
        </w:rPr>
      </w:pPr>
      <w:r>
        <w:rPr>
          <w:b/>
          <w:color w:val="000000" w:themeColor="text1"/>
        </w:rPr>
        <w:t>Correction of Findings of Noncompliance Identified Prior to FFY 2021</w:t>
      </w:r>
    </w:p>
    <w:tbl>
      <w:tblPr>
        <w:tblStyle w:val="TableGrid"/>
        <w:tblW w:w="5000" w:type="pct"/>
        <w:tblLook w:val="04A0" w:firstRow="1" w:lastRow="0" w:firstColumn="1" w:lastColumn="0" w:noHBand="0" w:noVBand="1"/>
        <w:tblCaption w:val="PPFFYNCFINDINGS"/>
      </w:tblPr>
      <w:tblGrid>
        <w:gridCol w:w="2216"/>
        <w:gridCol w:w="2922"/>
        <w:gridCol w:w="2913"/>
        <w:gridCol w:w="2739"/>
      </w:tblGrid>
      <w:tr w:rsidR="005C29F8" w:rsidRPr="00781112" w14:paraId="6E94B7A5" w14:textId="77777777" w:rsidTr="00AB0D6A">
        <w:trPr>
          <w:tblHeader/>
        </w:trPr>
        <w:tc>
          <w:tcPr>
            <w:tcW w:w="1027" w:type="pct"/>
            <w:shd w:val="clear" w:color="auto" w:fill="auto"/>
            <w:vAlign w:val="bottom"/>
          </w:tcPr>
          <w:p w14:paraId="673CA265" w14:textId="007E8E78" w:rsidR="00B9048A" w:rsidRPr="00781112" w:rsidRDefault="0016730D" w:rsidP="001F692C">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354" w:type="pct"/>
            <w:shd w:val="clear" w:color="auto" w:fill="auto"/>
            <w:vAlign w:val="bottom"/>
          </w:tcPr>
          <w:p w14:paraId="1C2EE691" w14:textId="31016B4B" w:rsidR="00B9048A" w:rsidRPr="00781112" w:rsidRDefault="00450F98" w:rsidP="001F692C">
            <w:pPr>
              <w:jc w:val="center"/>
              <w:rPr>
                <w:rFonts w:cs="Arial"/>
                <w:b/>
                <w:color w:val="000000" w:themeColor="text1"/>
                <w:szCs w:val="16"/>
              </w:rPr>
            </w:pPr>
            <w:r>
              <w:rPr>
                <w:rFonts w:cs="Arial"/>
                <w:b/>
                <w:color w:val="000000" w:themeColor="text1"/>
                <w:szCs w:val="16"/>
              </w:rPr>
              <w:t>Findings of Noncompliance Not Yet Verified as Corrected as of FFY 2021 APR</w:t>
            </w:r>
          </w:p>
        </w:tc>
        <w:tc>
          <w:tcPr>
            <w:tcW w:w="1350" w:type="pct"/>
            <w:shd w:val="clear" w:color="auto" w:fill="auto"/>
            <w:vAlign w:val="bottom"/>
          </w:tcPr>
          <w:p w14:paraId="4E501567"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69" w:type="pct"/>
            <w:shd w:val="clear" w:color="auto" w:fill="auto"/>
            <w:vAlign w:val="bottom"/>
          </w:tcPr>
          <w:p w14:paraId="7151EA41"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280087A2" w14:textId="77777777" w:rsidTr="00AB0D6A">
        <w:tc>
          <w:tcPr>
            <w:tcW w:w="1027" w:type="pct"/>
            <w:shd w:val="clear" w:color="auto" w:fill="auto"/>
          </w:tcPr>
          <w:p w14:paraId="5A5634D8" w14:textId="5AC3BEAC" w:rsidR="000C7B90" w:rsidRPr="00781112" w:rsidRDefault="002B7490" w:rsidP="00A018D4">
            <w:pPr>
              <w:jc w:val="center"/>
              <w:rPr>
                <w:rFonts w:cs="Arial"/>
                <w:color w:val="000000" w:themeColor="text1"/>
                <w:szCs w:val="16"/>
              </w:rPr>
            </w:pPr>
            <w:r w:rsidRPr="00781112">
              <w:rPr>
                <w:rFonts w:cs="Arial"/>
                <w:color w:val="000000" w:themeColor="text1"/>
                <w:szCs w:val="16"/>
              </w:rPr>
              <w:t/>
            </w:r>
          </w:p>
        </w:tc>
        <w:tc>
          <w:tcPr>
            <w:tcW w:w="1354" w:type="pct"/>
            <w:shd w:val="clear" w:color="auto" w:fill="auto"/>
          </w:tcPr>
          <w:p w14:paraId="38361EB5" w14:textId="479B3693" w:rsidR="000C7B90" w:rsidRPr="00781112" w:rsidRDefault="002B7490">
            <w:pPr>
              <w:jc w:val="center"/>
              <w:rPr>
                <w:rFonts w:cs="Arial"/>
                <w:noProof/>
                <w:color w:val="000000" w:themeColor="text1"/>
                <w:szCs w:val="16"/>
              </w:rPr>
            </w:pPr>
            <w:r w:rsidRPr="00781112">
              <w:rPr>
                <w:rFonts w:cs="Arial"/>
                <w:color w:val="000000" w:themeColor="text1"/>
                <w:szCs w:val="16"/>
              </w:rPr>
              <w:t/>
            </w:r>
          </w:p>
        </w:tc>
        <w:tc>
          <w:tcPr>
            <w:tcW w:w="1350" w:type="pct"/>
            <w:shd w:val="clear" w:color="auto" w:fill="auto"/>
          </w:tcPr>
          <w:p w14:paraId="0F44D03C" w14:textId="3887F715" w:rsidR="000C7B90" w:rsidRPr="00781112" w:rsidRDefault="002B7490">
            <w:pPr>
              <w:jc w:val="center"/>
              <w:rPr>
                <w:rFonts w:cs="Arial"/>
                <w:noProof/>
                <w:color w:val="000000" w:themeColor="text1"/>
                <w:szCs w:val="16"/>
              </w:rPr>
            </w:pPr>
            <w:r w:rsidRPr="00781112">
              <w:rPr>
                <w:rFonts w:cs="Arial"/>
                <w:color w:val="000000" w:themeColor="text1"/>
                <w:szCs w:val="16"/>
              </w:rPr>
              <w:t/>
            </w:r>
          </w:p>
        </w:tc>
        <w:tc>
          <w:tcPr>
            <w:tcW w:w="1269" w:type="pct"/>
            <w:shd w:val="clear" w:color="auto" w:fill="auto"/>
          </w:tcPr>
          <w:p w14:paraId="5DF55667" w14:textId="0913E6B4" w:rsidR="000C7B90" w:rsidRPr="00781112" w:rsidRDefault="002B7490">
            <w:pPr>
              <w:jc w:val="center"/>
              <w:rPr>
                <w:rFonts w:cs="Arial"/>
                <w:noProof/>
                <w:color w:val="000000" w:themeColor="text1"/>
                <w:szCs w:val="16"/>
              </w:rPr>
            </w:pPr>
            <w:r w:rsidRPr="00781112">
              <w:rPr>
                <w:rFonts w:cs="Arial"/>
                <w:color w:val="000000" w:themeColor="text1"/>
                <w:szCs w:val="16"/>
              </w:rPr>
              <w:t/>
            </w:r>
          </w:p>
        </w:tc>
      </w:tr>
      <w:tr w:rsidR="005C29F8" w:rsidRPr="00781112" w14:paraId="3BB76F7F" w14:textId="77777777" w:rsidTr="00AB0D6A">
        <w:tc>
          <w:tcPr>
            <w:tcW w:w="1027" w:type="pct"/>
            <w:shd w:val="clear" w:color="auto" w:fill="auto"/>
          </w:tcPr>
          <w:p w14:paraId="3E53BDFC" w14:textId="49B50F7D" w:rsidR="000C7B90" w:rsidRPr="00781112" w:rsidRDefault="002B7490" w:rsidP="00A018D4">
            <w:pPr>
              <w:jc w:val="center"/>
              <w:rPr>
                <w:rFonts w:cs="Arial"/>
                <w:color w:val="000000" w:themeColor="text1"/>
                <w:szCs w:val="16"/>
              </w:rPr>
            </w:pPr>
            <w:r w:rsidRPr="00781112">
              <w:rPr>
                <w:rFonts w:cs="Arial"/>
                <w:color w:val="000000" w:themeColor="text1"/>
                <w:szCs w:val="16"/>
              </w:rPr>
              <w:t/>
            </w:r>
          </w:p>
        </w:tc>
        <w:tc>
          <w:tcPr>
            <w:tcW w:w="1354" w:type="pct"/>
            <w:shd w:val="clear" w:color="auto" w:fill="auto"/>
          </w:tcPr>
          <w:p w14:paraId="2DAC4ACF" w14:textId="6DFB36C9" w:rsidR="000C7B90" w:rsidRPr="00781112" w:rsidRDefault="002B7490">
            <w:pPr>
              <w:jc w:val="center"/>
              <w:rPr>
                <w:rFonts w:cs="Arial"/>
                <w:noProof/>
                <w:color w:val="000000" w:themeColor="text1"/>
                <w:szCs w:val="16"/>
              </w:rPr>
            </w:pPr>
            <w:r w:rsidRPr="00781112">
              <w:rPr>
                <w:rFonts w:cs="Arial"/>
                <w:color w:val="000000" w:themeColor="text1"/>
                <w:szCs w:val="16"/>
              </w:rPr>
              <w:t/>
            </w:r>
          </w:p>
        </w:tc>
        <w:tc>
          <w:tcPr>
            <w:tcW w:w="1350" w:type="pct"/>
            <w:shd w:val="clear" w:color="auto" w:fill="auto"/>
          </w:tcPr>
          <w:p w14:paraId="45BEAE02" w14:textId="10E4F499" w:rsidR="000C7B90" w:rsidRPr="00781112" w:rsidRDefault="002B7490">
            <w:pPr>
              <w:jc w:val="center"/>
              <w:rPr>
                <w:rFonts w:cs="Arial"/>
                <w:noProof/>
                <w:color w:val="000000" w:themeColor="text1"/>
                <w:szCs w:val="16"/>
              </w:rPr>
            </w:pPr>
            <w:r w:rsidRPr="00781112">
              <w:rPr>
                <w:rFonts w:cs="Arial"/>
                <w:color w:val="000000" w:themeColor="text1"/>
                <w:szCs w:val="16"/>
              </w:rPr>
              <w:t/>
            </w:r>
          </w:p>
        </w:tc>
        <w:tc>
          <w:tcPr>
            <w:tcW w:w="1269" w:type="pct"/>
            <w:shd w:val="clear" w:color="auto" w:fill="auto"/>
          </w:tcPr>
          <w:p w14:paraId="3F264F27" w14:textId="46B36D97" w:rsidR="000C7B90" w:rsidRPr="00781112" w:rsidRDefault="002B7490">
            <w:pPr>
              <w:jc w:val="center"/>
              <w:rPr>
                <w:rFonts w:cs="Arial"/>
                <w:noProof/>
                <w:color w:val="000000" w:themeColor="text1"/>
                <w:szCs w:val="16"/>
              </w:rPr>
            </w:pPr>
            <w:r w:rsidRPr="00781112">
              <w:rPr>
                <w:rFonts w:cs="Arial"/>
                <w:color w:val="000000" w:themeColor="text1"/>
                <w:szCs w:val="16"/>
              </w:rPr>
              <w:t/>
            </w:r>
          </w:p>
        </w:tc>
      </w:tr>
      <w:tr w:rsidR="005C29F8" w:rsidRPr="00781112" w14:paraId="21B66B81" w14:textId="77777777" w:rsidTr="00AB0D6A">
        <w:tc>
          <w:tcPr>
            <w:tcW w:w="1027" w:type="pct"/>
            <w:shd w:val="clear" w:color="auto" w:fill="auto"/>
          </w:tcPr>
          <w:p w14:paraId="65918C5C" w14:textId="6650DAE7" w:rsidR="000C7B90" w:rsidRPr="00781112" w:rsidRDefault="00505F18" w:rsidP="00A018D4">
            <w:pPr>
              <w:jc w:val="center"/>
              <w:rPr>
                <w:rFonts w:cs="Arial"/>
                <w:color w:val="000000" w:themeColor="text1"/>
                <w:szCs w:val="16"/>
              </w:rPr>
            </w:pPr>
            <w:r w:rsidRPr="00781112">
              <w:rPr>
                <w:rFonts w:cs="Arial"/>
                <w:color w:val="000000" w:themeColor="text1"/>
                <w:szCs w:val="16"/>
              </w:rPr>
              <w:t/>
            </w:r>
          </w:p>
        </w:tc>
        <w:tc>
          <w:tcPr>
            <w:tcW w:w="1354" w:type="pct"/>
            <w:shd w:val="clear" w:color="auto" w:fill="auto"/>
          </w:tcPr>
          <w:p w14:paraId="1BC28F5F" w14:textId="383929AE" w:rsidR="000C7B90" w:rsidRPr="00781112" w:rsidRDefault="002B7490">
            <w:pPr>
              <w:jc w:val="center"/>
              <w:rPr>
                <w:rFonts w:cs="Arial"/>
                <w:noProof/>
                <w:color w:val="000000" w:themeColor="text1"/>
                <w:szCs w:val="16"/>
              </w:rPr>
            </w:pPr>
            <w:r w:rsidRPr="00781112">
              <w:rPr>
                <w:rFonts w:cs="Arial"/>
                <w:color w:val="000000" w:themeColor="text1"/>
                <w:szCs w:val="16"/>
              </w:rPr>
              <w:t/>
            </w:r>
          </w:p>
        </w:tc>
        <w:tc>
          <w:tcPr>
            <w:tcW w:w="1350" w:type="pct"/>
            <w:shd w:val="clear" w:color="auto" w:fill="auto"/>
          </w:tcPr>
          <w:p w14:paraId="12030336" w14:textId="25AE5462" w:rsidR="000C7B90" w:rsidRPr="00781112" w:rsidRDefault="002B7490">
            <w:pPr>
              <w:jc w:val="center"/>
              <w:rPr>
                <w:rFonts w:cs="Arial"/>
                <w:noProof/>
                <w:color w:val="000000" w:themeColor="text1"/>
                <w:szCs w:val="16"/>
              </w:rPr>
            </w:pPr>
            <w:r w:rsidRPr="00781112">
              <w:rPr>
                <w:rFonts w:cs="Arial"/>
                <w:color w:val="000000" w:themeColor="text1"/>
                <w:szCs w:val="16"/>
              </w:rPr>
              <w:t/>
            </w:r>
          </w:p>
        </w:tc>
        <w:tc>
          <w:tcPr>
            <w:tcW w:w="1269" w:type="pct"/>
            <w:shd w:val="clear" w:color="auto" w:fill="auto"/>
          </w:tcPr>
          <w:p w14:paraId="189EDDF9" w14:textId="00F3EE08" w:rsidR="000C7B90" w:rsidRPr="00781112" w:rsidRDefault="002B7490">
            <w:pPr>
              <w:jc w:val="center"/>
              <w:rPr>
                <w:rFonts w:cs="Arial"/>
                <w:noProof/>
                <w:color w:val="000000" w:themeColor="text1"/>
                <w:szCs w:val="16"/>
              </w:rPr>
            </w:pPr>
            <w:r w:rsidRPr="00781112">
              <w:rPr>
                <w:rFonts w:cs="Arial"/>
                <w:color w:val="000000" w:themeColor="text1"/>
                <w:szCs w:val="16"/>
              </w:rPr>
              <w:t/>
            </w:r>
          </w:p>
        </w:tc>
      </w:tr>
      <w:tr w:rsidR="004C5DF4" w:rsidRPr="00781112" w14:paraId="7C579D4A" w14:textId="77777777" w:rsidTr="00AB0D6A">
        <w:tc>
          <w:tcPr>
            <w:tcW w:w="1027" w:type="pct"/>
            <w:shd w:val="clear" w:color="auto" w:fill="auto"/>
          </w:tcPr>
          <w:p w14:paraId="2B92F4F2" w14:textId="5AAF6AE3" w:rsidR="004C5DF4" w:rsidRPr="00781112" w:rsidRDefault="004C5DF4" w:rsidP="004C5DF4">
            <w:pPr>
              <w:jc w:val="center"/>
              <w:rPr>
                <w:rFonts w:cs="Arial"/>
                <w:color w:val="000000" w:themeColor="text1"/>
                <w:szCs w:val="16"/>
              </w:rPr>
            </w:pPr>
            <w:r w:rsidRPr="00781112">
              <w:rPr>
                <w:rFonts w:cs="Arial"/>
                <w:color w:val="000000" w:themeColor="text1"/>
                <w:szCs w:val="16"/>
              </w:rPr>
              <w:t/>
            </w:r>
          </w:p>
        </w:tc>
        <w:tc>
          <w:tcPr>
            <w:tcW w:w="1354" w:type="pct"/>
            <w:shd w:val="clear" w:color="auto" w:fill="auto"/>
          </w:tcPr>
          <w:p w14:paraId="3FCBA488" w14:textId="7394AB3D" w:rsidR="004C5DF4" w:rsidRPr="00781112" w:rsidRDefault="004C5DF4" w:rsidP="004C5DF4">
            <w:pPr>
              <w:jc w:val="center"/>
              <w:rPr>
                <w:rFonts w:cs="Arial"/>
                <w:color w:val="000000" w:themeColor="text1"/>
                <w:szCs w:val="16"/>
              </w:rPr>
            </w:pPr>
            <w:r w:rsidRPr="00781112">
              <w:rPr>
                <w:rFonts w:cs="Arial"/>
                <w:color w:val="000000" w:themeColor="text1"/>
                <w:szCs w:val="16"/>
              </w:rPr>
              <w:t/>
            </w:r>
          </w:p>
        </w:tc>
        <w:tc>
          <w:tcPr>
            <w:tcW w:w="1350" w:type="pct"/>
            <w:shd w:val="clear" w:color="auto" w:fill="auto"/>
          </w:tcPr>
          <w:p w14:paraId="0273CD3A" w14:textId="76228D3D" w:rsidR="004C5DF4" w:rsidRPr="00781112" w:rsidRDefault="004C5DF4" w:rsidP="004C5DF4">
            <w:pPr>
              <w:jc w:val="center"/>
              <w:rPr>
                <w:rFonts w:cs="Arial"/>
                <w:color w:val="000000" w:themeColor="text1"/>
                <w:szCs w:val="16"/>
              </w:rPr>
            </w:pPr>
            <w:r w:rsidRPr="00781112">
              <w:rPr>
                <w:rFonts w:cs="Arial"/>
                <w:color w:val="000000" w:themeColor="text1"/>
                <w:szCs w:val="16"/>
              </w:rPr>
              <w:t/>
            </w:r>
          </w:p>
        </w:tc>
        <w:tc>
          <w:tcPr>
            <w:tcW w:w="1269" w:type="pct"/>
            <w:shd w:val="clear" w:color="auto" w:fill="auto"/>
          </w:tcPr>
          <w:p w14:paraId="2F94D90D" w14:textId="46195C23" w:rsidR="004C5DF4" w:rsidRPr="00781112" w:rsidRDefault="004C5DF4" w:rsidP="004C5DF4">
            <w:pPr>
              <w:jc w:val="center"/>
              <w:rPr>
                <w:rFonts w:cs="Arial"/>
                <w:color w:val="000000" w:themeColor="text1"/>
                <w:szCs w:val="16"/>
              </w:rPr>
            </w:pPr>
            <w:r w:rsidRPr="00781112">
              <w:rPr>
                <w:rFonts w:cs="Arial"/>
                <w:color w:val="000000" w:themeColor="text1"/>
                <w:szCs w:val="16"/>
              </w:rPr>
              <w:t/>
            </w:r>
          </w:p>
        </w:tc>
      </w:tr>
      <w:tr w:rsidR="004C5DF4" w:rsidRPr="00781112" w14:paraId="7E70640E" w14:textId="77777777" w:rsidTr="00AB0D6A">
        <w:tc>
          <w:tcPr>
            <w:tcW w:w="1027" w:type="pct"/>
            <w:shd w:val="clear" w:color="auto" w:fill="auto"/>
          </w:tcPr>
          <w:p w14:paraId="32E87A6E" w14:textId="4CC65F23" w:rsidR="004C5DF4" w:rsidRPr="00781112" w:rsidRDefault="004C5DF4" w:rsidP="004C5DF4">
            <w:pPr>
              <w:jc w:val="center"/>
              <w:rPr>
                <w:rFonts w:cs="Arial"/>
                <w:color w:val="000000" w:themeColor="text1"/>
                <w:szCs w:val="16"/>
              </w:rPr>
            </w:pPr>
            <w:r w:rsidRPr="00781112">
              <w:rPr>
                <w:rFonts w:cs="Arial"/>
                <w:color w:val="000000" w:themeColor="text1"/>
                <w:szCs w:val="16"/>
              </w:rPr>
              <w:t/>
            </w:r>
          </w:p>
        </w:tc>
        <w:tc>
          <w:tcPr>
            <w:tcW w:w="1354" w:type="pct"/>
            <w:shd w:val="clear" w:color="auto" w:fill="auto"/>
          </w:tcPr>
          <w:p w14:paraId="1BAD93A6" w14:textId="0DBDC82C" w:rsidR="004C5DF4" w:rsidRPr="00781112" w:rsidRDefault="004C5DF4" w:rsidP="004C5DF4">
            <w:pPr>
              <w:jc w:val="center"/>
              <w:rPr>
                <w:rFonts w:cs="Arial"/>
                <w:color w:val="000000" w:themeColor="text1"/>
                <w:szCs w:val="16"/>
              </w:rPr>
            </w:pPr>
            <w:r w:rsidRPr="00781112">
              <w:rPr>
                <w:rFonts w:cs="Arial"/>
                <w:color w:val="000000" w:themeColor="text1"/>
                <w:szCs w:val="16"/>
              </w:rPr>
              <w:t/>
            </w:r>
          </w:p>
        </w:tc>
        <w:tc>
          <w:tcPr>
            <w:tcW w:w="1350" w:type="pct"/>
            <w:shd w:val="clear" w:color="auto" w:fill="auto"/>
          </w:tcPr>
          <w:p w14:paraId="6D05F7EE" w14:textId="2C1BB100" w:rsidR="004C5DF4" w:rsidRPr="00781112" w:rsidRDefault="004C5DF4" w:rsidP="004C5DF4">
            <w:pPr>
              <w:jc w:val="center"/>
              <w:rPr>
                <w:rFonts w:cs="Arial"/>
                <w:color w:val="000000" w:themeColor="text1"/>
                <w:szCs w:val="16"/>
              </w:rPr>
            </w:pPr>
            <w:r w:rsidRPr="00781112">
              <w:rPr>
                <w:rFonts w:cs="Arial"/>
                <w:color w:val="000000" w:themeColor="text1"/>
                <w:szCs w:val="16"/>
              </w:rPr>
              <w:t/>
            </w:r>
          </w:p>
        </w:tc>
        <w:tc>
          <w:tcPr>
            <w:tcW w:w="1269" w:type="pct"/>
            <w:shd w:val="clear" w:color="auto" w:fill="auto"/>
          </w:tcPr>
          <w:p w14:paraId="1905613F" w14:textId="4451076C" w:rsidR="004C5DF4" w:rsidRPr="00781112" w:rsidRDefault="004C5DF4" w:rsidP="004C5DF4">
            <w:pPr>
              <w:jc w:val="center"/>
              <w:rPr>
                <w:rFonts w:cs="Arial"/>
                <w:color w:val="000000" w:themeColor="text1"/>
                <w:szCs w:val="16"/>
              </w:rPr>
            </w:pPr>
            <w:r w:rsidRPr="00781112">
              <w:rPr>
                <w:rFonts w:cs="Arial"/>
                <w:color w:val="000000" w:themeColor="text1"/>
                <w:szCs w:val="16"/>
              </w:rPr>
              <w:t/>
            </w:r>
          </w:p>
        </w:tc>
      </w:tr>
    </w:tbl>
    <w:p w14:paraId="5AF33F49" w14:textId="77777777" w:rsidR="00685C73" w:rsidRPr="00781112" w:rsidRDefault="00685C73" w:rsidP="000C7B90">
      <w:pPr>
        <w:rPr>
          <w:rFonts w:cs="Arial"/>
          <w:color w:val="000000" w:themeColor="text1"/>
          <w:szCs w:val="16"/>
        </w:rPr>
      </w:pPr>
    </w:p>
    <w:p w14:paraId="21AE82C7" w14:textId="33B9781C" w:rsidR="004E2151" w:rsidRPr="00781112" w:rsidRDefault="00697434" w:rsidP="008645AD">
      <w:pPr>
        <w:pStyle w:val="Heading2"/>
      </w:pPr>
      <w:r w:rsidRPr="00781112">
        <w:t>4A</w:t>
      </w:r>
      <w:r w:rsidR="00DA3C7A" w:rsidRPr="00781112">
        <w:t xml:space="preserve"> </w:t>
      </w:r>
      <w:r w:rsidRPr="00781112">
        <w:t xml:space="preserve">- </w:t>
      </w:r>
      <w:r w:rsidR="004E2151" w:rsidRPr="00781112">
        <w:t>Prior FFY Required Actions</w:t>
      </w:r>
    </w:p>
    <w:p w14:paraId="3EDBC3E4" w14:textId="0BA98152" w:rsidR="004E2151" w:rsidRPr="00781112" w:rsidRDefault="002B7490" w:rsidP="004E2151">
      <w:pPr>
        <w:rPr>
          <w:rFonts w:cs="Arial"/>
          <w:color w:val="000000" w:themeColor="text1"/>
          <w:szCs w:val="16"/>
        </w:rPr>
      </w:pPr>
      <w:r w:rsidRPr="00781112">
        <w:rPr>
          <w:rFonts w:cs="Arial"/>
          <w:color w:val="000000" w:themeColor="text1"/>
          <w:szCs w:val="16"/>
        </w:rPr>
        <w:t>The State did not provide valid and reliable data for FFY 2021. The State must provide valid and reliable data for FFY 2022 in the FFY 2022 SPP/APR.</w:t>
        <w:br/>
        <w:t/>
        <w:br/>
        <w:t xml:space="preserve">In the FFY 2022 SPP/APR, the State must explain how its methodology is reasonably designed to determine if significant discrepancies are occurring in the rate of suspensions and expulsions of greater than 10 days in a school year for children with IEPs, including how the State’s threshold for measuring significant discrepancy in the rate of long-term suspensions and expulsions is reasonably designed. </w:t>
      </w:r>
    </w:p>
    <w:p w14:paraId="54E863CC" w14:textId="77777777" w:rsidR="009B02BC" w:rsidRPr="00781112" w:rsidRDefault="009B02BC" w:rsidP="004E2151">
      <w:pPr>
        <w:rPr>
          <w:rFonts w:cs="Arial"/>
          <w:color w:val="000000" w:themeColor="text1"/>
          <w:szCs w:val="16"/>
        </w:rPr>
      </w:pPr>
    </w:p>
    <w:p w14:paraId="0FF6D321" w14:textId="1CF07C61" w:rsidR="004E2151" w:rsidRPr="00781112" w:rsidRDefault="007639D7" w:rsidP="004369B2">
      <w:pPr>
        <w:rPr>
          <w:b/>
          <w:color w:val="000000" w:themeColor="text1"/>
        </w:rPr>
      </w:pPr>
      <w:r>
        <w:rPr>
          <w:b/>
          <w:color w:val="000000" w:themeColor="text1"/>
        </w:rPr>
        <w:t>Response to actions required in FFY 2021 SPP/APR</w:t>
      </w:r>
    </w:p>
    <w:p w14:paraId="0B0E4F8A" w14:textId="671C6BE6" w:rsidR="004E2151" w:rsidRPr="00781112" w:rsidRDefault="002B7490" w:rsidP="004E2151">
      <w:pPr>
        <w:rPr>
          <w:rFonts w:cs="Arial"/>
          <w:color w:val="000000" w:themeColor="text1"/>
          <w:szCs w:val="16"/>
        </w:rPr>
      </w:pPr>
      <w:r w:rsidRPr="00781112">
        <w:rPr>
          <w:rFonts w:cs="Arial"/>
          <w:color w:val="000000" w:themeColor="text1"/>
          <w:szCs w:val="16"/>
        </w:rPr>
        <w:t xml:space="preserve">The State revised the methodology, with stakeholder input, to ensure that it is reasonably designed to determine if significant discrepancies are occurring in the rate of suspensions and expulsions of greater than 10 days in a school year. Previously, the State methodology included an n size and cell size requirement where the majority of LEAs were eliminated. For those LEAs that met the n size and cell size requirement, a state rate of 1% greater than the state average was applied to determine if an LEA had significant discrepancy. </w:t>
        <w:br/>
        <w:t>Previous Methodology:</w:t>
        <w:br/>
        <w:t>- Minimum cell size of 10</w:t>
        <w:br/>
        <w:t>- Districts must have at least 10 students with disabilities who are suspended/expelled out-of-school for more than 10 days</w:t>
        <w:br/>
        <w:t>- Threshold of significance: +1% of the state rate</w:t>
        <w:br/>
        <w:t/>
        <w:br/>
        <w:t>Current Methodology:</w:t>
        <w:br/>
        <w:t>- No minimum cell size</w:t>
        <w:br/>
        <w:t>- Minimum N size of 10</w:t>
        <w:br/>
        <w:t>- Districts must have at least 10 students with disabilities enrolled</w:t>
        <w:br/>
        <w:t>- Threshold of significance: 3 times of the state rate. Rate ratio is used.</w:t>
        <w:br/>
        <w:t/>
        <w:br/>
        <w:t>With the revised methodology, the state eliminated the cell size of 10 requirement. The n size was changed from LEAs having at least 10 students with disabilities who are suspended/expelled out-of-school for more than 10 days to having at least 10 students with disabilities enrolled. The 1% "state bar" was changed to a threshold of significance of 3 times of the state rate.</w:t>
        <w:br/>
        <w:t/>
        <w:br/>
        <w:t>This new methodology resulted in 12 LEAs determined to have significant discrepancy. In comparison, no LEAs met the minimum cell size and n size requirement in the previous FFY. These 12 LEAs underwent a review of policies, procedures and practices (PPPs), file reviews and completed a self-assessment which were reviewed by the state.</w:t>
        <w:br/>
        <w:t/>
        <w:br/>
        <w:t>The State now has a reasonably designed methodology for determining if significant discrepancies exist with LEAs and is reporting valid and reliable data in this FFY2022 SPP/APR.</w:t>
      </w:r>
    </w:p>
    <w:p w14:paraId="1480A7D2" w14:textId="5B38CB62" w:rsidR="009B02BC" w:rsidRPr="00781112" w:rsidRDefault="009B02BC" w:rsidP="004E2151">
      <w:pPr>
        <w:rPr>
          <w:rFonts w:cs="Arial"/>
          <w:color w:val="000000" w:themeColor="text1"/>
          <w:szCs w:val="16"/>
        </w:rPr>
      </w:pPr>
    </w:p>
    <w:p w14:paraId="537673C8" w14:textId="6D41A3A2" w:rsidR="005115D6" w:rsidRPr="00781112" w:rsidRDefault="001E2193" w:rsidP="008645AD">
      <w:pPr>
        <w:pStyle w:val="Heading2"/>
      </w:pPr>
      <w:r w:rsidRPr="00781112">
        <w:t>4A - OSEP Response</w:t>
      </w:r>
    </w:p>
    <w:p w14:paraId="6408916F" w14:textId="5ADBBBB9" w:rsidR="002D57DA" w:rsidRPr="00781112" w:rsidRDefault="002B7490" w:rsidP="00212954">
      <w:pPr>
        <w:rPr>
          <w:rFonts w:cs="Arial"/>
          <w:color w:val="000000" w:themeColor="text1"/>
          <w:szCs w:val="16"/>
        </w:rPr>
      </w:pPr>
      <w:r w:rsidRPr="00781112">
        <w:rPr>
          <w:rFonts w:cs="Arial"/>
          <w:color w:val="000000" w:themeColor="text1"/>
          <w:szCs w:val="16"/>
        </w:rPr>
        <w:t>The State has revised the baseline for this indicator, using data from FFY 2022, but OSEP cannot accept that baseline revision because the State's FFY 2022 baseline data reported in the Historical Data table is not consistent with the State's FFY 2022 data reported in the FFY 2022 SPP/APR Data table. Additionally, OSEP cannot accept the State's FFYs 2022-2025 targets for this indicator because OSEP cannot determine whether the State’s end targets for FFY 2025 reflect improvement over the State’s baseline data, given the discrepancy in the baseline data, as noted above. The State must ensure that its FFY 2025 targets reflect improvement over the baseline.</w:t>
      </w:r>
    </w:p>
    <w:p w14:paraId="146BDB91" w14:textId="0A2F7969" w:rsidR="005115D6" w:rsidRPr="00781112" w:rsidRDefault="00697434" w:rsidP="008645AD">
      <w:pPr>
        <w:pStyle w:val="Heading2"/>
      </w:pPr>
      <w:r w:rsidRPr="00781112">
        <w:t>4A - Required Actions</w:t>
      </w:r>
    </w:p>
    <w:p w14:paraId="37BECDFE" w14:textId="2A43AB88" w:rsidR="002D57DA" w:rsidRPr="00781112" w:rsidRDefault="002B7490" w:rsidP="00212954">
      <w:pPr>
        <w:rPr>
          <w:rFonts w:cs="Arial"/>
          <w:color w:val="000000" w:themeColor="text1"/>
          <w:szCs w:val="16"/>
        </w:rPr>
      </w:pPr>
      <w:r w:rsidRPr="00781112">
        <w:rPr>
          <w:rFonts w:cs="Arial"/>
          <w:color w:val="000000" w:themeColor="text1"/>
          <w:szCs w:val="16"/>
        </w:rPr>
        <w:t xml:space="preserve">In the FFY 2023 SPP/APR, the State must report baseline and targets, through FFY 2025, for this indicator. </w:t>
        <w:br/>
        <w:t/>
        <w:br/>
        <w:t>The State must also report on the correction of noncompliance that the State identified in FFY 2022 as a result of the review it conducted pursuant to 34 C.F.R. § 300.170(b). When reporting on the correction of this noncompliance, the State must report that it has verified that each district with noncompliance identified by the State: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district, consistent with OSEP QA 23-01. In the FFY 2023 SPP/APR, the State must describe the specific actions that were taken to verify the correction.</w:t>
      </w:r>
    </w:p>
    <w:p w14:paraId="5E6ED969" w14:textId="77777777" w:rsidR="00600E15" w:rsidRPr="00781112" w:rsidRDefault="00600E15">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658544B7" w14:textId="204E8DB3" w:rsidR="00D03701" w:rsidRPr="00781112" w:rsidRDefault="00D03701" w:rsidP="000444E2">
      <w:pPr>
        <w:pStyle w:val="Heading1"/>
        <w:rPr>
          <w:color w:val="000000" w:themeColor="text1"/>
          <w:sz w:val="22"/>
        </w:rPr>
      </w:pPr>
      <w:r w:rsidRPr="00781112">
        <w:rPr>
          <w:color w:val="000000" w:themeColor="text1"/>
          <w:sz w:val="22"/>
        </w:rPr>
        <w:lastRenderedPageBreak/>
        <w:t>Indicator 4B: Suspension/Expulsion</w:t>
      </w:r>
      <w:bookmarkEnd w:id="31"/>
      <w:bookmarkEnd w:id="32"/>
      <w:bookmarkEnd w:id="33"/>
    </w:p>
    <w:p w14:paraId="1BA30D93" w14:textId="77777777" w:rsidR="008637F8" w:rsidRPr="00781112" w:rsidRDefault="008637F8" w:rsidP="00A018D4">
      <w:pPr>
        <w:rPr>
          <w:color w:val="000000" w:themeColor="text1"/>
          <w:szCs w:val="20"/>
        </w:rPr>
      </w:pPr>
      <w:bookmarkStart w:id="34" w:name="_Toc384383338"/>
      <w:bookmarkStart w:id="35" w:name="_Toc392159290"/>
      <w:r w:rsidRPr="00781112">
        <w:rPr>
          <w:b/>
          <w:color w:val="000000" w:themeColor="text1"/>
          <w:sz w:val="20"/>
          <w:szCs w:val="20"/>
        </w:rPr>
        <w:t xml:space="preserve">Instructions and Measurement </w:t>
      </w:r>
    </w:p>
    <w:p w14:paraId="0904D95C" w14:textId="6ABD6544" w:rsidR="00413366" w:rsidRPr="00781112" w:rsidRDefault="00413366"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7516B53F" w14:textId="25CEE127" w:rsidR="00413366" w:rsidRPr="00781112" w:rsidRDefault="00C56D79" w:rsidP="009A755E">
      <w:pPr>
        <w:rPr>
          <w:rFonts w:cs="Arial"/>
          <w:color w:val="000000" w:themeColor="text1"/>
          <w:szCs w:val="16"/>
        </w:rPr>
      </w:pPr>
      <w:r w:rsidRPr="00781112">
        <w:rPr>
          <w:rFonts w:cs="Arial"/>
          <w:b/>
          <w:color w:val="000000" w:themeColor="text1"/>
          <w:szCs w:val="16"/>
        </w:rPr>
        <w:t>Compliance Indicator:</w:t>
      </w:r>
      <w:r w:rsidR="009A755E" w:rsidRPr="00781112">
        <w:rPr>
          <w:rFonts w:cs="Arial"/>
          <w:color w:val="000000" w:themeColor="text1"/>
          <w:szCs w:val="16"/>
        </w:rPr>
        <w:t xml:space="preserve"> </w:t>
      </w:r>
      <w:r w:rsidR="00413366" w:rsidRPr="00781112">
        <w:rPr>
          <w:rFonts w:cs="Arial"/>
          <w:color w:val="000000" w:themeColor="text1"/>
          <w:szCs w:val="16"/>
        </w:rPr>
        <w:t>Rates of suspension and expulsion:</w:t>
      </w:r>
    </w:p>
    <w:p w14:paraId="3739388D" w14:textId="512C0A32" w:rsidR="00B01978" w:rsidRPr="00781112" w:rsidRDefault="00B01978" w:rsidP="00360DD6">
      <w:pPr>
        <w:ind w:left="360"/>
        <w:rPr>
          <w:rFonts w:cs="Arial"/>
          <w:szCs w:val="16"/>
        </w:rPr>
      </w:pPr>
      <w:r w:rsidRPr="00781112">
        <w:rPr>
          <w:rFonts w:cs="Arial"/>
          <w:color w:val="000000" w:themeColor="text1"/>
          <w:szCs w:val="16"/>
        </w:rPr>
        <w:tab/>
        <w:t xml:space="preserve">A. </w:t>
      </w:r>
      <w:r w:rsidRPr="00741A36">
        <w:rPr>
          <w:rFonts w:cs="Arial"/>
          <w:szCs w:val="16"/>
        </w:rPr>
        <w:t>Percent of local educational</w:t>
      </w:r>
      <w:r w:rsidRPr="00781112">
        <w:rPr>
          <w:rFonts w:cs="Arial"/>
          <w:szCs w:val="16"/>
        </w:rPr>
        <w:t xml:space="preserve"> agencies (LEA) that have a significant discrepancy, as defined by the State, in the rate of suspensions and </w:t>
      </w:r>
      <w:r w:rsidR="002D3270" w:rsidRPr="00781112">
        <w:rPr>
          <w:rFonts w:cs="Arial"/>
          <w:szCs w:val="16"/>
        </w:rPr>
        <w:tab/>
      </w:r>
      <w:r w:rsidRPr="00781112">
        <w:rPr>
          <w:rFonts w:cs="Arial"/>
          <w:szCs w:val="16"/>
        </w:rPr>
        <w:t>expulsions of greater than 10 days in a school year for children with IEPs; and</w:t>
      </w:r>
    </w:p>
    <w:p w14:paraId="021F68CD" w14:textId="4F839DD4" w:rsidR="00413366" w:rsidRPr="00781112" w:rsidRDefault="001D5BAF" w:rsidP="006A01BD">
      <w:pPr>
        <w:ind w:left="720"/>
        <w:rPr>
          <w:rFonts w:cs="Arial"/>
          <w:color w:val="000000" w:themeColor="text1"/>
          <w:szCs w:val="16"/>
        </w:rPr>
      </w:pPr>
      <w:r w:rsidRPr="00781112">
        <w:rPr>
          <w:rFonts w:cs="Arial"/>
          <w:color w:val="000000" w:themeColor="text1"/>
          <w:szCs w:val="16"/>
        </w:rPr>
        <w:t>B. Percent of LEAs that have: (a) a significant discrepancy,</w:t>
      </w:r>
      <w:r w:rsidR="007F1D12" w:rsidRPr="00781112">
        <w:rPr>
          <w:rFonts w:cs="Arial"/>
          <w:szCs w:val="16"/>
        </w:rPr>
        <w:t xml:space="preserve"> as defined by the State, </w:t>
      </w:r>
      <w:r w:rsidRPr="00781112">
        <w:rPr>
          <w:rFonts w:cs="Arial"/>
          <w:color w:val="000000" w:themeColor="text1"/>
          <w:szCs w:val="16"/>
        </w:rPr>
        <w:t>by race or ethnicity</w:t>
      </w:r>
      <w:r w:rsidR="00413366" w:rsidRPr="00781112">
        <w:rPr>
          <w:rFonts w:cs="Arial"/>
          <w:bCs/>
          <w:color w:val="000000" w:themeColor="text1"/>
          <w:szCs w:val="16"/>
          <w:shd w:val="clear" w:color="auto" w:fill="FFFFFF"/>
        </w:rPr>
        <w:t>, in the rate of suspensions and expulsions of greater than 10 days in a school year for children with IEPs; and (b) policies, procedures or practices that contribute to the significant discrepancy</w:t>
      </w:r>
      <w:r w:rsidR="000C0565" w:rsidRPr="00781112">
        <w:rPr>
          <w:rFonts w:cs="Arial"/>
          <w:bCs/>
          <w:color w:val="000000" w:themeColor="text1"/>
          <w:szCs w:val="16"/>
          <w:shd w:val="clear" w:color="auto" w:fill="FFFFFF"/>
        </w:rPr>
        <w:t xml:space="preserve">, </w:t>
      </w:r>
      <w:r w:rsidR="000C0565" w:rsidRPr="00781112">
        <w:rPr>
          <w:rFonts w:cs="Arial"/>
          <w:szCs w:val="16"/>
        </w:rPr>
        <w:t xml:space="preserve">as defined by the State, </w:t>
      </w:r>
      <w:r w:rsidR="00413366" w:rsidRPr="00781112">
        <w:rPr>
          <w:rFonts w:cs="Arial"/>
          <w:bCs/>
          <w:color w:val="000000" w:themeColor="text1"/>
          <w:szCs w:val="16"/>
          <w:shd w:val="clear" w:color="auto" w:fill="FFFFFF"/>
        </w:rPr>
        <w:t>and do not comply with requirements relating to the development and implementation of IEPs, the use of positive behavioral interventions and supports, and procedural safeguards.</w:t>
      </w:r>
    </w:p>
    <w:p w14:paraId="7034F485" w14:textId="41B53DB5" w:rsidR="0011074D" w:rsidRPr="00781112" w:rsidRDefault="0011074D" w:rsidP="0011074D">
      <w:pPr>
        <w:rPr>
          <w:rFonts w:cs="Arial"/>
          <w:color w:val="000000" w:themeColor="text1"/>
          <w:szCs w:val="16"/>
        </w:rPr>
      </w:pPr>
      <w:r w:rsidRPr="00781112">
        <w:rPr>
          <w:rFonts w:cs="Arial"/>
          <w:color w:val="000000" w:themeColor="text1"/>
          <w:szCs w:val="16"/>
        </w:rPr>
        <w:t>(20 U.S.C. 1416(a)(3)(A); 1412(a)(22))</w:t>
      </w:r>
    </w:p>
    <w:p w14:paraId="5F946B13" w14:textId="77777777" w:rsidR="00413366" w:rsidRPr="00781112" w:rsidRDefault="00413366" w:rsidP="004369B2">
      <w:pPr>
        <w:rPr>
          <w:color w:val="000000" w:themeColor="text1"/>
        </w:rPr>
      </w:pPr>
      <w:r w:rsidRPr="00781112">
        <w:rPr>
          <w:b/>
          <w:color w:val="000000" w:themeColor="text1"/>
        </w:rPr>
        <w:t>Data Source</w:t>
      </w:r>
    </w:p>
    <w:p w14:paraId="5BDC9967" w14:textId="77777777" w:rsidR="00413366" w:rsidRPr="00781112" w:rsidRDefault="00413366" w:rsidP="00BB7BC9">
      <w:pPr>
        <w:rPr>
          <w:rFonts w:cs="Arial"/>
          <w:color w:val="000000" w:themeColor="text1"/>
          <w:szCs w:val="16"/>
        </w:rPr>
      </w:pPr>
      <w:r w:rsidRPr="00781112">
        <w:rPr>
          <w:rFonts w:cs="Arial"/>
          <w:color w:val="000000" w:themeColor="text1"/>
          <w:szCs w:val="16"/>
        </w:rPr>
        <w:t xml:space="preserve">State </w:t>
      </w:r>
      <w:r w:rsidRPr="00781112">
        <w:rPr>
          <w:rFonts w:cs="Arial"/>
          <w:color w:val="000000" w:themeColor="text1"/>
          <w:szCs w:val="16"/>
          <w:shd w:val="clear" w:color="auto" w:fill="FFFFFF"/>
        </w:rPr>
        <w:t>discipline data, including State’s analysis of State’s Discipline data collected under IDEA Section 618, where applicable. Discrepancy can be computed by either comparing the rates of suspensions and expulsions for children with IEPs to rates for nondisabled children within the LEA or by comparing the rates of suspensions and expulsions for children with IEPs among LEAs within the State.</w:t>
      </w:r>
    </w:p>
    <w:p w14:paraId="38F5E274" w14:textId="77777777" w:rsidR="00413366" w:rsidRPr="00781112" w:rsidRDefault="00413366" w:rsidP="004369B2">
      <w:pPr>
        <w:rPr>
          <w:color w:val="000000" w:themeColor="text1"/>
        </w:rPr>
      </w:pPr>
      <w:r w:rsidRPr="00781112">
        <w:rPr>
          <w:b/>
          <w:color w:val="000000" w:themeColor="text1"/>
        </w:rPr>
        <w:t>Measurement</w:t>
      </w:r>
    </w:p>
    <w:p w14:paraId="509BF292" w14:textId="47666D05" w:rsidR="00413366" w:rsidRPr="00781112" w:rsidRDefault="00413366" w:rsidP="00286BDF">
      <w:pPr>
        <w:rPr>
          <w:rFonts w:cs="Arial"/>
          <w:color w:val="000000" w:themeColor="text1"/>
          <w:szCs w:val="16"/>
        </w:rPr>
      </w:pPr>
      <w:r w:rsidRPr="00781112">
        <w:rPr>
          <w:rFonts w:cs="Arial"/>
          <w:color w:val="000000" w:themeColor="text1"/>
          <w:szCs w:val="16"/>
        </w:rPr>
        <w:t xml:space="preserve">Percent </w:t>
      </w:r>
      <w:r w:rsidRPr="00781112">
        <w:rPr>
          <w:rFonts w:cs="Arial"/>
          <w:color w:val="000000" w:themeColor="text1"/>
          <w:szCs w:val="16"/>
          <w:shd w:val="clear" w:color="auto" w:fill="FFFFFF"/>
        </w:rPr>
        <w:t xml:space="preserve">= </w:t>
      </w:r>
      <w:r w:rsidR="00E726E2" w:rsidRPr="00781112">
        <w:rPr>
          <w:rFonts w:cs="Arial"/>
          <w:color w:val="000000" w:themeColor="text1"/>
          <w:szCs w:val="16"/>
          <w:shd w:val="clear" w:color="auto" w:fill="FFFFFF"/>
        </w:rPr>
        <w:t xml:space="preserve">[(# </w:t>
      </w:r>
      <w:r w:rsidRPr="00781112">
        <w:rPr>
          <w:rFonts w:cs="Arial"/>
          <w:color w:val="000000" w:themeColor="text1"/>
          <w:szCs w:val="16"/>
          <w:shd w:val="clear" w:color="auto" w:fill="FFFFFF"/>
        </w:rPr>
        <w:t xml:space="preserve">of </w:t>
      </w:r>
      <w:r w:rsidR="000C0565"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 xml:space="preserve">that meet the State-established n </w:t>
      </w:r>
      <w:r w:rsidR="000C0565" w:rsidRPr="00781112">
        <w:rPr>
          <w:rFonts w:cs="Arial"/>
          <w:color w:val="000000" w:themeColor="text1"/>
          <w:szCs w:val="16"/>
          <w:shd w:val="clear" w:color="auto" w:fill="FFFFFF"/>
        </w:rPr>
        <w:t xml:space="preserve">and/or cell </w:t>
      </w:r>
      <w:r w:rsidRPr="00781112">
        <w:rPr>
          <w:rFonts w:cs="Arial"/>
          <w:color w:val="000000" w:themeColor="text1"/>
          <w:szCs w:val="16"/>
          <w:shd w:val="clear" w:color="auto" w:fill="FFFFFF"/>
        </w:rPr>
        <w:t xml:space="preserve">size (if applicable) for one or more racial/ethnic groups that have: (a) a significant discrepancy, </w:t>
      </w:r>
      <w:r w:rsidR="000C0565" w:rsidRPr="00781112">
        <w:rPr>
          <w:rFonts w:cs="Arial"/>
          <w:szCs w:val="16"/>
        </w:rPr>
        <w:t xml:space="preserve">as defined by the State, </w:t>
      </w:r>
      <w:r w:rsidRPr="00781112">
        <w:rPr>
          <w:rFonts w:cs="Arial"/>
          <w:color w:val="000000" w:themeColor="text1"/>
          <w:szCs w:val="16"/>
          <w:shd w:val="clear" w:color="auto" w:fill="FFFFFF"/>
        </w:rPr>
        <w:t xml:space="preserve">by race or ethnicity, in the rates of suspensions and expulsions of </w:t>
      </w:r>
      <w:r w:rsidR="00D124AA" w:rsidRPr="00781112">
        <w:rPr>
          <w:rFonts w:cs="Arial"/>
          <w:color w:val="000000" w:themeColor="text1"/>
          <w:szCs w:val="16"/>
          <w:shd w:val="clear" w:color="auto" w:fill="FFFFFF"/>
        </w:rPr>
        <w:t xml:space="preserve">more </w:t>
      </w:r>
      <w:r w:rsidRPr="00781112">
        <w:rPr>
          <w:rFonts w:cs="Arial"/>
          <w:color w:val="000000" w:themeColor="text1"/>
          <w:szCs w:val="16"/>
          <w:shd w:val="clear" w:color="auto" w:fill="FFFFFF"/>
        </w:rPr>
        <w:t xml:space="preserve">than 10 days </w:t>
      </w:r>
      <w:r w:rsidR="00D124AA" w:rsidRPr="00781112">
        <w:rPr>
          <w:rFonts w:cs="Arial"/>
          <w:color w:val="000000" w:themeColor="text1"/>
          <w:szCs w:val="16"/>
          <w:shd w:val="clear" w:color="auto" w:fill="FFFFFF"/>
        </w:rPr>
        <w:t xml:space="preserve">during the </w:t>
      </w:r>
      <w:r w:rsidRPr="00781112">
        <w:rPr>
          <w:rFonts w:cs="Arial"/>
          <w:color w:val="000000" w:themeColor="text1"/>
          <w:szCs w:val="16"/>
          <w:shd w:val="clear" w:color="auto" w:fill="FFFFFF"/>
        </w:rPr>
        <w:t>school year of children with IEPs; and (b) policies, procedures or practices that contribute to the significant discrepancy</w:t>
      </w:r>
      <w:r w:rsidR="0024349E" w:rsidRPr="00781112">
        <w:rPr>
          <w:rFonts w:cs="Arial"/>
          <w:color w:val="000000" w:themeColor="text1"/>
          <w:szCs w:val="16"/>
          <w:shd w:val="clear" w:color="auto" w:fill="FFFFFF"/>
        </w:rPr>
        <w:t xml:space="preserve">, as defined by the State, </w:t>
      </w:r>
      <w:r w:rsidRPr="00781112">
        <w:rPr>
          <w:rFonts w:cs="Arial"/>
          <w:color w:val="000000" w:themeColor="text1"/>
          <w:szCs w:val="16"/>
          <w:shd w:val="clear" w:color="auto" w:fill="FFFFFF"/>
        </w:rPr>
        <w:t xml:space="preserve">and do not comply with requirements relating to the development and implementation of IEPs, the use of positive behavioral interventions and supports, and procedural safeguards) divided by the (# of </w:t>
      </w:r>
      <w:r w:rsidR="003929E1"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 xml:space="preserve">in the State that meet the State-established n </w:t>
      </w:r>
      <w:r w:rsidR="003929E1" w:rsidRPr="00781112">
        <w:rPr>
          <w:rFonts w:cs="Arial"/>
          <w:color w:val="000000" w:themeColor="text1"/>
          <w:szCs w:val="16"/>
          <w:shd w:val="clear" w:color="auto" w:fill="FFFFFF"/>
        </w:rPr>
        <w:t xml:space="preserve">and/or cell </w:t>
      </w:r>
      <w:r w:rsidRPr="00781112">
        <w:rPr>
          <w:rFonts w:cs="Arial"/>
          <w:color w:val="000000" w:themeColor="text1"/>
          <w:szCs w:val="16"/>
          <w:shd w:val="clear" w:color="auto" w:fill="FFFFFF"/>
        </w:rPr>
        <w:t>size (if applicable) for one or more racial/ethnic groups</w:t>
      </w:r>
      <w:r w:rsidR="00E726E2" w:rsidRPr="00781112">
        <w:rPr>
          <w:rFonts w:cs="Arial"/>
          <w:color w:val="000000" w:themeColor="text1"/>
          <w:szCs w:val="16"/>
          <w:shd w:val="clear" w:color="auto" w:fill="FFFFFF"/>
        </w:rPr>
        <w:t xml:space="preserve">)] </w:t>
      </w:r>
      <w:r w:rsidRPr="00781112">
        <w:rPr>
          <w:rFonts w:cs="Arial"/>
          <w:color w:val="000000" w:themeColor="text1"/>
          <w:szCs w:val="16"/>
          <w:shd w:val="clear" w:color="auto" w:fill="FFFFFF"/>
        </w:rPr>
        <w:t>times 100.</w:t>
      </w:r>
    </w:p>
    <w:p w14:paraId="09B5AE3F" w14:textId="77777777" w:rsidR="00413366" w:rsidRPr="00781112" w:rsidRDefault="00413366" w:rsidP="00286BDF">
      <w:pPr>
        <w:rPr>
          <w:rFonts w:cs="Arial"/>
          <w:color w:val="000000" w:themeColor="text1"/>
          <w:szCs w:val="16"/>
        </w:rPr>
      </w:pPr>
      <w:r w:rsidRPr="00781112">
        <w:rPr>
          <w:rFonts w:cs="Arial"/>
          <w:color w:val="000000" w:themeColor="text1"/>
          <w:szCs w:val="16"/>
          <w:shd w:val="clear" w:color="auto" w:fill="FFFFFF"/>
        </w:rPr>
        <w:t>Include State’s definition of “significant discrepancy.”</w:t>
      </w:r>
    </w:p>
    <w:p w14:paraId="19EA6D3F" w14:textId="77777777" w:rsidR="00413366" w:rsidRPr="00781112" w:rsidRDefault="00413366" w:rsidP="004369B2">
      <w:pPr>
        <w:rPr>
          <w:color w:val="000000" w:themeColor="text1"/>
        </w:rPr>
      </w:pPr>
      <w:r w:rsidRPr="00781112">
        <w:rPr>
          <w:b/>
          <w:color w:val="000000" w:themeColor="text1"/>
        </w:rPr>
        <w:t>Instructions</w:t>
      </w:r>
    </w:p>
    <w:p w14:paraId="516DD2DE" w14:textId="74244F0A" w:rsidR="00413366" w:rsidRPr="00781112" w:rsidRDefault="00413366" w:rsidP="00BB7BC9">
      <w:pPr>
        <w:rPr>
          <w:rFonts w:cs="Arial"/>
          <w:color w:val="000000" w:themeColor="text1"/>
          <w:szCs w:val="16"/>
        </w:rPr>
      </w:pPr>
      <w:r w:rsidRPr="00781112">
        <w:rPr>
          <w:rFonts w:cs="Arial"/>
          <w:color w:val="000000" w:themeColor="text1"/>
          <w:szCs w:val="16"/>
        </w:rPr>
        <w:t>If the State has established a minimum n and/or cell size requirement, the State may only include, in both the numerator and the denominator, LEAs that met that State-established n and/or cell size. If the State used a minimum n and/or cell size requirement, report the number of LEAs totally excluded from the calculation as a result of this requirement.</w:t>
      </w:r>
    </w:p>
    <w:p w14:paraId="7D3F6556" w14:textId="1FBE95AF" w:rsidR="00413366" w:rsidRPr="00781112" w:rsidRDefault="0016730D" w:rsidP="00BB7BC9">
      <w:pPr>
        <w:rPr>
          <w:rFonts w:cs="Arial"/>
          <w:color w:val="000000" w:themeColor="text1"/>
          <w:szCs w:val="16"/>
        </w:rPr>
      </w:pPr>
      <w:r w:rsidRPr="00781112">
        <w:rPr>
          <w:rFonts w:cs="Arial"/>
          <w:color w:val="000000" w:themeColor="text1"/>
          <w:szCs w:val="16"/>
        </w:rPr>
        <w:t xml:space="preserve">Describe the results of the State’s examination of the data for the year before the reporting year (e.g., for the FFY 2022 SPP/APR, use data from 2021-2022), including data disaggregated by race and ethnicity to determine if significant discrepancies, as defined by the State, are occurring in the rates of long-term suspensions and expulsions </w:t>
      </w:r>
      <w:r w:rsidR="00B315F0" w:rsidRPr="00781112">
        <w:rPr>
          <w:rFonts w:cs="Arial"/>
          <w:szCs w:val="16"/>
        </w:rPr>
        <w:t xml:space="preserve">(more than 10 days during the school year) </w:t>
      </w:r>
      <w:r w:rsidRPr="00781112">
        <w:rPr>
          <w:rFonts w:cs="Arial"/>
          <w:color w:val="000000" w:themeColor="text1"/>
          <w:szCs w:val="16"/>
        </w:rPr>
        <w:t>of children with IEPs, as required at 20 U.S.C. 1412(a)(22). The State’s examination must include one of the following comparisons</w:t>
      </w:r>
      <w:r w:rsidR="007D116C" w:rsidRPr="00781112">
        <w:rPr>
          <w:rFonts w:cs="Arial"/>
          <w:color w:val="000000" w:themeColor="text1"/>
          <w:szCs w:val="16"/>
        </w:rPr>
        <w:t>:</w:t>
      </w:r>
    </w:p>
    <w:p w14:paraId="041F9A85" w14:textId="0566F4DA" w:rsidR="00413366" w:rsidRPr="00781112" w:rsidRDefault="00515E61" w:rsidP="006A01BD">
      <w:pPr>
        <w:ind w:firstLine="720"/>
        <w:rPr>
          <w:rFonts w:cs="Arial"/>
          <w:color w:val="000000" w:themeColor="text1"/>
          <w:szCs w:val="16"/>
        </w:rPr>
      </w:pPr>
      <w:r w:rsidRPr="00781112">
        <w:rPr>
          <w:rFonts w:cs="Arial"/>
          <w:color w:val="000000" w:themeColor="text1"/>
          <w:szCs w:val="16"/>
        </w:rPr>
        <w:t>--The rates of suspensions and expulsions for children with IEPs among LEAs within the State; or</w:t>
      </w:r>
    </w:p>
    <w:p w14:paraId="4B77809C" w14:textId="3DE3659D" w:rsidR="00413366" w:rsidRPr="00781112" w:rsidRDefault="00515E61" w:rsidP="00BA3DBE">
      <w:pPr>
        <w:ind w:left="720"/>
        <w:rPr>
          <w:rFonts w:cs="Arial"/>
          <w:color w:val="000000" w:themeColor="text1"/>
          <w:szCs w:val="16"/>
        </w:rPr>
      </w:pPr>
      <w:r w:rsidRPr="00781112">
        <w:rPr>
          <w:rFonts w:cs="Arial"/>
          <w:color w:val="000000" w:themeColor="text1"/>
          <w:szCs w:val="16"/>
        </w:rPr>
        <w:t xml:space="preserve">--The rates of suspensions and expulsions for children with IEPs to </w:t>
      </w:r>
      <w:bookmarkStart w:id="36" w:name="_Hlk150863741"/>
      <w:r w:rsidR="00FC69E3">
        <w:rPr>
          <w:rFonts w:cs="Arial"/>
          <w:color w:val="000000" w:themeColor="text1"/>
          <w:szCs w:val="16"/>
        </w:rPr>
        <w:t xml:space="preserve">the rates of suspensions and expulsions for </w:t>
      </w:r>
      <w:bookmarkEnd w:id="36"/>
      <w:r w:rsidRPr="00781112">
        <w:rPr>
          <w:rFonts w:cs="Arial"/>
          <w:color w:val="000000" w:themeColor="text1"/>
          <w:szCs w:val="16"/>
        </w:rPr>
        <w:t>nondisabled children within the LEAs</w:t>
      </w:r>
    </w:p>
    <w:p w14:paraId="428DC587" w14:textId="18ECA0E1" w:rsidR="00413366" w:rsidRPr="00781112" w:rsidRDefault="00413366" w:rsidP="00BB7BC9">
      <w:pPr>
        <w:rPr>
          <w:rFonts w:cs="Arial"/>
          <w:color w:val="000000" w:themeColor="text1"/>
          <w:szCs w:val="16"/>
        </w:rPr>
      </w:pPr>
      <w:r w:rsidRPr="00781112">
        <w:rPr>
          <w:rFonts w:cs="Arial"/>
          <w:color w:val="000000" w:themeColor="text1"/>
          <w:szCs w:val="16"/>
        </w:rPr>
        <w:t>In the description, specify which method the State used to determine possible discrepancies and explain what constitutes those discrepancies.</w:t>
      </w:r>
    </w:p>
    <w:p w14:paraId="2537B541" w14:textId="230E2208" w:rsidR="00474DB4" w:rsidRPr="00781112" w:rsidRDefault="00474DB4" w:rsidP="00474DB4">
      <w:pPr>
        <w:rPr>
          <w:rFonts w:cs="Arial"/>
          <w:szCs w:val="16"/>
        </w:rPr>
      </w:pPr>
      <w:r w:rsidRPr="00781112">
        <w:rPr>
          <w:rFonts w:cs="Arial"/>
          <w:szCs w:val="16"/>
        </w:rPr>
        <w:t xml:space="preserve">Because the measurement table requires that the data examined for this indicator are lag year data, States should examine the </w:t>
      </w:r>
      <w:r w:rsidR="00D5021D">
        <w:rPr>
          <w:rFonts w:cs="Arial"/>
          <w:szCs w:val="16"/>
        </w:rPr>
        <w:t xml:space="preserve">section </w:t>
      </w:r>
      <w:r w:rsidRPr="00781112">
        <w:rPr>
          <w:rFonts w:cs="Arial"/>
          <w:szCs w:val="16"/>
        </w:rPr>
        <w:t xml:space="preserve">618 data that was submitted by LEAs that were in operation during the school year before the reporting year. For example, if a State has 100 LEAs operating in the 2021-2022 school year, those 100 LEAs would have reported </w:t>
      </w:r>
      <w:r w:rsidR="00D5021D">
        <w:rPr>
          <w:rFonts w:cs="Arial"/>
          <w:szCs w:val="16"/>
        </w:rPr>
        <w:t xml:space="preserve">section </w:t>
      </w:r>
      <w:r w:rsidRPr="00781112">
        <w:rPr>
          <w:rFonts w:cs="Arial"/>
          <w:szCs w:val="16"/>
        </w:rPr>
        <w:t xml:space="preserve">618 data in 2021-2022 on the number of children suspended/expelled. If the State then opens 15 new LEAs in 2022-2023, suspension/expulsion data from those 15 new LEAs would not be in the 2021-2022 </w:t>
      </w:r>
      <w:r w:rsidR="00D5021D">
        <w:rPr>
          <w:rFonts w:cs="Arial"/>
          <w:szCs w:val="16"/>
        </w:rPr>
        <w:t xml:space="preserve">section </w:t>
      </w:r>
      <w:r w:rsidRPr="00781112">
        <w:rPr>
          <w:rFonts w:cs="Arial"/>
          <w:szCs w:val="16"/>
        </w:rPr>
        <w:t>618 data set, and therefore, those 15 new LEAs should not be included in the denominator of the calculation. States must use the number of LEAs from the year before the reporting year in its calculation for this indicator. For the FFY 2022 SPP/APR submission, States must use the number of LEAs reported in 2021-2022 (which can be found in the FFY 2021 SPP/APR introduction).</w:t>
      </w:r>
    </w:p>
    <w:p w14:paraId="42FA82A8" w14:textId="6C4178AE" w:rsidR="00413366" w:rsidRPr="00781112" w:rsidRDefault="00413366" w:rsidP="00BB7BC9">
      <w:pPr>
        <w:rPr>
          <w:rFonts w:cs="Arial"/>
          <w:color w:val="000000" w:themeColor="text1"/>
          <w:szCs w:val="16"/>
        </w:rPr>
      </w:pPr>
      <w:r w:rsidRPr="00781112">
        <w:rPr>
          <w:rFonts w:cs="Arial"/>
          <w:color w:val="000000" w:themeColor="text1"/>
          <w:szCs w:val="16"/>
        </w:rPr>
        <w:t>Indicator 4B: Provide the following: (a) the number of LEAs that met the State-established n and/or cell size (if applicable) for one or more racial/ethnic groups that have a significant discrepancy, as defined by the State, by race or ethnicity, in the rates of long-term suspensions and expulsions (more than 10 days during the school year) for children with IEPs; and (b) the number of those LEAs in which policies, procedures or practices contribute to the significant discrepancy</w:t>
      </w:r>
      <w:r w:rsidR="00D5021D">
        <w:rPr>
          <w:rFonts w:cs="Arial"/>
          <w:color w:val="000000" w:themeColor="text1"/>
          <w:szCs w:val="16"/>
        </w:rPr>
        <w:t>, as defined by the State,</w:t>
      </w:r>
      <w:r w:rsidRPr="00781112">
        <w:rPr>
          <w:rFonts w:cs="Arial"/>
          <w:color w:val="000000" w:themeColor="text1"/>
          <w:szCs w:val="16"/>
        </w:rPr>
        <w:t xml:space="preserve"> and do not comply with requirements relating to the development and implementation of IEPs, the use of positive behavioral interventions and supports, and procedural safeguards.</w:t>
      </w:r>
    </w:p>
    <w:p w14:paraId="1F7345F8" w14:textId="6143E9B9" w:rsidR="00413366" w:rsidRPr="00781112" w:rsidRDefault="00413366" w:rsidP="00BB7BC9">
      <w:pPr>
        <w:rPr>
          <w:rFonts w:cs="Arial"/>
          <w:color w:val="000000" w:themeColor="text1"/>
          <w:szCs w:val="16"/>
        </w:rPr>
      </w:pPr>
      <w:r w:rsidRPr="00781112">
        <w:rPr>
          <w:rFonts w:cs="Arial"/>
          <w:color w:val="000000" w:themeColor="text1"/>
          <w:szCs w:val="16"/>
        </w:rPr>
        <w:t xml:space="preserve">Provide detailed information about the timely correction of </w:t>
      </w:r>
      <w:bookmarkStart w:id="37" w:name="_Hlk150863834"/>
      <w:r w:rsidR="00D5021D">
        <w:rPr>
          <w:rFonts w:cs="Arial"/>
          <w:color w:val="000000" w:themeColor="text1"/>
          <w:szCs w:val="16"/>
        </w:rPr>
        <w:t xml:space="preserve">child-specific and regulatory/systemic </w:t>
      </w:r>
      <w:bookmarkEnd w:id="37"/>
      <w:r w:rsidRPr="00781112">
        <w:rPr>
          <w:rFonts w:cs="Arial"/>
          <w:color w:val="000000" w:themeColor="text1"/>
          <w:szCs w:val="16"/>
        </w:rPr>
        <w:t xml:space="preserve">noncompliance as noted in OSEP’s response for the previous SPP/APR. If discrepancies occurred and the LEA with discrepancies had policies, procedures or practices that contributed to the significant discrepancy, </w:t>
      </w:r>
      <w:r w:rsidR="00844FD2" w:rsidRPr="00781112">
        <w:rPr>
          <w:rFonts w:cs="Arial"/>
          <w:szCs w:val="16"/>
        </w:rPr>
        <w:t>as defined by the State,</w:t>
      </w:r>
      <w:r w:rsidR="005440A4" w:rsidRPr="00781112">
        <w:rPr>
          <w:rFonts w:cs="Arial"/>
          <w:szCs w:val="16"/>
        </w:rPr>
        <w:t xml:space="preserve"> </w:t>
      </w:r>
      <w:r w:rsidRPr="00781112">
        <w:rPr>
          <w:rFonts w:cs="Arial"/>
          <w:color w:val="000000" w:themeColor="text1"/>
          <w:szCs w:val="16"/>
        </w:rPr>
        <w:t>and that do not comply with requirements relating to the development and implementation of IEPs, the use of positive behavioral interventions and supports, and procedural safeguards, describe how the State ensured that such policies, procedures, and practices were revised to comply with applicable requirements consistent with OSEP</w:t>
      </w:r>
      <w:r w:rsidR="004D1797">
        <w:rPr>
          <w:rFonts w:cs="Arial"/>
          <w:color w:val="000000" w:themeColor="text1"/>
          <w:szCs w:val="16"/>
        </w:rPr>
        <w:t xml:space="preserve"> </w:t>
      </w:r>
      <w:r w:rsidR="004D1797" w:rsidRPr="00BA3DBE">
        <w:rPr>
          <w:rFonts w:cs="Arial"/>
          <w:bCs/>
          <w:color w:val="000000" w:themeColor="text1"/>
          <w:szCs w:val="16"/>
        </w:rPr>
        <w:t>QA 23-01, dated July 24, 2023</w:t>
      </w:r>
      <w:r w:rsidRPr="00781112">
        <w:rPr>
          <w:rFonts w:cs="Arial"/>
          <w:color w:val="000000" w:themeColor="text1"/>
          <w:szCs w:val="16"/>
        </w:rPr>
        <w:t>.</w:t>
      </w:r>
    </w:p>
    <w:p w14:paraId="244FF3E4" w14:textId="056A3966" w:rsidR="00413366" w:rsidRPr="00781112" w:rsidRDefault="00413366" w:rsidP="00BB7BC9">
      <w:pPr>
        <w:rPr>
          <w:rFonts w:cs="Arial"/>
          <w:color w:val="000000" w:themeColor="text1"/>
          <w:szCs w:val="16"/>
        </w:rPr>
      </w:pPr>
      <w:r w:rsidRPr="00781112">
        <w:rPr>
          <w:rFonts w:cs="Arial"/>
          <w:color w:val="000000" w:themeColor="text1"/>
          <w:szCs w:val="16"/>
        </w:rPr>
        <w:t>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and any enforcement actions that were taken.</w:t>
      </w:r>
    </w:p>
    <w:p w14:paraId="2A4C3F88" w14:textId="50BFAADB" w:rsidR="00413366" w:rsidRPr="00781112" w:rsidRDefault="0016730D" w:rsidP="00BB7BC9">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2022 SPP/APR, the data for FFY 2021), and the State did not identify any findings of noncompliance, provide an explanation of why the State did not identify any findings of noncompliance.</w:t>
      </w:r>
    </w:p>
    <w:p w14:paraId="4A2E05BE" w14:textId="77777777" w:rsidR="00413366" w:rsidRPr="00781112" w:rsidRDefault="00413366" w:rsidP="00BB7BC9">
      <w:pPr>
        <w:rPr>
          <w:rFonts w:cs="Arial"/>
          <w:color w:val="000000" w:themeColor="text1"/>
          <w:szCs w:val="16"/>
        </w:rPr>
      </w:pPr>
      <w:r w:rsidRPr="00781112">
        <w:rPr>
          <w:rFonts w:cs="Arial"/>
          <w:color w:val="000000" w:themeColor="text1"/>
          <w:szCs w:val="16"/>
        </w:rPr>
        <w:t>Targets must be 0% for 4B.</w:t>
      </w:r>
    </w:p>
    <w:p w14:paraId="1D15A8F4" w14:textId="6546AA23" w:rsidR="00D90B7C" w:rsidRPr="00781112" w:rsidRDefault="00D11730" w:rsidP="008645AD">
      <w:pPr>
        <w:pStyle w:val="Heading2"/>
      </w:pPr>
      <w:r w:rsidRPr="00781112">
        <w:t>4B</w:t>
      </w:r>
      <w:r w:rsidR="00E90DE9" w:rsidRPr="00781112">
        <w:t xml:space="preserve"> </w:t>
      </w:r>
      <w:r w:rsidRPr="00781112">
        <w:t xml:space="preserve">- </w:t>
      </w:r>
      <w:r w:rsidR="00D90B7C" w:rsidRPr="00781112">
        <w:t>Indicator Data</w:t>
      </w:r>
    </w:p>
    <w:p w14:paraId="435C0FC5" w14:textId="77777777" w:rsidR="0091098C" w:rsidRPr="00781112" w:rsidRDefault="0091098C" w:rsidP="004369B2">
      <w:pPr>
        <w:rPr>
          <w:color w:val="000000" w:themeColor="text1"/>
        </w:rPr>
      </w:pPr>
    </w:p>
    <w:p w14:paraId="113E64CF" w14:textId="7EACB9AD" w:rsidR="00CA0009" w:rsidRPr="00781112" w:rsidRDefault="0091098C" w:rsidP="004369B2">
      <w:pPr>
        <w:rPr>
          <w:color w:val="000000" w:themeColor="text1"/>
        </w:rPr>
      </w:pPr>
      <w:r w:rsidRPr="00781112">
        <w:rPr>
          <w:b/>
          <w:color w:val="000000" w:themeColor="text1"/>
        </w:rPr>
        <w:t>Not Applicable</w:t>
      </w:r>
    </w:p>
    <w:p w14:paraId="01A6DC15" w14:textId="244F6F21" w:rsidR="00F9524E" w:rsidRPr="00781112" w:rsidRDefault="00C144E3" w:rsidP="004369B2">
      <w:pPr>
        <w:rPr>
          <w:b/>
          <w:color w:val="000000" w:themeColor="text1"/>
        </w:rPr>
      </w:pPr>
      <w:r w:rsidRPr="00781112">
        <w:rPr>
          <w:b/>
          <w:color w:val="000000" w:themeColor="text1"/>
        </w:rPr>
        <w:t>Select yes if this indicator is not applicable.</w:t>
      </w:r>
    </w:p>
    <w:p w14:paraId="53F0BC7A" w14:textId="32C15B12" w:rsidR="00F85593" w:rsidRPr="00781112" w:rsidRDefault="00F85593" w:rsidP="004369B2">
      <w:pPr>
        <w:rPr>
          <w:rFonts w:cs="Arial"/>
          <w:color w:val="000000" w:themeColor="text1"/>
          <w:szCs w:val="16"/>
        </w:rPr>
      </w:pPr>
      <w:r w:rsidRPr="00781112">
        <w:rPr>
          <w:rFonts w:cs="Arial"/>
          <w:color w:val="000000" w:themeColor="text1"/>
          <w:szCs w:val="16"/>
        </w:rPr>
        <w:t>NO</w:t>
      </w:r>
    </w:p>
    <w:p w14:paraId="2A73B0E0" w14:textId="77777777" w:rsidR="00CF0A73" w:rsidRPr="00781112" w:rsidRDefault="00CF0A73" w:rsidP="004369B2">
      <w:pPr>
        <w:rPr>
          <w:color w:val="000000" w:themeColor="text1"/>
        </w:rPr>
      </w:pPr>
    </w:p>
    <w:p w14:paraId="069D75E9" w14:textId="5200D253" w:rsidR="00BB7BC9" w:rsidRPr="00781112" w:rsidRDefault="00BB7BC9" w:rsidP="004369B2">
      <w:pPr>
        <w:rPr>
          <w:b/>
          <w:color w:val="000000" w:themeColor="text1"/>
        </w:rPr>
      </w:pPr>
      <w:r w:rsidRPr="00781112">
        <w:rPr>
          <w:b/>
          <w:color w:val="000000" w:themeColor="text1"/>
        </w:rPr>
        <w:t>Historical Data</w:t>
      </w:r>
    </w:p>
    <w:tbl>
      <w:tblPr>
        <w:tblStyle w:val="TableGrid"/>
        <w:tblW w:w="0" w:type="auto"/>
        <w:tblLook w:val="04A0" w:firstRow="1" w:lastRow="0" w:firstColumn="1" w:lastColumn="0" w:noHBand="0" w:noVBand="1"/>
        <w:tblCaption w:val="B04BBASELINEDATA"/>
      </w:tblPr>
      <w:tblGrid>
        <w:gridCol w:w="2562"/>
        <w:gridCol w:w="2563"/>
      </w:tblGrid>
      <w:tr w:rsidR="001F64DB" w:rsidRPr="00781112" w14:paraId="79576181" w14:textId="77777777" w:rsidTr="00123D76">
        <w:trPr>
          <w:trHeight w:val="311"/>
          <w:tblHeader/>
        </w:trPr>
        <w:tc>
          <w:tcPr>
            <w:tcW w:w="2562" w:type="dxa"/>
          </w:tcPr>
          <w:p w14:paraId="3F975A24" w14:textId="77777777" w:rsidR="001F64DB" w:rsidRPr="00781112" w:rsidRDefault="001F64DB" w:rsidP="00123D76">
            <w:pPr>
              <w:jc w:val="center"/>
              <w:rPr>
                <w:b/>
                <w:color w:val="000000" w:themeColor="text1"/>
              </w:rPr>
            </w:pPr>
            <w:r w:rsidRPr="00781112">
              <w:rPr>
                <w:rFonts w:cs="Arial"/>
                <w:b/>
                <w:color w:val="000000" w:themeColor="text1"/>
                <w:szCs w:val="16"/>
              </w:rPr>
              <w:t>Baseline Year</w:t>
            </w:r>
          </w:p>
        </w:tc>
        <w:tc>
          <w:tcPr>
            <w:tcW w:w="2563" w:type="dxa"/>
          </w:tcPr>
          <w:p w14:paraId="2C69FE8E" w14:textId="77777777" w:rsidR="001F64DB" w:rsidRPr="00781112" w:rsidRDefault="001F64DB" w:rsidP="00123D76">
            <w:pPr>
              <w:jc w:val="center"/>
              <w:rPr>
                <w:b/>
                <w:color w:val="000000" w:themeColor="text1"/>
              </w:rPr>
            </w:pPr>
            <w:r w:rsidRPr="00781112">
              <w:rPr>
                <w:b/>
                <w:color w:val="000000" w:themeColor="text1"/>
              </w:rPr>
              <w:t>Baseline Data</w:t>
            </w:r>
          </w:p>
        </w:tc>
      </w:tr>
      <w:tr w:rsidR="001F64DB" w:rsidRPr="00781112" w14:paraId="53FC8895" w14:textId="77777777" w:rsidTr="00123D76">
        <w:trPr>
          <w:trHeight w:val="311"/>
        </w:trPr>
        <w:tc>
          <w:tcPr>
            <w:tcW w:w="2562" w:type="dxa"/>
            <w:vAlign w:val="center"/>
          </w:tcPr>
          <w:p w14:paraId="28447C7D" w14:textId="6D0F8050" w:rsidR="001F64DB" w:rsidRPr="00781112" w:rsidRDefault="001F64DB" w:rsidP="00123D76">
            <w:pPr>
              <w:jc w:val="center"/>
              <w:rPr>
                <w:b/>
                <w:color w:val="000000" w:themeColor="text1"/>
              </w:rPr>
            </w:pPr>
            <w:r w:rsidRPr="00781112">
              <w:rPr>
                <w:rFonts w:cs="Arial"/>
                <w:color w:val="000000" w:themeColor="text1"/>
                <w:szCs w:val="16"/>
              </w:rPr>
              <w:t>2022</w:t>
            </w:r>
          </w:p>
        </w:tc>
        <w:tc>
          <w:tcPr>
            <w:tcW w:w="2563" w:type="dxa"/>
            <w:vAlign w:val="center"/>
          </w:tcPr>
          <w:p w14:paraId="66688D2B" w14:textId="7F6A1027" w:rsidR="001F64DB" w:rsidRPr="00781112" w:rsidRDefault="001F64DB" w:rsidP="00123D76">
            <w:pPr>
              <w:jc w:val="center"/>
              <w:rPr>
                <w:b/>
                <w:color w:val="000000" w:themeColor="text1"/>
              </w:rPr>
            </w:pPr>
            <w:r w:rsidRPr="00781112">
              <w:rPr>
                <w:rFonts w:cs="Arial"/>
                <w:color w:val="000000" w:themeColor="text1"/>
                <w:szCs w:val="16"/>
              </w:rPr>
              <w:t>6.25%</w:t>
            </w:r>
          </w:p>
        </w:tc>
      </w:tr>
    </w:tbl>
    <w:p w14:paraId="0491A3BB" w14:textId="7F542BF4" w:rsidR="001F64DB" w:rsidRPr="00781112" w:rsidRDefault="001F64DB" w:rsidP="004369B2">
      <w:pPr>
        <w:rPr>
          <w:color w:val="000000" w:themeColor="text1"/>
        </w:rPr>
      </w:pPr>
    </w:p>
    <w:p w14:paraId="5B271C5C" w14:textId="77777777" w:rsidR="001F64DB" w:rsidRPr="00781112" w:rsidRDefault="001F64DB"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4BHISTDATA"/>
      </w:tblPr>
      <w:tblGrid>
        <w:gridCol w:w="1798"/>
        <w:gridCol w:w="1798"/>
        <w:gridCol w:w="1798"/>
        <w:gridCol w:w="1798"/>
        <w:gridCol w:w="1798"/>
        <w:gridCol w:w="1800"/>
      </w:tblGrid>
      <w:tr w:rsidR="005C29F8" w:rsidRPr="00781112" w14:paraId="6E379028" w14:textId="77777777" w:rsidTr="00F90636">
        <w:trPr>
          <w:trHeight w:val="350"/>
        </w:trPr>
        <w:tc>
          <w:tcPr>
            <w:tcW w:w="833" w:type="pct"/>
            <w:tcBorders>
              <w:bottom w:val="single" w:sz="4" w:space="0" w:color="auto"/>
            </w:tcBorders>
            <w:shd w:val="clear" w:color="auto" w:fill="auto"/>
          </w:tcPr>
          <w:p w14:paraId="23D7B707" w14:textId="77777777" w:rsidR="00BB7BC9" w:rsidRPr="00781112" w:rsidRDefault="00BB7BC9" w:rsidP="004369B2">
            <w:pPr>
              <w:jc w:val="center"/>
              <w:rPr>
                <w:b/>
                <w:color w:val="000000" w:themeColor="text1"/>
              </w:rPr>
            </w:pPr>
            <w:r w:rsidRPr="00781112">
              <w:rPr>
                <w:b/>
                <w:color w:val="000000" w:themeColor="text1"/>
              </w:rPr>
              <w:t>FFY</w:t>
            </w:r>
          </w:p>
        </w:tc>
        <w:tc>
          <w:tcPr>
            <w:tcW w:w="833" w:type="pct"/>
            <w:shd w:val="clear" w:color="auto" w:fill="auto"/>
          </w:tcPr>
          <w:p w14:paraId="25954044" w14:textId="160ED41F" w:rsidR="00BB7BC9" w:rsidRPr="00781112" w:rsidRDefault="002B7490">
            <w:pPr>
              <w:jc w:val="center"/>
              <w:rPr>
                <w:b/>
                <w:color w:val="000000" w:themeColor="text1"/>
              </w:rPr>
            </w:pPr>
            <w:r w:rsidRPr="00781112">
              <w:rPr>
                <w:b/>
                <w:color w:val="000000" w:themeColor="text1"/>
              </w:rPr>
              <w:t>2017</w:t>
            </w:r>
          </w:p>
        </w:tc>
        <w:tc>
          <w:tcPr>
            <w:tcW w:w="833" w:type="pct"/>
            <w:shd w:val="clear" w:color="auto" w:fill="auto"/>
          </w:tcPr>
          <w:p w14:paraId="69CF376F" w14:textId="7375A3F7" w:rsidR="00BB7BC9" w:rsidRPr="00781112" w:rsidRDefault="002B7490">
            <w:pPr>
              <w:jc w:val="center"/>
              <w:rPr>
                <w:b/>
                <w:color w:val="000000" w:themeColor="text1"/>
              </w:rPr>
            </w:pPr>
            <w:r w:rsidRPr="00781112">
              <w:rPr>
                <w:b/>
                <w:color w:val="000000" w:themeColor="text1"/>
              </w:rPr>
              <w:t>2018</w:t>
            </w:r>
          </w:p>
        </w:tc>
        <w:tc>
          <w:tcPr>
            <w:tcW w:w="833" w:type="pct"/>
            <w:shd w:val="clear" w:color="auto" w:fill="auto"/>
          </w:tcPr>
          <w:p w14:paraId="4D8E8925" w14:textId="689058A4" w:rsidR="00BB7BC9" w:rsidRPr="00781112" w:rsidRDefault="002B7490">
            <w:pPr>
              <w:jc w:val="center"/>
              <w:rPr>
                <w:b/>
                <w:color w:val="000000" w:themeColor="text1"/>
              </w:rPr>
            </w:pPr>
            <w:r w:rsidRPr="00781112">
              <w:rPr>
                <w:b/>
                <w:color w:val="000000" w:themeColor="text1"/>
              </w:rPr>
              <w:t>2019</w:t>
            </w:r>
          </w:p>
        </w:tc>
        <w:tc>
          <w:tcPr>
            <w:tcW w:w="833" w:type="pct"/>
            <w:shd w:val="clear" w:color="auto" w:fill="auto"/>
          </w:tcPr>
          <w:p w14:paraId="703038E4" w14:textId="1BE5FB5A" w:rsidR="00BB7BC9" w:rsidRPr="00781112" w:rsidRDefault="002B7490">
            <w:pPr>
              <w:jc w:val="center"/>
              <w:rPr>
                <w:b/>
                <w:color w:val="000000" w:themeColor="text1"/>
              </w:rPr>
            </w:pPr>
            <w:r w:rsidRPr="00781112">
              <w:rPr>
                <w:b/>
                <w:color w:val="000000" w:themeColor="text1"/>
              </w:rPr>
              <w:t>2020</w:t>
            </w:r>
          </w:p>
        </w:tc>
        <w:tc>
          <w:tcPr>
            <w:tcW w:w="834" w:type="pct"/>
            <w:shd w:val="clear" w:color="auto" w:fill="auto"/>
          </w:tcPr>
          <w:p w14:paraId="0503649D" w14:textId="176B5064" w:rsidR="00BB7BC9" w:rsidRPr="00781112" w:rsidRDefault="002B7490">
            <w:pPr>
              <w:jc w:val="center"/>
              <w:rPr>
                <w:b/>
                <w:color w:val="000000" w:themeColor="text1"/>
              </w:rPr>
            </w:pPr>
            <w:r w:rsidRPr="00781112">
              <w:rPr>
                <w:b/>
                <w:color w:val="000000" w:themeColor="text1"/>
              </w:rPr>
              <w:t>2021</w:t>
            </w:r>
          </w:p>
        </w:tc>
      </w:tr>
      <w:tr w:rsidR="005C29F8" w:rsidRPr="00781112" w14:paraId="39522776" w14:textId="77777777" w:rsidTr="00F90636">
        <w:trPr>
          <w:trHeight w:val="357"/>
        </w:trPr>
        <w:tc>
          <w:tcPr>
            <w:tcW w:w="833" w:type="pct"/>
            <w:shd w:val="clear" w:color="auto" w:fill="auto"/>
            <w:vAlign w:val="center"/>
          </w:tcPr>
          <w:p w14:paraId="64A2466A" w14:textId="3DCD7D97" w:rsidR="00BB7BC9" w:rsidRPr="00781112" w:rsidRDefault="00BB7BC9" w:rsidP="00BA3DBE">
            <w:pPr>
              <w:jc w:val="center"/>
              <w:rPr>
                <w:rFonts w:cs="Arial"/>
                <w:color w:val="000000" w:themeColor="text1"/>
                <w:szCs w:val="16"/>
              </w:rPr>
            </w:pPr>
            <w:r w:rsidRPr="00781112">
              <w:rPr>
                <w:rFonts w:cs="Arial"/>
                <w:color w:val="000000" w:themeColor="text1"/>
                <w:szCs w:val="16"/>
              </w:rPr>
              <w:t>Target</w:t>
            </w:r>
          </w:p>
        </w:tc>
        <w:tc>
          <w:tcPr>
            <w:tcW w:w="833" w:type="pct"/>
            <w:shd w:val="clear" w:color="auto" w:fill="auto"/>
            <w:vAlign w:val="center"/>
          </w:tcPr>
          <w:p w14:paraId="40744253" w14:textId="30F05132" w:rsidR="00BB7BC9"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vAlign w:val="center"/>
          </w:tcPr>
          <w:p w14:paraId="4721409F" w14:textId="0E67B113" w:rsidR="00BB7BC9"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vAlign w:val="center"/>
          </w:tcPr>
          <w:p w14:paraId="61B8DEC3" w14:textId="3B00EB70" w:rsidR="00BB7BC9"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vAlign w:val="center"/>
          </w:tcPr>
          <w:p w14:paraId="0C46D83A" w14:textId="2D54F0BE" w:rsidR="00BB7BC9" w:rsidRPr="00781112" w:rsidRDefault="00BA56C8">
            <w:pPr>
              <w:jc w:val="center"/>
              <w:rPr>
                <w:rFonts w:cs="Arial"/>
                <w:color w:val="000000" w:themeColor="text1"/>
                <w:szCs w:val="16"/>
              </w:rPr>
            </w:pPr>
            <w:r w:rsidRPr="00781112">
              <w:rPr>
                <w:rFonts w:cs="Arial"/>
                <w:color w:val="000000" w:themeColor="text1"/>
                <w:szCs w:val="16"/>
              </w:rPr>
              <w:t>0%</w:t>
            </w:r>
          </w:p>
        </w:tc>
        <w:tc>
          <w:tcPr>
            <w:tcW w:w="834" w:type="pct"/>
            <w:shd w:val="clear" w:color="auto" w:fill="auto"/>
            <w:vAlign w:val="center"/>
          </w:tcPr>
          <w:p w14:paraId="14E1E671" w14:textId="1E800737" w:rsidR="00BB7BC9" w:rsidRPr="00781112" w:rsidRDefault="00BA56C8">
            <w:pPr>
              <w:jc w:val="center"/>
              <w:rPr>
                <w:rFonts w:cs="Arial"/>
                <w:color w:val="000000" w:themeColor="text1"/>
                <w:szCs w:val="16"/>
              </w:rPr>
            </w:pPr>
            <w:r w:rsidRPr="00781112">
              <w:rPr>
                <w:rFonts w:cs="Arial"/>
                <w:color w:val="000000" w:themeColor="text1"/>
                <w:szCs w:val="16"/>
              </w:rPr>
              <w:t>0%</w:t>
            </w:r>
          </w:p>
        </w:tc>
      </w:tr>
      <w:tr w:rsidR="005C29F8" w:rsidRPr="00781112" w14:paraId="2F4BE991" w14:textId="77777777" w:rsidTr="00F90636">
        <w:trPr>
          <w:trHeight w:val="85"/>
        </w:trPr>
        <w:tc>
          <w:tcPr>
            <w:tcW w:w="833" w:type="pct"/>
            <w:shd w:val="clear" w:color="auto" w:fill="auto"/>
            <w:vAlign w:val="center"/>
          </w:tcPr>
          <w:p w14:paraId="1FC0AC5E" w14:textId="77777777" w:rsidR="00BB7BC9" w:rsidRPr="00781112" w:rsidRDefault="00BB7BC9"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3DA1451A" w14:textId="7F17AC6B"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vAlign w:val="center"/>
          </w:tcPr>
          <w:p w14:paraId="6EE4BDB3" w14:textId="2442769C"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584E7243" w14:textId="6DD2B85E"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54826674" w14:textId="13F0F281"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4" w:type="pct"/>
            <w:tcBorders>
              <w:bottom w:val="single" w:sz="4" w:space="0" w:color="auto"/>
            </w:tcBorders>
            <w:shd w:val="clear" w:color="auto" w:fill="auto"/>
            <w:vAlign w:val="center"/>
          </w:tcPr>
          <w:p w14:paraId="29A1627C" w14:textId="5AC2DD55" w:rsidR="00BB7BC9" w:rsidRPr="00781112" w:rsidRDefault="002B7490" w:rsidP="00A018D4">
            <w:pPr>
              <w:jc w:val="center"/>
              <w:rPr>
                <w:rFonts w:cs="Arial"/>
                <w:color w:val="000000" w:themeColor="text1"/>
                <w:szCs w:val="16"/>
              </w:rPr>
            </w:pPr>
            <w:r w:rsidRPr="00781112">
              <w:rPr>
                <w:rFonts w:cs="Arial"/>
                <w:color w:val="000000" w:themeColor="text1"/>
                <w:szCs w:val="16"/>
              </w:rPr>
              <w:t>Not Valid and Reliable</w:t>
            </w:r>
          </w:p>
        </w:tc>
      </w:tr>
    </w:tbl>
    <w:p w14:paraId="746FB06B" w14:textId="77777777" w:rsidR="00C15355" w:rsidRPr="00781112" w:rsidRDefault="00C15355" w:rsidP="004369B2">
      <w:pPr>
        <w:rPr>
          <w:color w:val="000000" w:themeColor="text1"/>
        </w:rPr>
      </w:pPr>
    </w:p>
    <w:p w14:paraId="31722FA9" w14:textId="62FF3A62" w:rsidR="0016730D" w:rsidRPr="00781112" w:rsidRDefault="0016730D" w:rsidP="004369B2">
      <w:pPr>
        <w:rPr>
          <w:color w:val="000000" w:themeColor="text1"/>
        </w:rPr>
      </w:pPr>
      <w:r w:rsidRPr="00781112">
        <w:rPr>
          <w:b/>
          <w:color w:val="000000" w:themeColor="text1"/>
        </w:rPr>
        <w:t>Targets</w:t>
      </w:r>
    </w:p>
    <w:tbl>
      <w:tblPr>
        <w:tblW w:w="4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4BTARGETS"/>
      </w:tblPr>
      <w:tblGrid>
        <w:gridCol w:w="648"/>
        <w:gridCol w:w="2411"/>
        <w:gridCol w:w="2577"/>
        <w:gridCol w:w="2577"/>
        <w:gridCol w:w="2577"/>
      </w:tblGrid>
      <w:tr w:rsidR="00B67FCE" w:rsidRPr="00781112" w14:paraId="1019C6DC" w14:textId="17898954" w:rsidTr="00845B9B">
        <w:trPr>
          <w:trHeight w:val="325"/>
        </w:trPr>
        <w:tc>
          <w:tcPr>
            <w:tcW w:w="318" w:type="pct"/>
            <w:tcBorders>
              <w:bottom w:val="single" w:sz="4" w:space="0" w:color="auto"/>
            </w:tcBorders>
            <w:shd w:val="clear" w:color="auto" w:fill="auto"/>
          </w:tcPr>
          <w:p w14:paraId="049B323A" w14:textId="77777777" w:rsidR="00B67FCE" w:rsidRPr="00781112" w:rsidRDefault="00B67FCE" w:rsidP="00D62058">
            <w:pPr>
              <w:jc w:val="center"/>
              <w:rPr>
                <w:b/>
                <w:color w:val="000000" w:themeColor="text1"/>
              </w:rPr>
            </w:pPr>
            <w:r w:rsidRPr="00781112">
              <w:rPr>
                <w:b/>
                <w:color w:val="000000" w:themeColor="text1"/>
              </w:rPr>
              <w:t>FFY</w:t>
            </w:r>
          </w:p>
        </w:tc>
        <w:tc>
          <w:tcPr>
            <w:tcW w:w="1114" w:type="pct"/>
            <w:shd w:val="clear" w:color="auto" w:fill="auto"/>
          </w:tcPr>
          <w:p w14:paraId="50E287A7" w14:textId="77777777" w:rsidR="00B67FCE" w:rsidRPr="00781112" w:rsidRDefault="00B67FCE" w:rsidP="00D62058">
            <w:pPr>
              <w:jc w:val="center"/>
              <w:rPr>
                <w:b/>
                <w:color w:val="000000" w:themeColor="text1"/>
              </w:rPr>
            </w:pPr>
            <w:r w:rsidRPr="00781112">
              <w:rPr>
                <w:b/>
                <w:color w:val="000000" w:themeColor="text1"/>
              </w:rPr>
              <w:t>2022</w:t>
            </w:r>
          </w:p>
        </w:tc>
        <w:tc>
          <w:tcPr>
            <w:tcW w:w="1189" w:type="pct"/>
          </w:tcPr>
          <w:p w14:paraId="126623D3" w14:textId="402F1C62" w:rsidR="00B67FCE" w:rsidRPr="00781112" w:rsidRDefault="00B67FCE" w:rsidP="00D62058">
            <w:pPr>
              <w:jc w:val="center"/>
              <w:rPr>
                <w:b/>
                <w:color w:val="000000" w:themeColor="text1"/>
              </w:rPr>
            </w:pPr>
            <w:r w:rsidRPr="00781112">
              <w:rPr>
                <w:rFonts w:cs="Arial"/>
                <w:b/>
                <w:color w:val="000000" w:themeColor="text1"/>
                <w:szCs w:val="16"/>
              </w:rPr>
              <w:t>2023</w:t>
            </w:r>
          </w:p>
        </w:tc>
        <w:tc>
          <w:tcPr>
            <w:tcW w:w="1189" w:type="pct"/>
          </w:tcPr>
          <w:p w14:paraId="737913FD" w14:textId="6A609FDC" w:rsidR="00B67FCE" w:rsidRPr="00781112" w:rsidRDefault="00B67FCE" w:rsidP="00D62058">
            <w:pPr>
              <w:jc w:val="center"/>
              <w:rPr>
                <w:b/>
                <w:color w:val="000000" w:themeColor="text1"/>
              </w:rPr>
            </w:pPr>
            <w:r w:rsidRPr="00781112">
              <w:rPr>
                <w:rFonts w:cs="Arial"/>
                <w:b/>
                <w:color w:val="000000" w:themeColor="text1"/>
                <w:szCs w:val="16"/>
              </w:rPr>
              <w:t>2024</w:t>
            </w:r>
          </w:p>
        </w:tc>
        <w:tc>
          <w:tcPr>
            <w:tcW w:w="1189" w:type="pct"/>
          </w:tcPr>
          <w:p w14:paraId="0700D5E9" w14:textId="17E1A6F9" w:rsidR="00B67FCE" w:rsidRPr="00781112" w:rsidRDefault="00B67FCE" w:rsidP="00D62058">
            <w:pPr>
              <w:jc w:val="center"/>
              <w:rPr>
                <w:b/>
                <w:color w:val="000000" w:themeColor="text1"/>
              </w:rPr>
            </w:pPr>
            <w:r w:rsidRPr="00781112">
              <w:rPr>
                <w:rFonts w:cs="Arial"/>
                <w:b/>
                <w:color w:val="000000" w:themeColor="text1"/>
                <w:szCs w:val="16"/>
              </w:rPr>
              <w:t>2025</w:t>
            </w:r>
          </w:p>
        </w:tc>
      </w:tr>
      <w:tr w:rsidR="00B67FCE" w:rsidRPr="00781112" w14:paraId="090BA5B6" w14:textId="14D1700A" w:rsidTr="00845B9B">
        <w:trPr>
          <w:trHeight w:val="332"/>
        </w:trPr>
        <w:tc>
          <w:tcPr>
            <w:tcW w:w="318" w:type="pct"/>
            <w:shd w:val="clear" w:color="auto" w:fill="auto"/>
            <w:vAlign w:val="center"/>
          </w:tcPr>
          <w:p w14:paraId="47EE91AE" w14:textId="1E6CE702" w:rsidR="00B67FCE" w:rsidRPr="00781112" w:rsidRDefault="00B67FCE" w:rsidP="00BA3DBE">
            <w:pPr>
              <w:jc w:val="center"/>
              <w:rPr>
                <w:rFonts w:cs="Arial"/>
                <w:color w:val="000000" w:themeColor="text1"/>
                <w:szCs w:val="16"/>
              </w:rPr>
            </w:pPr>
            <w:r w:rsidRPr="00781112">
              <w:rPr>
                <w:rFonts w:cs="Arial"/>
                <w:color w:val="000000" w:themeColor="text1"/>
                <w:szCs w:val="16"/>
              </w:rPr>
              <w:t>Target</w:t>
            </w:r>
          </w:p>
        </w:tc>
        <w:tc>
          <w:tcPr>
            <w:tcW w:w="1114" w:type="pct"/>
            <w:shd w:val="clear" w:color="auto" w:fill="auto"/>
            <w:vAlign w:val="center"/>
          </w:tcPr>
          <w:p w14:paraId="26579D0D" w14:textId="55868DD1" w:rsidR="00B67FCE" w:rsidRPr="00781112" w:rsidRDefault="00B67FCE" w:rsidP="00D62058">
            <w:pPr>
              <w:jc w:val="center"/>
              <w:rPr>
                <w:rFonts w:cs="Arial"/>
                <w:color w:val="000000" w:themeColor="text1"/>
                <w:szCs w:val="16"/>
              </w:rPr>
            </w:pPr>
            <w:r w:rsidRPr="00781112">
              <w:rPr>
                <w:rFonts w:cs="Arial"/>
                <w:color w:val="000000" w:themeColor="text1"/>
                <w:szCs w:val="16"/>
              </w:rPr>
              <w:t>0%</w:t>
            </w:r>
          </w:p>
        </w:tc>
        <w:tc>
          <w:tcPr>
            <w:tcW w:w="1189" w:type="pct"/>
          </w:tcPr>
          <w:p w14:paraId="41C3DA31" w14:textId="175676CA" w:rsidR="00B67FCE" w:rsidRPr="00781112" w:rsidRDefault="00B67FCE" w:rsidP="00D62058">
            <w:pPr>
              <w:jc w:val="center"/>
              <w:rPr>
                <w:rFonts w:cs="Arial"/>
                <w:color w:val="000000" w:themeColor="text1"/>
                <w:szCs w:val="16"/>
              </w:rPr>
            </w:pPr>
            <w:r w:rsidRPr="00781112">
              <w:rPr>
                <w:color w:val="000000" w:themeColor="text1"/>
                <w:szCs w:val="16"/>
              </w:rPr>
              <w:t>0%</w:t>
            </w:r>
          </w:p>
        </w:tc>
        <w:tc>
          <w:tcPr>
            <w:tcW w:w="1189" w:type="pct"/>
          </w:tcPr>
          <w:p w14:paraId="11966A3D" w14:textId="65AB7EFF" w:rsidR="00B67FCE" w:rsidRPr="00781112" w:rsidRDefault="00B67FCE" w:rsidP="00D62058">
            <w:pPr>
              <w:jc w:val="center"/>
              <w:rPr>
                <w:rFonts w:cs="Arial"/>
                <w:color w:val="000000" w:themeColor="text1"/>
                <w:szCs w:val="16"/>
              </w:rPr>
            </w:pPr>
            <w:r w:rsidRPr="00781112">
              <w:rPr>
                <w:color w:val="000000" w:themeColor="text1"/>
                <w:szCs w:val="16"/>
              </w:rPr>
              <w:t>0%</w:t>
            </w:r>
          </w:p>
        </w:tc>
        <w:tc>
          <w:tcPr>
            <w:tcW w:w="1189" w:type="pct"/>
          </w:tcPr>
          <w:p w14:paraId="527650DE" w14:textId="33C5B6E9" w:rsidR="00B67FCE" w:rsidRPr="00781112" w:rsidRDefault="00B67FCE" w:rsidP="00D62058">
            <w:pPr>
              <w:jc w:val="center"/>
              <w:rPr>
                <w:rFonts w:cs="Arial"/>
                <w:color w:val="000000" w:themeColor="text1"/>
                <w:szCs w:val="16"/>
              </w:rPr>
            </w:pPr>
            <w:r w:rsidRPr="00781112">
              <w:rPr>
                <w:color w:val="000000" w:themeColor="text1"/>
                <w:szCs w:val="16"/>
              </w:rPr>
              <w:t>0%</w:t>
            </w:r>
          </w:p>
        </w:tc>
      </w:tr>
    </w:tbl>
    <w:p w14:paraId="728AD721" w14:textId="77777777" w:rsidR="00C15355" w:rsidRPr="00781112" w:rsidRDefault="00C15355" w:rsidP="004369B2">
      <w:pPr>
        <w:rPr>
          <w:color w:val="000000" w:themeColor="text1"/>
        </w:rPr>
      </w:pPr>
    </w:p>
    <w:bookmarkEnd w:id="34"/>
    <w:bookmarkEnd w:id="35"/>
    <w:p w14:paraId="6C217ADA" w14:textId="640A6E85" w:rsidR="00D03701" w:rsidRPr="00781112" w:rsidRDefault="0047313F">
      <w:pPr>
        <w:rPr>
          <w:b/>
          <w:color w:val="000000" w:themeColor="text1"/>
        </w:rPr>
      </w:pPr>
      <w:r>
        <w:rPr>
          <w:b/>
          <w:color w:val="000000" w:themeColor="text1"/>
        </w:rPr>
        <w:t>FFY 2022 SPP/APR Data</w:t>
      </w:r>
    </w:p>
    <w:p w14:paraId="51C79687" w14:textId="260CFDAD" w:rsidR="00F9524E" w:rsidRPr="00781112" w:rsidRDefault="00F9524E">
      <w:pPr>
        <w:rPr>
          <w:rFonts w:cs="Arial"/>
          <w:b/>
          <w:color w:val="000000" w:themeColor="text1"/>
          <w:szCs w:val="16"/>
        </w:rPr>
      </w:pPr>
      <w:r w:rsidRPr="00781112">
        <w:rPr>
          <w:rFonts w:cs="Arial"/>
          <w:b/>
          <w:color w:val="000000" w:themeColor="text1"/>
          <w:szCs w:val="16"/>
        </w:rPr>
        <w:t>Has the state established a minimum n/cell-size requirement? (yes/no)</w:t>
      </w:r>
    </w:p>
    <w:p w14:paraId="6FC8EF80" w14:textId="63ECC90F" w:rsidR="00F9524E" w:rsidRPr="00781112" w:rsidRDefault="00F9524E">
      <w:pPr>
        <w:rPr>
          <w:rFonts w:cs="Arial"/>
          <w:color w:val="000000" w:themeColor="text1"/>
          <w:szCs w:val="16"/>
        </w:rPr>
      </w:pPr>
      <w:r w:rsidRPr="00781112">
        <w:rPr>
          <w:rFonts w:cs="Arial"/>
          <w:color w:val="000000" w:themeColor="text1"/>
          <w:szCs w:val="16"/>
        </w:rPr>
        <w:t>YES</w:t>
      </w:r>
    </w:p>
    <w:p w14:paraId="69A72720" w14:textId="20C4A4A0" w:rsidR="00F9524E" w:rsidRPr="00781112" w:rsidRDefault="00F9524E">
      <w:pPr>
        <w:rPr>
          <w:rFonts w:cs="Arial"/>
          <w:b/>
          <w:color w:val="000000" w:themeColor="text1"/>
          <w:szCs w:val="16"/>
        </w:rPr>
      </w:pPr>
      <w:r w:rsidRPr="00781112">
        <w:rPr>
          <w:rFonts w:cs="Arial"/>
          <w:b/>
          <w:color w:val="000000" w:themeColor="text1"/>
          <w:szCs w:val="16"/>
        </w:rPr>
        <w:t>If yes, the State may only include, in both the numerator and the denominator, LEAs that met the State-established n/cell size. Report the number of LEAs excluded from the calculation as a result of the requirement.</w:t>
      </w:r>
    </w:p>
    <w:p w14:paraId="4A920DA7" w14:textId="169D365F" w:rsidR="00F9524E" w:rsidRPr="00781112" w:rsidRDefault="00F9524E" w:rsidP="004369B2">
      <w:pPr>
        <w:rPr>
          <w:rFonts w:cs="Arial"/>
          <w:color w:val="000000" w:themeColor="text1"/>
          <w:szCs w:val="16"/>
        </w:rPr>
      </w:pPr>
      <w:r w:rsidRPr="00781112">
        <w:rPr>
          <w:rFonts w:cs="Arial"/>
          <w:color w:val="000000" w:themeColor="text1"/>
          <w:szCs w:val="16"/>
        </w:rPr>
        <w:t>20</w:t>
      </w:r>
    </w:p>
    <w:p w14:paraId="4C0AC734" w14:textId="77777777" w:rsidR="0016730D" w:rsidRPr="00781112" w:rsidRDefault="0016730D" w:rsidP="004369B2">
      <w:pPr>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4BCFFYAPRDATA"/>
      </w:tblPr>
      <w:tblGrid>
        <w:gridCol w:w="1328"/>
        <w:gridCol w:w="1272"/>
        <w:gridCol w:w="1756"/>
        <w:gridCol w:w="1152"/>
        <w:gridCol w:w="1674"/>
        <w:gridCol w:w="1047"/>
        <w:gridCol w:w="1300"/>
        <w:gridCol w:w="1261"/>
      </w:tblGrid>
      <w:tr w:rsidR="00740CBC" w:rsidRPr="00781112" w14:paraId="38B0A91A" w14:textId="77777777" w:rsidTr="00EC0EDB">
        <w:trPr>
          <w:trHeight w:val="994"/>
          <w:jc w:val="center"/>
        </w:trPr>
        <w:tc>
          <w:tcPr>
            <w:tcW w:w="615" w:type="pct"/>
            <w:shd w:val="clear" w:color="auto" w:fill="auto"/>
            <w:vAlign w:val="bottom"/>
          </w:tcPr>
          <w:p w14:paraId="7B29D1BD" w14:textId="32EC5502" w:rsidR="00740CBC" w:rsidRPr="00781112" w:rsidRDefault="00740CBC" w:rsidP="00740CBC">
            <w:pPr>
              <w:jc w:val="center"/>
              <w:rPr>
                <w:rFonts w:cs="Arial"/>
                <w:b/>
                <w:color w:val="000000" w:themeColor="text1"/>
                <w:szCs w:val="16"/>
              </w:rPr>
            </w:pPr>
            <w:r w:rsidRPr="00781112">
              <w:rPr>
                <w:rFonts w:cs="Arial"/>
                <w:b/>
                <w:color w:val="000000" w:themeColor="text1"/>
                <w:szCs w:val="16"/>
              </w:rPr>
              <w:t>Number of LEAs that have a significant discrepancy, by race or ethnicity</w:t>
            </w:r>
          </w:p>
        </w:tc>
        <w:tc>
          <w:tcPr>
            <w:tcW w:w="589" w:type="pct"/>
            <w:shd w:val="clear" w:color="auto" w:fill="auto"/>
            <w:vAlign w:val="bottom"/>
          </w:tcPr>
          <w:p w14:paraId="5F8F5A3F" w14:textId="0F9AAB60" w:rsidR="00740CBC" w:rsidRPr="00781112" w:rsidRDefault="00740CBC" w:rsidP="00740CBC">
            <w:pPr>
              <w:jc w:val="center"/>
              <w:rPr>
                <w:rFonts w:cs="Arial"/>
                <w:b/>
                <w:color w:val="000000" w:themeColor="text1"/>
                <w:szCs w:val="16"/>
              </w:rPr>
            </w:pPr>
            <w:r w:rsidRPr="00781112">
              <w:rPr>
                <w:rFonts w:cs="Arial"/>
                <w:b/>
                <w:color w:val="000000" w:themeColor="text1"/>
                <w:szCs w:val="16"/>
              </w:rPr>
              <w:t>Number of those LEAs that have policies, procedure or practices that contribute to the significant discrepancy and do not comply with requirements</w:t>
            </w:r>
          </w:p>
        </w:tc>
        <w:tc>
          <w:tcPr>
            <w:tcW w:w="814" w:type="pct"/>
            <w:shd w:val="clear" w:color="auto" w:fill="auto"/>
            <w:vAlign w:val="bottom"/>
          </w:tcPr>
          <w:p w14:paraId="198605CB" w14:textId="35586744" w:rsidR="00740CBC" w:rsidRPr="00781112" w:rsidRDefault="00740CBC" w:rsidP="00740CBC">
            <w:pPr>
              <w:jc w:val="center"/>
              <w:rPr>
                <w:rFonts w:cs="Arial"/>
                <w:b/>
                <w:color w:val="000000" w:themeColor="text1"/>
                <w:szCs w:val="16"/>
              </w:rPr>
            </w:pPr>
            <w:r w:rsidRPr="00781112">
              <w:rPr>
                <w:rFonts w:cs="Arial"/>
                <w:b/>
                <w:color w:val="000000" w:themeColor="text1"/>
                <w:szCs w:val="16"/>
              </w:rPr>
              <w:t>Number of LEAs that met the State's minimum n/cell-size</w:t>
            </w:r>
          </w:p>
        </w:tc>
        <w:tc>
          <w:tcPr>
            <w:tcW w:w="534" w:type="pct"/>
            <w:shd w:val="clear" w:color="auto" w:fill="auto"/>
            <w:vAlign w:val="bottom"/>
          </w:tcPr>
          <w:p w14:paraId="45990D98" w14:textId="7F3ED1C8" w:rsidR="00740CBC" w:rsidRPr="00CC1061" w:rsidRDefault="00740CBC" w:rsidP="00740CBC">
            <w:pPr>
              <w:jc w:val="center"/>
              <w:rPr>
                <w:rFonts w:cs="Arial"/>
                <w:b/>
                <w:bCs/>
                <w:color w:val="000000" w:themeColor="text1"/>
                <w:szCs w:val="16"/>
              </w:rPr>
            </w:pPr>
            <w:r w:rsidRPr="00CC1061">
              <w:rPr>
                <w:b/>
                <w:bCs/>
              </w:rPr>
              <w:t>FFY 2021 Data</w:t>
            </w:r>
          </w:p>
        </w:tc>
        <w:tc>
          <w:tcPr>
            <w:tcW w:w="776" w:type="pct"/>
            <w:shd w:val="clear" w:color="auto" w:fill="auto"/>
            <w:vAlign w:val="bottom"/>
          </w:tcPr>
          <w:p w14:paraId="1BAB59B0" w14:textId="2802F452" w:rsidR="00740CBC" w:rsidRPr="00CC1061" w:rsidRDefault="00740CBC" w:rsidP="00740CBC">
            <w:pPr>
              <w:jc w:val="center"/>
              <w:rPr>
                <w:rFonts w:cs="Arial"/>
                <w:b/>
                <w:bCs/>
                <w:color w:val="000000" w:themeColor="text1"/>
                <w:szCs w:val="16"/>
              </w:rPr>
            </w:pPr>
            <w:r w:rsidRPr="00CC1061">
              <w:rPr>
                <w:b/>
                <w:bCs/>
              </w:rPr>
              <w:t>FFY 2022 Target</w:t>
            </w:r>
          </w:p>
        </w:tc>
        <w:tc>
          <w:tcPr>
            <w:tcW w:w="485" w:type="pct"/>
            <w:shd w:val="clear" w:color="auto" w:fill="auto"/>
            <w:vAlign w:val="bottom"/>
          </w:tcPr>
          <w:p w14:paraId="179C63C5" w14:textId="1463C1A3" w:rsidR="00740CBC" w:rsidRPr="00CC1061" w:rsidRDefault="00740CBC" w:rsidP="00740CBC">
            <w:pPr>
              <w:jc w:val="center"/>
              <w:rPr>
                <w:rFonts w:cs="Arial"/>
                <w:b/>
                <w:bCs/>
                <w:color w:val="000000" w:themeColor="text1"/>
                <w:szCs w:val="16"/>
              </w:rPr>
            </w:pPr>
            <w:r w:rsidRPr="00CC1061">
              <w:rPr>
                <w:b/>
                <w:bCs/>
              </w:rPr>
              <w:t>FFY 2022 Data</w:t>
            </w:r>
          </w:p>
        </w:tc>
        <w:tc>
          <w:tcPr>
            <w:tcW w:w="602" w:type="pct"/>
            <w:shd w:val="clear" w:color="auto" w:fill="auto"/>
            <w:vAlign w:val="bottom"/>
          </w:tcPr>
          <w:p w14:paraId="65AC4432" w14:textId="77777777" w:rsidR="00740CBC" w:rsidRPr="00781112" w:rsidRDefault="00740CBC" w:rsidP="00740CBC">
            <w:pPr>
              <w:jc w:val="center"/>
              <w:rPr>
                <w:rFonts w:cs="Arial"/>
                <w:b/>
                <w:color w:val="000000" w:themeColor="text1"/>
                <w:szCs w:val="16"/>
              </w:rPr>
            </w:pPr>
            <w:r w:rsidRPr="00781112">
              <w:rPr>
                <w:rFonts w:cs="Arial"/>
                <w:b/>
                <w:color w:val="000000" w:themeColor="text1"/>
                <w:szCs w:val="16"/>
              </w:rPr>
              <w:t>Status</w:t>
            </w:r>
          </w:p>
        </w:tc>
        <w:tc>
          <w:tcPr>
            <w:tcW w:w="584" w:type="pct"/>
            <w:shd w:val="clear" w:color="auto" w:fill="auto"/>
            <w:vAlign w:val="bottom"/>
          </w:tcPr>
          <w:p w14:paraId="1CC124E2" w14:textId="77777777" w:rsidR="00740CBC" w:rsidRPr="00781112" w:rsidRDefault="00740CBC" w:rsidP="00740CBC">
            <w:pPr>
              <w:jc w:val="center"/>
              <w:rPr>
                <w:rFonts w:cs="Arial"/>
                <w:b/>
                <w:color w:val="000000" w:themeColor="text1"/>
                <w:szCs w:val="16"/>
              </w:rPr>
            </w:pPr>
            <w:r w:rsidRPr="00781112">
              <w:rPr>
                <w:rFonts w:cs="Arial"/>
                <w:b/>
                <w:color w:val="000000" w:themeColor="text1"/>
                <w:szCs w:val="16"/>
              </w:rPr>
              <w:t>Slippage</w:t>
            </w:r>
          </w:p>
        </w:tc>
      </w:tr>
      <w:tr w:rsidR="005C29F8" w:rsidRPr="00781112" w14:paraId="204CDE51" w14:textId="77777777" w:rsidTr="00EC0EDB">
        <w:trPr>
          <w:trHeight w:val="233"/>
          <w:jc w:val="center"/>
        </w:trPr>
        <w:tc>
          <w:tcPr>
            <w:tcW w:w="615" w:type="pct"/>
            <w:shd w:val="clear" w:color="auto" w:fill="auto"/>
          </w:tcPr>
          <w:p w14:paraId="1BBB876A" w14:textId="743343A5" w:rsidR="00DE45AB" w:rsidRPr="00781112" w:rsidRDefault="002B7490" w:rsidP="00A018D4">
            <w:pPr>
              <w:jc w:val="center"/>
              <w:rPr>
                <w:rFonts w:cs="Arial"/>
                <w:color w:val="000000" w:themeColor="text1"/>
                <w:szCs w:val="16"/>
              </w:rPr>
            </w:pPr>
            <w:r w:rsidRPr="00781112">
              <w:rPr>
                <w:rFonts w:cs="Arial"/>
                <w:color w:val="000000" w:themeColor="text1"/>
                <w:szCs w:val="16"/>
              </w:rPr>
              <w:t>17</w:t>
            </w:r>
          </w:p>
        </w:tc>
        <w:tc>
          <w:tcPr>
            <w:tcW w:w="589" w:type="pct"/>
            <w:shd w:val="clear" w:color="auto" w:fill="auto"/>
            <w:vAlign w:val="center"/>
          </w:tcPr>
          <w:p w14:paraId="6C540A5B" w14:textId="472541D0" w:rsidR="00DE45AB" w:rsidRPr="00781112" w:rsidRDefault="002B7490" w:rsidP="00A018D4">
            <w:pPr>
              <w:jc w:val="center"/>
              <w:rPr>
                <w:rFonts w:cs="Arial"/>
                <w:color w:val="000000" w:themeColor="text1"/>
                <w:szCs w:val="16"/>
              </w:rPr>
            </w:pPr>
            <w:r w:rsidRPr="00781112">
              <w:rPr>
                <w:rFonts w:cs="Arial"/>
                <w:color w:val="000000" w:themeColor="text1"/>
                <w:szCs w:val="16"/>
              </w:rPr>
              <w:t>8</w:t>
            </w:r>
          </w:p>
        </w:tc>
        <w:tc>
          <w:tcPr>
            <w:tcW w:w="814" w:type="pct"/>
            <w:shd w:val="clear" w:color="auto" w:fill="auto"/>
          </w:tcPr>
          <w:p w14:paraId="6F1E42F0" w14:textId="4B631704" w:rsidR="00DE45AB" w:rsidRPr="00781112" w:rsidRDefault="002B7490" w:rsidP="00A018D4">
            <w:pPr>
              <w:jc w:val="center"/>
              <w:rPr>
                <w:rFonts w:cs="Arial"/>
                <w:color w:val="000000" w:themeColor="text1"/>
                <w:szCs w:val="16"/>
              </w:rPr>
            </w:pPr>
            <w:r w:rsidRPr="00781112">
              <w:rPr>
                <w:rFonts w:cs="Arial"/>
                <w:color w:val="000000" w:themeColor="text1"/>
                <w:szCs w:val="16"/>
              </w:rPr>
              <w:t>128</w:t>
            </w:r>
          </w:p>
        </w:tc>
        <w:tc>
          <w:tcPr>
            <w:tcW w:w="534" w:type="pct"/>
            <w:shd w:val="clear" w:color="auto" w:fill="auto"/>
          </w:tcPr>
          <w:p w14:paraId="76FAD105" w14:textId="6054175F" w:rsidR="00DE45AB" w:rsidRPr="00781112" w:rsidRDefault="002B7490" w:rsidP="00A018D4">
            <w:pPr>
              <w:jc w:val="center"/>
              <w:rPr>
                <w:rFonts w:cs="Arial"/>
                <w:color w:val="000000" w:themeColor="text1"/>
                <w:szCs w:val="16"/>
              </w:rPr>
            </w:pPr>
            <w:r w:rsidRPr="00781112">
              <w:rPr>
                <w:rFonts w:cs="Arial"/>
                <w:color w:val="000000" w:themeColor="text1"/>
                <w:szCs w:val="16"/>
              </w:rPr>
              <w:t>Not Valid and Reliable</w:t>
            </w:r>
          </w:p>
        </w:tc>
        <w:tc>
          <w:tcPr>
            <w:tcW w:w="776" w:type="pct"/>
            <w:shd w:val="clear" w:color="auto" w:fill="auto"/>
          </w:tcPr>
          <w:p w14:paraId="0F3192F2" w14:textId="289113AF" w:rsidR="00DE45AB" w:rsidRPr="00781112" w:rsidRDefault="00BA56C8">
            <w:pPr>
              <w:jc w:val="center"/>
              <w:rPr>
                <w:rFonts w:cs="Arial"/>
                <w:color w:val="000000" w:themeColor="text1"/>
                <w:szCs w:val="16"/>
              </w:rPr>
            </w:pPr>
            <w:r w:rsidRPr="00781112">
              <w:rPr>
                <w:rFonts w:cs="Arial"/>
                <w:color w:val="000000" w:themeColor="text1"/>
                <w:szCs w:val="16"/>
              </w:rPr>
              <w:t>0%</w:t>
            </w:r>
          </w:p>
        </w:tc>
        <w:tc>
          <w:tcPr>
            <w:tcW w:w="485" w:type="pct"/>
            <w:shd w:val="clear" w:color="auto" w:fill="auto"/>
          </w:tcPr>
          <w:p w14:paraId="7BDF1791" w14:textId="2192A561" w:rsidR="00DE45AB" w:rsidRPr="00781112" w:rsidRDefault="002B7490" w:rsidP="00A018D4">
            <w:pPr>
              <w:jc w:val="center"/>
              <w:rPr>
                <w:rFonts w:cs="Arial"/>
                <w:color w:val="000000" w:themeColor="text1"/>
                <w:szCs w:val="16"/>
              </w:rPr>
            </w:pPr>
            <w:r w:rsidRPr="00781112">
              <w:rPr>
                <w:rFonts w:cs="Arial"/>
                <w:color w:val="000000" w:themeColor="text1"/>
                <w:szCs w:val="16"/>
              </w:rPr>
              <w:t>6.25%</w:t>
            </w:r>
          </w:p>
        </w:tc>
        <w:tc>
          <w:tcPr>
            <w:tcW w:w="602" w:type="pct"/>
            <w:shd w:val="clear" w:color="auto" w:fill="auto"/>
          </w:tcPr>
          <w:p w14:paraId="389804B8" w14:textId="23C75A7D" w:rsidR="00DE45AB" w:rsidRPr="00781112" w:rsidRDefault="002B7490" w:rsidP="00A018D4">
            <w:pPr>
              <w:jc w:val="center"/>
              <w:rPr>
                <w:rFonts w:cs="Arial"/>
                <w:color w:val="000000" w:themeColor="text1"/>
                <w:szCs w:val="16"/>
              </w:rPr>
            </w:pPr>
            <w:r w:rsidRPr="00781112">
              <w:rPr>
                <w:rFonts w:cs="Arial"/>
                <w:color w:val="000000" w:themeColor="text1"/>
                <w:szCs w:val="16"/>
              </w:rPr>
              <w:t>N/A</w:t>
            </w:r>
          </w:p>
        </w:tc>
        <w:tc>
          <w:tcPr>
            <w:tcW w:w="584" w:type="pct"/>
            <w:shd w:val="clear" w:color="auto" w:fill="auto"/>
          </w:tcPr>
          <w:p w14:paraId="3AF9E82D" w14:textId="6AA616AB" w:rsidR="00DE45AB" w:rsidRPr="00781112" w:rsidRDefault="002B7490" w:rsidP="00A018D4">
            <w:pPr>
              <w:jc w:val="center"/>
              <w:rPr>
                <w:rFonts w:cs="Arial"/>
                <w:color w:val="000000" w:themeColor="text1"/>
                <w:szCs w:val="16"/>
              </w:rPr>
            </w:pPr>
            <w:r w:rsidRPr="00781112">
              <w:rPr>
                <w:rFonts w:cs="Arial"/>
                <w:color w:val="000000" w:themeColor="text1"/>
                <w:szCs w:val="16"/>
              </w:rPr>
              <w:t>N/A</w:t>
            </w:r>
          </w:p>
        </w:tc>
      </w:tr>
    </w:tbl>
    <w:p w14:paraId="6E2244E6" w14:textId="77777777" w:rsidR="00A20CC3" w:rsidRPr="00781112" w:rsidRDefault="00A20CC3" w:rsidP="00A20CC3">
      <w:pPr>
        <w:rPr>
          <w:rFonts w:cs="Arial"/>
          <w:b/>
          <w:color w:val="000000" w:themeColor="text1"/>
          <w:szCs w:val="16"/>
        </w:rPr>
      </w:pPr>
      <w:r w:rsidRPr="00781112">
        <w:rPr>
          <w:rFonts w:cs="Arial"/>
          <w:b/>
          <w:color w:val="000000" w:themeColor="text1"/>
          <w:szCs w:val="16"/>
        </w:rPr>
        <w:t xml:space="preserve">Choose one of the following comparison methodologies to determine whether significant discrepancies are occurring (34 CFR §300.170(a)) </w:t>
      </w:r>
    </w:p>
    <w:p w14:paraId="33BA0C5D" w14:textId="167098C0" w:rsidR="00A20CC3" w:rsidRPr="00781112" w:rsidRDefault="00A20CC3" w:rsidP="00A20CC3">
      <w:pPr>
        <w:rPr>
          <w:rFonts w:cs="Arial"/>
          <w:color w:val="000000" w:themeColor="text1"/>
          <w:szCs w:val="16"/>
        </w:rPr>
      </w:pPr>
      <w:r w:rsidRPr="00781112">
        <w:rPr>
          <w:rFonts w:cs="Arial"/>
          <w:color w:val="000000" w:themeColor="text1"/>
          <w:szCs w:val="16"/>
        </w:rPr>
        <w:t>Compare the rates of suspensions and expulsions of greater than 10 days in a school year for children with IEPs among LEAs in the State</w:t>
      </w:r>
    </w:p>
    <w:p w14:paraId="40DD3F41" w14:textId="31F46ACB" w:rsidR="00F9524E" w:rsidRPr="00781112" w:rsidRDefault="004B3E74" w:rsidP="000E33D0">
      <w:pPr>
        <w:rPr>
          <w:rFonts w:cs="Arial"/>
          <w:b/>
          <w:color w:val="000000" w:themeColor="text1"/>
          <w:szCs w:val="16"/>
        </w:rPr>
      </w:pPr>
      <w:r w:rsidRPr="00781112">
        <w:rPr>
          <w:rFonts w:cs="Arial"/>
          <w:b/>
          <w:color w:val="000000" w:themeColor="text1"/>
          <w:szCs w:val="16"/>
        </w:rPr>
        <w:t xml:space="preserve">Were all races and ethnicities included in the review? </w:t>
      </w:r>
    </w:p>
    <w:p w14:paraId="1F24C674" w14:textId="1B9869B3" w:rsidR="00F9524E" w:rsidRPr="00781112" w:rsidRDefault="00F9524E" w:rsidP="000E33D0">
      <w:pPr>
        <w:rPr>
          <w:rFonts w:cs="Arial"/>
          <w:color w:val="000000" w:themeColor="text1"/>
          <w:szCs w:val="16"/>
        </w:rPr>
      </w:pPr>
      <w:r w:rsidRPr="00781112">
        <w:rPr>
          <w:rFonts w:cs="Arial"/>
          <w:color w:val="000000" w:themeColor="text1"/>
          <w:szCs w:val="16"/>
        </w:rPr>
        <w:t>YES</w:t>
      </w:r>
    </w:p>
    <w:p w14:paraId="6DB014CF" w14:textId="6C5A068F" w:rsidR="001F6A28" w:rsidRPr="00781112" w:rsidRDefault="001F6A28" w:rsidP="009A755E">
      <w:pPr>
        <w:rPr>
          <w:rFonts w:cs="Arial"/>
          <w:b/>
          <w:color w:val="000000" w:themeColor="text1"/>
          <w:szCs w:val="16"/>
        </w:rPr>
      </w:pPr>
      <w:bookmarkStart w:id="40" w:name="_Toc392159294"/>
      <w:bookmarkEnd w:id="38"/>
      <w:bookmarkEnd w:id="39"/>
      <w:r w:rsidRPr="00781112">
        <w:rPr>
          <w:rFonts w:cs="Arial"/>
          <w:b/>
          <w:color w:val="000000" w:themeColor="text1"/>
          <w:szCs w:val="16"/>
        </w:rPr>
        <w:t>State’s definition of “significant discrepancy” and methodology</w:t>
      </w:r>
    </w:p>
    <w:p w14:paraId="68DA7D27" w14:textId="3FCFF894" w:rsidR="002D57DA" w:rsidRPr="00781112" w:rsidRDefault="002B7490" w:rsidP="009C613A">
      <w:pPr>
        <w:rPr>
          <w:rFonts w:cs="Arial"/>
          <w:b/>
          <w:color w:val="000000" w:themeColor="text1"/>
          <w:szCs w:val="16"/>
        </w:rPr>
      </w:pPr>
      <w:r w:rsidRPr="00781112">
        <w:rPr>
          <w:rFonts w:cs="Arial"/>
          <w:color w:val="000000" w:themeColor="text1"/>
          <w:szCs w:val="16"/>
        </w:rPr>
        <w:t>State definition of significant discrepancy:</w:t>
        <w:br/>
        <w:t>LEAs must have the minimum N size of 10. N size refers to the number of students with disabilities of a particular race/ethnicity enrolled in the LEA. LEAs are determined as significantly discrepant when they meet the minimum N size and exceed the threshold of 3.0 times the State rate.</w:t>
        <w:br/>
        <w:t/>
        <w:br/>
        <w:t/>
        <w:br/>
        <w:t>Methodology:</w:t>
        <w:br/>
        <w:t>- No minimum cell size</w:t>
        <w:br/>
        <w:t>- Minimum N size of 10: LEAs must have at least 10 students with disabilities of a particular race/ethnicity enrolled</w:t>
        <w:br/>
        <w:t>- Threshold of significance: 3 times of the state rate. The calculation method used is a rate ratio.</w:t>
      </w:r>
    </w:p>
    <w:p w14:paraId="3EC3FBFA" w14:textId="77777777" w:rsidR="006C575D" w:rsidRPr="00781112" w:rsidRDefault="006C575D" w:rsidP="004369B2">
      <w:pPr>
        <w:rPr>
          <w:b/>
          <w:color w:val="000000" w:themeColor="text1"/>
        </w:rPr>
      </w:pPr>
      <w:r w:rsidRPr="00781112">
        <w:rPr>
          <w:b/>
          <w:color w:val="000000" w:themeColor="text1"/>
        </w:rPr>
        <w:t>Provide additional information about this indicator (optional)</w:t>
      </w:r>
    </w:p>
    <w:p w14:paraId="35896747" w14:textId="5B1C78C3" w:rsidR="002D57DA" w:rsidRPr="00781112" w:rsidRDefault="002B7490" w:rsidP="000E33D0">
      <w:pPr>
        <w:rPr>
          <w:rFonts w:cs="Arial"/>
          <w:color w:val="000000" w:themeColor="text1"/>
          <w:szCs w:val="16"/>
        </w:rPr>
      </w:pPr>
      <w:r w:rsidRPr="00781112">
        <w:rPr>
          <w:rFonts w:cs="Arial"/>
          <w:color w:val="000000" w:themeColor="text1"/>
          <w:szCs w:val="16"/>
        </w:rPr>
        <w:t>The State took into advisement the comments OSEP made in the FFY2021 SPP/APR and revisited the significant discrepancy methodology. Previously, the state had an N size and cell size requirement where the majority of LEAs were eliminated and never required a review of policies, practices and procedures (PPP). Although the data was reviewed, a PPP review and the need for further examination was not triggered. With the current methodology reported in this FFY2022 SPP/APR, 13.28% of the LEAs were examined further which included a review of PPPs, student files and a Root Cause Analysis completed by identified LEAs to determine if the LEA is significant discrepant by race/ethnicity.</w:t>
      </w:r>
    </w:p>
    <w:p w14:paraId="4B905245" w14:textId="77777777" w:rsidR="005E2440" w:rsidRPr="00781112" w:rsidRDefault="005E2440" w:rsidP="004369B2">
      <w:pPr>
        <w:rPr>
          <w:color w:val="000000" w:themeColor="text1"/>
        </w:rPr>
      </w:pPr>
    </w:p>
    <w:p w14:paraId="248087F7" w14:textId="3DEFD986" w:rsidR="001F6A28" w:rsidRPr="00781112" w:rsidRDefault="001F6A28" w:rsidP="004369B2">
      <w:pPr>
        <w:rPr>
          <w:color w:val="000000" w:themeColor="text1"/>
        </w:rPr>
      </w:pPr>
      <w:r w:rsidRPr="00781112">
        <w:rPr>
          <w:b/>
          <w:color w:val="000000" w:themeColor="text1"/>
        </w:rPr>
        <w:t>Review of Policies, Procedures, and Practices (completed in FFY 2022 using 2021-2022 data)</w:t>
      </w:r>
    </w:p>
    <w:p w14:paraId="71ECDBC1" w14:textId="77777777" w:rsidR="001F6A28" w:rsidRPr="00781112" w:rsidRDefault="001F6A28" w:rsidP="009A755E">
      <w:pPr>
        <w:rPr>
          <w:rFonts w:cs="Arial"/>
          <w:b/>
          <w:color w:val="000000" w:themeColor="text1"/>
          <w:szCs w:val="16"/>
        </w:rPr>
      </w:pPr>
      <w:r w:rsidRPr="00781112">
        <w:rPr>
          <w:rFonts w:cs="Arial"/>
          <w:b/>
          <w:color w:val="000000" w:themeColor="text1"/>
          <w:szCs w:val="16"/>
        </w:rPr>
        <w:t>Provide a description of the review of policies, procedures, and practices relating to the development and implementation of IEPs, the use of positive behavioral interventions and supports, and procedural safeguards.</w:t>
      </w:r>
    </w:p>
    <w:p w14:paraId="7C9E83E6" w14:textId="40DED240" w:rsidR="00616510" w:rsidRPr="00781112" w:rsidRDefault="002B7490" w:rsidP="009C613A">
      <w:pPr>
        <w:rPr>
          <w:rFonts w:cs="Arial"/>
          <w:color w:val="000000" w:themeColor="text1"/>
          <w:szCs w:val="16"/>
        </w:rPr>
      </w:pPr>
      <w:r w:rsidRPr="00781112">
        <w:rPr>
          <w:rFonts w:cs="Arial"/>
          <w:color w:val="000000" w:themeColor="text1"/>
          <w:szCs w:val="16"/>
        </w:rPr>
        <w:lastRenderedPageBreak/>
        <w:t>LEAs submitted their policies, procedures and practices (PPPs) related to the development and implementation of IEPs, the use of positive behavioral interventions and supports (PBIS), and procedural safeguards to the State. The PPPs were reviewed utilizing a rubric to guide the review of the implementation of IEPs, PBIS, and procedural safeguard documents provided by the LEAs. The State's contractor reviewed the documents and utilized the State’s rubric. Based on the review results provided by the contractor, State staff made the determination of compliance or non-compliance. State staff determined that 8 LEAs that were found to have significant discrepancy did not have PPPs which contributed to the significant discrepancy. There were 9 LEAs that did have deficient PPPs which contributed to the significant discrepancy.</w:t>
      </w:r>
    </w:p>
    <w:p w14:paraId="3F34C37B" w14:textId="77777777" w:rsidR="00616510" w:rsidRPr="00781112" w:rsidRDefault="00616510" w:rsidP="009C613A">
      <w:pPr>
        <w:rPr>
          <w:rFonts w:cs="Arial"/>
          <w:color w:val="000000" w:themeColor="text1"/>
          <w:szCs w:val="16"/>
        </w:rPr>
      </w:pPr>
    </w:p>
    <w:p w14:paraId="23CDB3C2" w14:textId="04EDADC3" w:rsidR="00616510" w:rsidRPr="00781112" w:rsidRDefault="00616510" w:rsidP="009C613A">
      <w:pPr>
        <w:rPr>
          <w:rFonts w:cs="Arial"/>
          <w:color w:val="000000" w:themeColor="text1"/>
          <w:szCs w:val="16"/>
        </w:rPr>
      </w:pPr>
      <w:r w:rsidRPr="00781112">
        <w:rPr>
          <w:rFonts w:cs="Arial"/>
          <w:color w:val="000000" w:themeColor="text1"/>
          <w:szCs w:val="16"/>
        </w:rPr>
        <w:t>The State DID identify noncompliance with Part B requirements as a result of the review required by 34 CFR §300.170(b).</w:t>
      </w:r>
    </w:p>
    <w:p w14:paraId="2C52C0B0" w14:textId="59E6D11C" w:rsidR="00616510" w:rsidRPr="00781112" w:rsidRDefault="007D4253" w:rsidP="009C613A">
      <w:pPr>
        <w:rPr>
          <w:rFonts w:cs="Arial"/>
          <w:b/>
          <w:color w:val="000000" w:themeColor="text1"/>
          <w:szCs w:val="16"/>
        </w:rPr>
      </w:pPr>
      <w:r w:rsidRPr="00781112">
        <w:rPr>
          <w:rFonts w:cs="Arial"/>
          <w:b/>
          <w:color w:val="000000" w:themeColor="text1"/>
          <w:szCs w:val="16"/>
        </w:rPr>
        <w:t>If YES, select one of the following:</w:t>
      </w:r>
    </w:p>
    <w:p w14:paraId="3AAA912C" w14:textId="12231485" w:rsidR="00616510" w:rsidRPr="00781112" w:rsidRDefault="00616510" w:rsidP="009C613A">
      <w:pPr>
        <w:rPr>
          <w:rFonts w:cs="Arial"/>
          <w:color w:val="000000" w:themeColor="text1"/>
          <w:szCs w:val="16"/>
        </w:rPr>
      </w:pPr>
      <w:r w:rsidRPr="00781112">
        <w:rPr>
          <w:rFonts w:cs="Arial"/>
          <w:color w:val="000000" w:themeColor="text1"/>
          <w:szCs w:val="16"/>
        </w:rPr>
        <w:t>The State did NOT ensure that such policies, procedures, and practices were revised to comply with applicable requirements consistent with OSEP Memorandum 09-02, dated October 17, 2008.</w:t>
      </w:r>
    </w:p>
    <w:p w14:paraId="05F2346A" w14:textId="5728B3B4" w:rsidR="002D57DA" w:rsidRPr="00781112" w:rsidRDefault="002D57DA" w:rsidP="001011BB">
      <w:pPr>
        <w:tabs>
          <w:tab w:val="left" w:pos="4060"/>
        </w:tabs>
        <w:rPr>
          <w:rFonts w:cs="Arial"/>
          <w:b/>
          <w:color w:val="000000" w:themeColor="text1"/>
          <w:szCs w:val="16"/>
        </w:rPr>
      </w:pPr>
      <w:r w:rsidRPr="00781112">
        <w:rPr>
          <w:rFonts w:cs="Arial"/>
          <w:b/>
          <w:color w:val="000000" w:themeColor="text1"/>
          <w:szCs w:val="16"/>
        </w:rPr>
        <w:t xml:space="preserve">The State must report on the correction of noncompliance in next year's SPP/APR consistent with requirements in the Measurement Table and OSEP </w:t>
      </w:r>
      <w:r w:rsidR="004D1797">
        <w:rPr>
          <w:rFonts w:cs="Arial"/>
          <w:b/>
          <w:color w:val="000000" w:themeColor="text1"/>
          <w:szCs w:val="16"/>
        </w:rPr>
        <w:t>QA 23-01, dated July 24, 2023</w:t>
      </w:r>
      <w:r w:rsidRPr="00781112">
        <w:rPr>
          <w:rFonts w:cs="Arial"/>
          <w:b/>
          <w:color w:val="000000" w:themeColor="text1"/>
          <w:szCs w:val="16"/>
        </w:rPr>
        <w:t>. Please explain why the State did not ensure that policies, procedures, and practices were revised to comply with applicable requirements</w:t>
      </w:r>
      <w:r w:rsidRPr="00781112">
        <w:rPr>
          <w:rFonts w:cs="Arial"/>
          <w:b/>
          <w:i/>
          <w:color w:val="000000" w:themeColor="text1"/>
          <w:szCs w:val="16"/>
        </w:rPr>
        <w:t>.</w:t>
      </w:r>
    </w:p>
    <w:p w14:paraId="37D189B8" w14:textId="50DC6514" w:rsidR="002D57DA" w:rsidRPr="00781112" w:rsidRDefault="002B7490" w:rsidP="001011BB">
      <w:pPr>
        <w:tabs>
          <w:tab w:val="left" w:pos="4060"/>
        </w:tabs>
        <w:rPr>
          <w:rFonts w:cs="Arial"/>
          <w:color w:val="000000" w:themeColor="text1"/>
          <w:szCs w:val="16"/>
        </w:rPr>
      </w:pPr>
      <w:r w:rsidRPr="00781112">
        <w:rPr>
          <w:rFonts w:cs="Arial"/>
          <w:color w:val="000000" w:themeColor="text1"/>
          <w:szCs w:val="16"/>
        </w:rPr>
        <w:t>The State is currently in the process of verifying correction of non -compliance consistent with requirements in the Measurement Table and OSEP QA 23-01. Therefore, the State does not have results available at the time of the SPP/APR submission and clarification period to provide. This information will be provided in next year's SPP/APR.</w:t>
      </w:r>
    </w:p>
    <w:p w14:paraId="3A779219" w14:textId="77777777" w:rsidR="00F9524E" w:rsidRPr="00781112" w:rsidRDefault="00F9524E">
      <w:pPr>
        <w:rPr>
          <w:b/>
          <w:color w:val="000000" w:themeColor="text1"/>
        </w:rPr>
      </w:pPr>
    </w:p>
    <w:p w14:paraId="54A274E0" w14:textId="3578C29F" w:rsidR="009A755E" w:rsidRPr="00781112" w:rsidRDefault="00450F98" w:rsidP="004369B2">
      <w:pPr>
        <w:rPr>
          <w:color w:val="000000" w:themeColor="text1"/>
        </w:rPr>
      </w:pPr>
      <w:r>
        <w:rPr>
          <w:b/>
          <w:color w:val="000000" w:themeColor="text1"/>
        </w:rPr>
        <w:t>Correction of Findings of Noncompliance Identified in FFY 2021</w:t>
      </w:r>
    </w:p>
    <w:tbl>
      <w:tblPr>
        <w:tblStyle w:val="TableGrid"/>
        <w:tblW w:w="5000" w:type="pct"/>
        <w:tblLook w:val="04A0" w:firstRow="1" w:lastRow="0" w:firstColumn="1" w:lastColumn="0" w:noHBand="0" w:noVBand="1"/>
        <w:tblCaption w:val="B04BPFFYNCFINDINGS"/>
      </w:tblPr>
      <w:tblGrid>
        <w:gridCol w:w="2613"/>
        <w:gridCol w:w="2743"/>
        <w:gridCol w:w="2620"/>
        <w:gridCol w:w="2814"/>
      </w:tblGrid>
      <w:tr w:rsidR="005C29F8" w:rsidRPr="00781112" w14:paraId="114A5055" w14:textId="77777777" w:rsidTr="00C570AA">
        <w:trPr>
          <w:trHeight w:val="389"/>
          <w:tblHeader/>
        </w:trPr>
        <w:tc>
          <w:tcPr>
            <w:tcW w:w="1211" w:type="pct"/>
            <w:shd w:val="clear" w:color="auto" w:fill="auto"/>
            <w:vAlign w:val="bottom"/>
          </w:tcPr>
          <w:p w14:paraId="776A9C2C"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71" w:type="pct"/>
            <w:shd w:val="clear" w:color="auto" w:fill="auto"/>
            <w:vAlign w:val="bottom"/>
          </w:tcPr>
          <w:p w14:paraId="4FF64C47"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14" w:type="pct"/>
            <w:shd w:val="clear" w:color="auto" w:fill="auto"/>
            <w:vAlign w:val="bottom"/>
          </w:tcPr>
          <w:p w14:paraId="36D92938"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304" w:type="pct"/>
            <w:shd w:val="clear" w:color="auto" w:fill="auto"/>
            <w:vAlign w:val="bottom"/>
          </w:tcPr>
          <w:p w14:paraId="440F12A0"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06AB2FBF" w14:textId="77777777" w:rsidTr="00C570AA">
        <w:tc>
          <w:tcPr>
            <w:tcW w:w="1211" w:type="pct"/>
            <w:shd w:val="clear" w:color="auto" w:fill="auto"/>
          </w:tcPr>
          <w:p w14:paraId="6AF875F0" w14:textId="0FD8621B" w:rsidR="009A755E" w:rsidRPr="00781112" w:rsidRDefault="002B7490" w:rsidP="00A018D4">
            <w:pPr>
              <w:jc w:val="center"/>
              <w:rPr>
                <w:rFonts w:cs="Arial"/>
                <w:color w:val="000000" w:themeColor="text1"/>
                <w:szCs w:val="16"/>
              </w:rPr>
            </w:pPr>
            <w:r w:rsidRPr="00781112">
              <w:rPr>
                <w:rFonts w:cs="Arial"/>
                <w:color w:val="000000" w:themeColor="text1"/>
                <w:szCs w:val="16"/>
              </w:rPr>
              <w:t/>
            </w:r>
          </w:p>
        </w:tc>
        <w:tc>
          <w:tcPr>
            <w:tcW w:w="1271" w:type="pct"/>
            <w:shd w:val="clear" w:color="auto" w:fill="auto"/>
          </w:tcPr>
          <w:p w14:paraId="58D166B5" w14:textId="6ADFFC16" w:rsidR="009A755E" w:rsidRPr="00781112" w:rsidRDefault="002B7490" w:rsidP="00A018D4">
            <w:pPr>
              <w:jc w:val="center"/>
              <w:rPr>
                <w:rFonts w:cs="Arial"/>
                <w:color w:val="000000" w:themeColor="text1"/>
                <w:szCs w:val="16"/>
              </w:rPr>
            </w:pPr>
            <w:r w:rsidRPr="00781112">
              <w:rPr>
                <w:rFonts w:cs="Arial"/>
                <w:color w:val="000000" w:themeColor="text1"/>
                <w:szCs w:val="16"/>
              </w:rPr>
              <w:t/>
            </w:r>
          </w:p>
        </w:tc>
        <w:tc>
          <w:tcPr>
            <w:tcW w:w="1214" w:type="pct"/>
            <w:shd w:val="clear" w:color="auto" w:fill="auto"/>
          </w:tcPr>
          <w:p w14:paraId="745E0498" w14:textId="77F90D3F" w:rsidR="009A755E" w:rsidRPr="00781112" w:rsidRDefault="002B7490" w:rsidP="00A018D4">
            <w:pPr>
              <w:jc w:val="center"/>
              <w:rPr>
                <w:rFonts w:cs="Arial"/>
                <w:color w:val="000000" w:themeColor="text1"/>
                <w:szCs w:val="16"/>
              </w:rPr>
            </w:pPr>
            <w:r w:rsidRPr="00781112">
              <w:rPr>
                <w:rFonts w:cs="Arial"/>
                <w:color w:val="000000" w:themeColor="text1"/>
                <w:szCs w:val="16"/>
              </w:rPr>
              <w:t/>
            </w:r>
          </w:p>
        </w:tc>
        <w:tc>
          <w:tcPr>
            <w:tcW w:w="1304" w:type="pct"/>
            <w:shd w:val="clear" w:color="auto" w:fill="auto"/>
          </w:tcPr>
          <w:p w14:paraId="55E32910" w14:textId="7F6FD668" w:rsidR="009A755E" w:rsidRPr="00781112" w:rsidRDefault="002B7490" w:rsidP="00A018D4">
            <w:pPr>
              <w:jc w:val="center"/>
              <w:rPr>
                <w:rFonts w:cs="Arial"/>
                <w:color w:val="000000" w:themeColor="text1"/>
                <w:szCs w:val="16"/>
              </w:rPr>
            </w:pPr>
            <w:r w:rsidRPr="00781112">
              <w:rPr>
                <w:rFonts w:cs="Arial"/>
                <w:color w:val="000000" w:themeColor="text1"/>
                <w:szCs w:val="16"/>
              </w:rPr>
              <w:t/>
            </w:r>
          </w:p>
        </w:tc>
      </w:tr>
    </w:tbl>
    <w:p w14:paraId="6CFB1826" w14:textId="755432D6" w:rsidR="009A755E" w:rsidRPr="00781112" w:rsidRDefault="00450F98" w:rsidP="004369B2">
      <w:pPr>
        <w:rPr>
          <w:color w:val="000000" w:themeColor="text1"/>
        </w:rPr>
      </w:pPr>
      <w:r>
        <w:rPr>
          <w:b/>
          <w:color w:val="000000" w:themeColor="text1"/>
        </w:rPr>
        <w:t>Correction of Findings of Noncompliance Identified Prior to FFY 2021</w:t>
      </w:r>
    </w:p>
    <w:tbl>
      <w:tblPr>
        <w:tblStyle w:val="TableGrid"/>
        <w:tblW w:w="5000" w:type="pct"/>
        <w:tblLook w:val="04A0" w:firstRow="1" w:lastRow="0" w:firstColumn="1" w:lastColumn="0" w:noHBand="0" w:noVBand="1"/>
        <w:tblCaption w:val="B04BPPFFYNCFINDINGS"/>
      </w:tblPr>
      <w:tblGrid>
        <w:gridCol w:w="1996"/>
        <w:gridCol w:w="2997"/>
        <w:gridCol w:w="2989"/>
        <w:gridCol w:w="2808"/>
      </w:tblGrid>
      <w:tr w:rsidR="005C29F8" w:rsidRPr="00781112" w14:paraId="00324CEE" w14:textId="77777777" w:rsidTr="00A05C13">
        <w:trPr>
          <w:tblHeader/>
        </w:trPr>
        <w:tc>
          <w:tcPr>
            <w:tcW w:w="925" w:type="pct"/>
            <w:shd w:val="clear" w:color="auto" w:fill="auto"/>
            <w:vAlign w:val="bottom"/>
          </w:tcPr>
          <w:p w14:paraId="77DA67D5" w14:textId="149F9136" w:rsidR="009A755E" w:rsidRPr="00781112" w:rsidRDefault="0016730D"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389" w:type="pct"/>
            <w:shd w:val="clear" w:color="auto" w:fill="auto"/>
            <w:vAlign w:val="bottom"/>
          </w:tcPr>
          <w:p w14:paraId="10CE444D" w14:textId="3A2F38B9"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2021 APR</w:t>
            </w:r>
          </w:p>
        </w:tc>
        <w:tc>
          <w:tcPr>
            <w:tcW w:w="1385" w:type="pct"/>
            <w:shd w:val="clear" w:color="auto" w:fill="auto"/>
            <w:vAlign w:val="bottom"/>
          </w:tcPr>
          <w:p w14:paraId="541F036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301" w:type="pct"/>
            <w:shd w:val="clear" w:color="auto" w:fill="auto"/>
            <w:vAlign w:val="bottom"/>
          </w:tcPr>
          <w:p w14:paraId="44D37B69"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04FE0165" w14:textId="77777777" w:rsidTr="00A05C13">
        <w:tc>
          <w:tcPr>
            <w:tcW w:w="925" w:type="pct"/>
            <w:shd w:val="clear" w:color="auto" w:fill="auto"/>
          </w:tcPr>
          <w:p w14:paraId="24BDFB83" w14:textId="477472C3" w:rsidR="009A755E" w:rsidRPr="00781112" w:rsidRDefault="002B7490" w:rsidP="00A018D4">
            <w:pPr>
              <w:jc w:val="center"/>
              <w:rPr>
                <w:rFonts w:cs="Arial"/>
                <w:color w:val="000000" w:themeColor="text1"/>
                <w:szCs w:val="16"/>
              </w:rPr>
            </w:pPr>
            <w:r w:rsidRPr="00781112">
              <w:rPr>
                <w:rFonts w:cs="Arial"/>
                <w:color w:val="000000" w:themeColor="text1"/>
                <w:szCs w:val="16"/>
              </w:rPr>
              <w:t/>
            </w:r>
          </w:p>
        </w:tc>
        <w:tc>
          <w:tcPr>
            <w:tcW w:w="1389" w:type="pct"/>
            <w:shd w:val="clear" w:color="auto" w:fill="auto"/>
          </w:tcPr>
          <w:p w14:paraId="27669B26" w14:textId="57CAFD92"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385" w:type="pct"/>
            <w:shd w:val="clear" w:color="auto" w:fill="auto"/>
          </w:tcPr>
          <w:p w14:paraId="265AB867" w14:textId="6DD4A6E4"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301" w:type="pct"/>
            <w:shd w:val="clear" w:color="auto" w:fill="auto"/>
          </w:tcPr>
          <w:p w14:paraId="016118B8" w14:textId="60E0958F" w:rsidR="009A755E" w:rsidRPr="00781112" w:rsidRDefault="002B7490">
            <w:pPr>
              <w:jc w:val="center"/>
              <w:rPr>
                <w:rFonts w:cs="Arial"/>
                <w:noProof/>
                <w:color w:val="000000" w:themeColor="text1"/>
                <w:szCs w:val="16"/>
              </w:rPr>
            </w:pPr>
            <w:r w:rsidRPr="00781112">
              <w:rPr>
                <w:rFonts w:cs="Arial"/>
                <w:color w:val="000000" w:themeColor="text1"/>
                <w:szCs w:val="16"/>
              </w:rPr>
              <w:t/>
            </w:r>
          </w:p>
        </w:tc>
      </w:tr>
      <w:tr w:rsidR="005C29F8" w:rsidRPr="00781112" w14:paraId="06C2E448" w14:textId="77777777" w:rsidTr="00A05C13">
        <w:tc>
          <w:tcPr>
            <w:tcW w:w="925" w:type="pct"/>
            <w:shd w:val="clear" w:color="auto" w:fill="auto"/>
          </w:tcPr>
          <w:p w14:paraId="1F883C29" w14:textId="16901E48" w:rsidR="009A755E" w:rsidRPr="00781112" w:rsidRDefault="002B7490" w:rsidP="00A018D4">
            <w:pPr>
              <w:jc w:val="center"/>
              <w:rPr>
                <w:rFonts w:cs="Arial"/>
                <w:color w:val="000000" w:themeColor="text1"/>
                <w:szCs w:val="16"/>
              </w:rPr>
            </w:pPr>
            <w:r w:rsidRPr="00781112">
              <w:rPr>
                <w:rFonts w:cs="Arial"/>
                <w:color w:val="000000" w:themeColor="text1"/>
                <w:szCs w:val="16"/>
              </w:rPr>
              <w:t/>
            </w:r>
          </w:p>
        </w:tc>
        <w:tc>
          <w:tcPr>
            <w:tcW w:w="1389" w:type="pct"/>
            <w:shd w:val="clear" w:color="auto" w:fill="auto"/>
          </w:tcPr>
          <w:p w14:paraId="4878C645" w14:textId="6B8E2DD3"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385" w:type="pct"/>
            <w:shd w:val="clear" w:color="auto" w:fill="auto"/>
          </w:tcPr>
          <w:p w14:paraId="5C5B29A8" w14:textId="4F847347"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301" w:type="pct"/>
            <w:shd w:val="clear" w:color="auto" w:fill="auto"/>
          </w:tcPr>
          <w:p w14:paraId="3059F96F" w14:textId="54D2C196" w:rsidR="009A755E" w:rsidRPr="00781112" w:rsidRDefault="002B7490">
            <w:pPr>
              <w:jc w:val="center"/>
              <w:rPr>
                <w:rFonts w:cs="Arial"/>
                <w:noProof/>
                <w:color w:val="000000" w:themeColor="text1"/>
                <w:szCs w:val="16"/>
              </w:rPr>
            </w:pPr>
            <w:r w:rsidRPr="00781112">
              <w:rPr>
                <w:rFonts w:cs="Arial"/>
                <w:color w:val="000000" w:themeColor="text1"/>
                <w:szCs w:val="16"/>
              </w:rPr>
              <w:t/>
            </w:r>
          </w:p>
        </w:tc>
      </w:tr>
      <w:tr w:rsidR="005C29F8" w:rsidRPr="00781112" w14:paraId="270D86DF" w14:textId="77777777" w:rsidTr="00A05C13">
        <w:tc>
          <w:tcPr>
            <w:tcW w:w="925" w:type="pct"/>
            <w:shd w:val="clear" w:color="auto" w:fill="auto"/>
          </w:tcPr>
          <w:p w14:paraId="7DBC402C" w14:textId="659D0437" w:rsidR="009A755E" w:rsidRPr="00781112" w:rsidRDefault="002B7490" w:rsidP="00A018D4">
            <w:pPr>
              <w:jc w:val="center"/>
              <w:rPr>
                <w:rFonts w:cs="Arial"/>
                <w:color w:val="000000" w:themeColor="text1"/>
                <w:szCs w:val="16"/>
              </w:rPr>
            </w:pPr>
            <w:r w:rsidRPr="00781112">
              <w:rPr>
                <w:rFonts w:cs="Arial"/>
                <w:color w:val="000000" w:themeColor="text1"/>
                <w:szCs w:val="16"/>
              </w:rPr>
              <w:t/>
            </w:r>
          </w:p>
        </w:tc>
        <w:tc>
          <w:tcPr>
            <w:tcW w:w="1389" w:type="pct"/>
            <w:shd w:val="clear" w:color="auto" w:fill="auto"/>
          </w:tcPr>
          <w:p w14:paraId="39F6C3A8" w14:textId="6AFAAA5E"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385" w:type="pct"/>
            <w:shd w:val="clear" w:color="auto" w:fill="auto"/>
          </w:tcPr>
          <w:p w14:paraId="4ABCDE9F" w14:textId="61A85266"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301" w:type="pct"/>
            <w:shd w:val="clear" w:color="auto" w:fill="auto"/>
          </w:tcPr>
          <w:p w14:paraId="4AB54464" w14:textId="0D8F01A9" w:rsidR="009A755E" w:rsidRPr="00781112" w:rsidRDefault="002B7490">
            <w:pPr>
              <w:jc w:val="center"/>
              <w:rPr>
                <w:rFonts w:cs="Arial"/>
                <w:noProof/>
                <w:color w:val="000000" w:themeColor="text1"/>
                <w:szCs w:val="16"/>
              </w:rPr>
            </w:pPr>
            <w:r w:rsidRPr="00781112">
              <w:rPr>
                <w:rFonts w:cs="Arial"/>
                <w:color w:val="000000" w:themeColor="text1"/>
                <w:szCs w:val="16"/>
              </w:rPr>
              <w:t/>
            </w:r>
          </w:p>
        </w:tc>
      </w:tr>
      <w:tr w:rsidR="00A05C13" w:rsidRPr="00781112" w14:paraId="0B61333B" w14:textId="77777777" w:rsidTr="00A05C13">
        <w:tc>
          <w:tcPr>
            <w:tcW w:w="925" w:type="pct"/>
            <w:shd w:val="clear" w:color="auto" w:fill="auto"/>
          </w:tcPr>
          <w:p w14:paraId="39537DEC" w14:textId="0D3E2FC2" w:rsidR="00A05C13" w:rsidRPr="00781112" w:rsidRDefault="00A05C13" w:rsidP="00A05C13">
            <w:pPr>
              <w:jc w:val="center"/>
              <w:rPr>
                <w:rFonts w:cs="Arial"/>
                <w:color w:val="000000" w:themeColor="text1"/>
                <w:szCs w:val="16"/>
              </w:rPr>
            </w:pPr>
            <w:r w:rsidRPr="00781112">
              <w:rPr>
                <w:rFonts w:cs="Arial"/>
                <w:color w:val="000000" w:themeColor="text1"/>
                <w:szCs w:val="16"/>
              </w:rPr>
              <w:t/>
            </w:r>
          </w:p>
        </w:tc>
        <w:tc>
          <w:tcPr>
            <w:tcW w:w="1389" w:type="pct"/>
            <w:shd w:val="clear" w:color="auto" w:fill="auto"/>
          </w:tcPr>
          <w:p w14:paraId="53129F60" w14:textId="202412F5" w:rsidR="00A05C13" w:rsidRPr="00781112" w:rsidRDefault="00A05C13" w:rsidP="00A05C13">
            <w:pPr>
              <w:jc w:val="center"/>
              <w:rPr>
                <w:rFonts w:cs="Arial"/>
                <w:color w:val="000000" w:themeColor="text1"/>
                <w:szCs w:val="16"/>
              </w:rPr>
            </w:pPr>
            <w:r w:rsidRPr="00781112">
              <w:rPr>
                <w:rFonts w:cs="Arial"/>
                <w:color w:val="000000" w:themeColor="text1"/>
                <w:szCs w:val="16"/>
              </w:rPr>
              <w:t/>
            </w:r>
          </w:p>
        </w:tc>
        <w:tc>
          <w:tcPr>
            <w:tcW w:w="1385" w:type="pct"/>
            <w:shd w:val="clear" w:color="auto" w:fill="auto"/>
          </w:tcPr>
          <w:p w14:paraId="0C78FB26" w14:textId="7DB27739" w:rsidR="00A05C13" w:rsidRPr="00781112" w:rsidRDefault="00A05C13" w:rsidP="00A05C13">
            <w:pPr>
              <w:jc w:val="center"/>
              <w:rPr>
                <w:rFonts w:cs="Arial"/>
                <w:color w:val="000000" w:themeColor="text1"/>
                <w:szCs w:val="16"/>
              </w:rPr>
            </w:pPr>
            <w:r w:rsidRPr="00781112">
              <w:rPr>
                <w:rFonts w:cs="Arial"/>
                <w:color w:val="000000" w:themeColor="text1"/>
                <w:szCs w:val="16"/>
              </w:rPr>
              <w:t/>
            </w:r>
          </w:p>
        </w:tc>
        <w:tc>
          <w:tcPr>
            <w:tcW w:w="1301" w:type="pct"/>
            <w:shd w:val="clear" w:color="auto" w:fill="auto"/>
          </w:tcPr>
          <w:p w14:paraId="1847890B" w14:textId="56C561F8" w:rsidR="00A05C13" w:rsidRPr="00781112" w:rsidRDefault="00A05C13" w:rsidP="00A05C13">
            <w:pPr>
              <w:jc w:val="center"/>
              <w:rPr>
                <w:rFonts w:cs="Arial"/>
                <w:color w:val="000000" w:themeColor="text1"/>
                <w:szCs w:val="16"/>
              </w:rPr>
            </w:pPr>
            <w:r w:rsidRPr="00781112">
              <w:rPr>
                <w:rFonts w:cs="Arial"/>
                <w:color w:val="000000" w:themeColor="text1"/>
                <w:szCs w:val="16"/>
              </w:rPr>
              <w:t/>
            </w:r>
          </w:p>
        </w:tc>
      </w:tr>
      <w:tr w:rsidR="00A05C13" w:rsidRPr="00781112" w14:paraId="346DD6DC" w14:textId="77777777" w:rsidTr="00A05C13">
        <w:tc>
          <w:tcPr>
            <w:tcW w:w="925" w:type="pct"/>
            <w:shd w:val="clear" w:color="auto" w:fill="auto"/>
          </w:tcPr>
          <w:p w14:paraId="3BFCA85C" w14:textId="57850CEA" w:rsidR="00A05C13" w:rsidRPr="00781112" w:rsidRDefault="00A05C13" w:rsidP="00A05C13">
            <w:pPr>
              <w:jc w:val="center"/>
              <w:rPr>
                <w:rFonts w:cs="Arial"/>
                <w:color w:val="000000" w:themeColor="text1"/>
                <w:szCs w:val="16"/>
              </w:rPr>
            </w:pPr>
            <w:r w:rsidRPr="00781112">
              <w:rPr>
                <w:rFonts w:cs="Arial"/>
                <w:color w:val="000000" w:themeColor="text1"/>
                <w:szCs w:val="16"/>
              </w:rPr>
              <w:t/>
            </w:r>
          </w:p>
        </w:tc>
        <w:tc>
          <w:tcPr>
            <w:tcW w:w="1389" w:type="pct"/>
            <w:shd w:val="clear" w:color="auto" w:fill="auto"/>
          </w:tcPr>
          <w:p w14:paraId="66D3AF4E" w14:textId="6CCBCADD" w:rsidR="00A05C13" w:rsidRPr="00781112" w:rsidRDefault="00A05C13" w:rsidP="00A05C13">
            <w:pPr>
              <w:jc w:val="center"/>
              <w:rPr>
                <w:rFonts w:cs="Arial"/>
                <w:color w:val="000000" w:themeColor="text1"/>
                <w:szCs w:val="16"/>
              </w:rPr>
            </w:pPr>
            <w:r w:rsidRPr="00781112">
              <w:rPr>
                <w:rFonts w:cs="Arial"/>
                <w:color w:val="000000" w:themeColor="text1"/>
                <w:szCs w:val="16"/>
              </w:rPr>
              <w:t/>
            </w:r>
          </w:p>
        </w:tc>
        <w:tc>
          <w:tcPr>
            <w:tcW w:w="1385" w:type="pct"/>
            <w:shd w:val="clear" w:color="auto" w:fill="auto"/>
          </w:tcPr>
          <w:p w14:paraId="61F93407" w14:textId="5729642D" w:rsidR="00A05C13" w:rsidRPr="00781112" w:rsidRDefault="00A05C13" w:rsidP="00A05C13">
            <w:pPr>
              <w:jc w:val="center"/>
              <w:rPr>
                <w:rFonts w:cs="Arial"/>
                <w:color w:val="000000" w:themeColor="text1"/>
                <w:szCs w:val="16"/>
              </w:rPr>
            </w:pPr>
            <w:r w:rsidRPr="00781112">
              <w:rPr>
                <w:rFonts w:cs="Arial"/>
                <w:color w:val="000000" w:themeColor="text1"/>
                <w:szCs w:val="16"/>
              </w:rPr>
              <w:t/>
            </w:r>
          </w:p>
        </w:tc>
        <w:tc>
          <w:tcPr>
            <w:tcW w:w="1301" w:type="pct"/>
            <w:shd w:val="clear" w:color="auto" w:fill="auto"/>
          </w:tcPr>
          <w:p w14:paraId="304DD194" w14:textId="15015B62" w:rsidR="00A05C13" w:rsidRPr="00781112" w:rsidRDefault="00A05C13" w:rsidP="00A05C13">
            <w:pPr>
              <w:jc w:val="center"/>
              <w:rPr>
                <w:rFonts w:cs="Arial"/>
                <w:color w:val="000000" w:themeColor="text1"/>
                <w:szCs w:val="16"/>
              </w:rPr>
            </w:pPr>
            <w:r w:rsidRPr="00781112">
              <w:rPr>
                <w:rFonts w:cs="Arial"/>
                <w:color w:val="000000" w:themeColor="text1"/>
                <w:szCs w:val="16"/>
              </w:rPr>
              <w:t/>
            </w:r>
          </w:p>
        </w:tc>
      </w:tr>
    </w:tbl>
    <w:p w14:paraId="35A33865" w14:textId="77777777" w:rsidR="00A05C13" w:rsidRPr="00781112" w:rsidRDefault="00A05C13" w:rsidP="00C570AA">
      <w:pPr>
        <w:rPr>
          <w:rFonts w:cs="Arial"/>
          <w:color w:val="000000" w:themeColor="text1"/>
          <w:szCs w:val="16"/>
        </w:rPr>
      </w:pPr>
    </w:p>
    <w:p w14:paraId="7BCEF85B" w14:textId="62F9E93D" w:rsidR="004E2151" w:rsidRPr="00781112" w:rsidRDefault="00D11730" w:rsidP="008645AD">
      <w:pPr>
        <w:pStyle w:val="Heading2"/>
      </w:pPr>
      <w:r w:rsidRPr="00781112">
        <w:t>4B</w:t>
      </w:r>
      <w:r w:rsidR="00E90DE9" w:rsidRPr="00781112">
        <w:t xml:space="preserve"> </w:t>
      </w:r>
      <w:r w:rsidRPr="00781112">
        <w:t xml:space="preserve">- </w:t>
      </w:r>
      <w:r w:rsidR="004E2151" w:rsidRPr="00781112">
        <w:t>Prior FFY Required Actions</w:t>
      </w:r>
    </w:p>
    <w:p w14:paraId="60DC97B4" w14:textId="67376465" w:rsidR="009B02BC" w:rsidRPr="00781112" w:rsidRDefault="002B7490" w:rsidP="004E2151">
      <w:pPr>
        <w:rPr>
          <w:rFonts w:cs="Arial"/>
          <w:color w:val="000000" w:themeColor="text1"/>
          <w:szCs w:val="16"/>
        </w:rPr>
      </w:pPr>
      <w:r w:rsidRPr="00781112">
        <w:rPr>
          <w:rFonts w:cs="Arial"/>
          <w:color w:val="000000" w:themeColor="text1"/>
          <w:szCs w:val="16"/>
        </w:rPr>
        <w:t xml:space="preserve">The State did not provide valid and reliable data for FFY 2021. The State must provide valid and reliable data for FFY 2022 in the FFY 2022 SPP/APR.</w:t>
        <w:br/>
        <w:t/>
        <w:br/>
        <w:t xml:space="preserve">In the FFY 2022 SPP/APR, the State must explain how its methodology is reasonably designed to determine if significant discrepancies, by race or ethnicity, are occurring in the rate of suspensions and expulsions of greater than 10 days in a school year for children with IEPs, including how the State’s threshold for measuring significant discrepancy, by race or ethnicity, in the rate of long-term suspensions and expulsions is reasonably designed. </w:t>
      </w:r>
    </w:p>
    <w:p w14:paraId="739A1EFB" w14:textId="16924450" w:rsidR="004E2151" w:rsidRPr="00781112" w:rsidRDefault="007639D7" w:rsidP="004369B2">
      <w:pPr>
        <w:rPr>
          <w:b/>
          <w:color w:val="000000" w:themeColor="text1"/>
        </w:rPr>
      </w:pPr>
      <w:r>
        <w:rPr>
          <w:b/>
          <w:color w:val="000000" w:themeColor="text1"/>
        </w:rPr>
        <w:t>Response to actions required in FFY 2021 SPP/APR</w:t>
      </w:r>
    </w:p>
    <w:p w14:paraId="7AA3834F" w14:textId="729EC2A3" w:rsidR="004E2151" w:rsidRPr="00781112" w:rsidRDefault="002B7490" w:rsidP="004E2151">
      <w:pPr>
        <w:rPr>
          <w:rFonts w:cs="Arial"/>
          <w:color w:val="000000" w:themeColor="text1"/>
          <w:szCs w:val="16"/>
        </w:rPr>
      </w:pPr>
      <w:r w:rsidRPr="00781112">
        <w:rPr>
          <w:rFonts w:cs="Arial"/>
          <w:color w:val="000000" w:themeColor="text1"/>
          <w:szCs w:val="16"/>
        </w:rPr>
        <w:t xml:space="preserve">The State revised the methodology to ensure that it is reasonably designed to determine if significant discrepancies are occurring in the rate of suspensions and expulsions of greater than 10 days in a school year. Previously, the State had an n size and cell size requirement where the majority of LEAs were eliminated. For those LEAs that met the n size and cell size requirement, a state rate of 1% greater than the state average was applied to determine if an LEA had significant discrepancy. </w:t>
        <w:br/>
        <w:t>Previous Methodology:</w:t>
        <w:br/>
        <w:t>- Minimum cell size of 10</w:t>
        <w:br/>
        <w:t>- District must have at least 10 students with disabilities of a particular race with disabilities who are suspended/expelled out-of-school for more than 10 days</w:t>
        <w:br/>
        <w:t>- Threshold of significance: +1% of the state rate</w:t>
        <w:br/>
        <w:t/>
        <w:br/>
        <w:t>Current Methodology:</w:t>
        <w:br/>
        <w:t>- No minimum cell size</w:t>
        <w:br/>
        <w:t>- Minimum N size of 10: LEAs must have at least 10 students with disabilities of a particular race/ethnicity enrolled</w:t>
        <w:br/>
        <w:t>- Threshold of significance: 3 times of the state rate (same as 4A)</w:t>
        <w:br/>
        <w:t/>
        <w:br/>
        <w:t>With the revised methodology, the State eliminated the cell size of 10 requirement for a particular race/ethnicity. The n size was changed from LEAs having at least 10 students with disabilities who are suspended/expelled out-of-school for more than 10 days to having at least 10 students with disabilities of a particular race/ethnicity enrolled. The 1% "state bar" was changed to a threshold of significance of 3 times of the state rate.</w:t>
        <w:br/>
        <w:t/>
        <w:br/>
        <w:t>This new methodology resulted in 17 LEAs being "flagged" for possible significant discrepancy, in comparison the the previous FFY when no LEAs met the minimum cell size and n size requirement. These 17 LEAs underwent a review of policies, procedures and practices (PPPs), file reviews and completed a self-assessment by the State to make a final determination if the LEA had significant discrepancy,</w:t>
        <w:br/>
        <w:t/>
        <w:br/>
        <w:t>The State now has a reasonably designed methodology for determining if significant discrepancies exist with LEAs.</w:t>
      </w:r>
    </w:p>
    <w:p w14:paraId="7562BCA8" w14:textId="2875B1E9" w:rsidR="005115D6" w:rsidRPr="00781112" w:rsidRDefault="00D11730" w:rsidP="008645AD">
      <w:pPr>
        <w:pStyle w:val="Heading2"/>
      </w:pPr>
      <w:r w:rsidRPr="00781112">
        <w:t>4B - OSEP Response</w:t>
      </w:r>
    </w:p>
    <w:p w14:paraId="489BF62D" w14:textId="19458AE8" w:rsidR="003C308E" w:rsidRPr="00781112" w:rsidRDefault="002B7490" w:rsidP="00212954">
      <w:pPr>
        <w:rPr>
          <w:rFonts w:cs="Arial"/>
          <w:color w:val="000000" w:themeColor="text1"/>
          <w:szCs w:val="16"/>
        </w:rPr>
      </w:pPr>
      <w:r w:rsidRPr="00781112">
        <w:rPr>
          <w:rFonts w:cs="Arial"/>
          <w:color w:val="000000" w:themeColor="text1"/>
          <w:szCs w:val="16"/>
        </w:rPr>
        <w:t>The State revised its baseline for this indicator, using data from FFY 2022, and OSEP accepts that revision.</w:t>
      </w:r>
    </w:p>
    <w:p w14:paraId="4D6C35B1" w14:textId="16E26788" w:rsidR="005115D6" w:rsidRPr="00781112" w:rsidRDefault="00D11730" w:rsidP="008645AD">
      <w:pPr>
        <w:pStyle w:val="Heading2"/>
      </w:pPr>
      <w:r w:rsidRPr="00781112">
        <w:t>4B- Required Actions</w:t>
      </w:r>
    </w:p>
    <w:p w14:paraId="5DE261E4" w14:textId="20281C98" w:rsidR="003C308E" w:rsidRPr="00781112" w:rsidRDefault="002B7490" w:rsidP="00212954">
      <w:pPr>
        <w:rPr>
          <w:rFonts w:cs="Arial"/>
          <w:color w:val="000000" w:themeColor="text1"/>
          <w:szCs w:val="16"/>
        </w:rPr>
      </w:pPr>
      <w:r w:rsidRPr="00781112">
        <w:rPr>
          <w:rFonts w:cs="Arial"/>
          <w:color w:val="000000" w:themeColor="text1"/>
          <w:szCs w:val="16"/>
        </w:rPr>
        <w:t>Because the State reported less than 100% compliance (greater than 0% actual target data for this indicator) for FFY 2022, the State must report on the status of correction of noncompliance identified in FFY 2022 for this indicator. The State must demonstrate, in the FFY 2023 SPP/APR, that the districts identified with noncompliance in FFY 2022 have corrected the noncompliance, including that the State verified that each district with noncompliance: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district, consistent with OSEP QA 23-01. In the FFY 2023 SPP/APR, the State must describe the specific actions that were taken to verify the correction. If the State did not identify any findings of noncompliance in FFY 2022, although its FFY 2022 data reflect less than 100% compliance (greater than 0% actual target data for this indicator), provide an explanation of why the State did not identify any findings of noncompliance in FFY 2022.</w:t>
      </w:r>
    </w:p>
    <w:p w14:paraId="4C9312F8" w14:textId="77777777" w:rsidR="00600E15" w:rsidRPr="00781112" w:rsidRDefault="00600E15">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4F968F36" w14:textId="267D7207" w:rsidR="00D21EAA" w:rsidRPr="00781112" w:rsidRDefault="00D21EAA" w:rsidP="000444E2">
      <w:pPr>
        <w:pStyle w:val="Heading1"/>
        <w:rPr>
          <w:color w:val="000000" w:themeColor="text1"/>
          <w:sz w:val="22"/>
        </w:rPr>
      </w:pPr>
      <w:r w:rsidRPr="00781112">
        <w:rPr>
          <w:color w:val="000000" w:themeColor="text1"/>
          <w:sz w:val="22"/>
        </w:rPr>
        <w:lastRenderedPageBreak/>
        <w:t xml:space="preserve">Indicator 5: </w:t>
      </w:r>
      <w:bookmarkEnd w:id="15"/>
      <w:r w:rsidRPr="00781112">
        <w:rPr>
          <w:color w:val="000000" w:themeColor="text1"/>
          <w:sz w:val="22"/>
        </w:rPr>
        <w:t xml:space="preserve">Education Environments (children </w:t>
      </w:r>
      <w:r w:rsidR="00D35A49" w:rsidRPr="00781112">
        <w:rPr>
          <w:color w:val="000000" w:themeColor="text1"/>
          <w:sz w:val="22"/>
        </w:rPr>
        <w:t xml:space="preserve">5 (Kindergarten) </w:t>
      </w:r>
      <w:r w:rsidRPr="00781112">
        <w:rPr>
          <w:color w:val="000000" w:themeColor="text1"/>
          <w:sz w:val="22"/>
        </w:rPr>
        <w:t>-</w:t>
      </w:r>
      <w:r w:rsidR="00D35A49" w:rsidRPr="00781112">
        <w:rPr>
          <w:color w:val="000000" w:themeColor="text1"/>
          <w:sz w:val="22"/>
        </w:rPr>
        <w:t xml:space="preserve"> </w:t>
      </w:r>
      <w:r w:rsidRPr="00781112">
        <w:rPr>
          <w:color w:val="000000" w:themeColor="text1"/>
          <w:sz w:val="22"/>
        </w:rPr>
        <w:t>21)</w:t>
      </w:r>
      <w:bookmarkEnd w:id="22"/>
      <w:bookmarkEnd w:id="40"/>
    </w:p>
    <w:p w14:paraId="52AD89A1" w14:textId="77777777" w:rsidR="00775845" w:rsidRPr="00781112" w:rsidRDefault="00775845" w:rsidP="00A018D4">
      <w:pPr>
        <w:rPr>
          <w:color w:val="000000" w:themeColor="text1"/>
          <w:szCs w:val="20"/>
        </w:rPr>
      </w:pPr>
      <w:bookmarkStart w:id="41" w:name="_Toc392159295"/>
      <w:r w:rsidRPr="00781112">
        <w:rPr>
          <w:b/>
          <w:color w:val="000000" w:themeColor="text1"/>
          <w:sz w:val="20"/>
          <w:szCs w:val="20"/>
        </w:rPr>
        <w:t xml:space="preserve">Instructions and Measurement </w:t>
      </w:r>
    </w:p>
    <w:p w14:paraId="5E00F17E" w14:textId="149CBFE3" w:rsidR="00CC634E" w:rsidRPr="00781112" w:rsidRDefault="00CC634E"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653D57AC" w14:textId="668073FD" w:rsidR="00CC634E" w:rsidRPr="00781112" w:rsidRDefault="00CC634E" w:rsidP="009A755E">
      <w:pPr>
        <w:rPr>
          <w:rFonts w:cs="Arial"/>
          <w:color w:val="000000" w:themeColor="text1"/>
          <w:szCs w:val="16"/>
        </w:rPr>
      </w:pPr>
      <w:r w:rsidRPr="00781112">
        <w:rPr>
          <w:rFonts w:cs="Arial"/>
          <w:b/>
          <w:color w:val="000000" w:themeColor="text1"/>
          <w:szCs w:val="16"/>
        </w:rPr>
        <w:t>Results indicator:</w:t>
      </w:r>
      <w:r w:rsidR="00131842" w:rsidRPr="00781112">
        <w:rPr>
          <w:rFonts w:cs="Arial"/>
          <w:color w:val="000000" w:themeColor="text1"/>
          <w:szCs w:val="16"/>
        </w:rPr>
        <w:t xml:space="preserve"> </w:t>
      </w:r>
      <w:r w:rsidRPr="00781112">
        <w:rPr>
          <w:rFonts w:cs="Arial"/>
          <w:color w:val="000000" w:themeColor="text1"/>
          <w:szCs w:val="16"/>
        </w:rPr>
        <w:t>Percent of children with IEPs aged</w:t>
      </w:r>
      <w:r w:rsidR="001E6A41" w:rsidRPr="00781112">
        <w:rPr>
          <w:rFonts w:cs="Arial"/>
          <w:color w:val="000000" w:themeColor="text1"/>
          <w:szCs w:val="16"/>
        </w:rPr>
        <w:t xml:space="preserve"> </w:t>
      </w:r>
      <w:r w:rsidR="001E6A41" w:rsidRPr="00781112">
        <w:rPr>
          <w:rFonts w:cs="Arial"/>
          <w:szCs w:val="16"/>
        </w:rPr>
        <w:t>5 who are enrolled in kindergarten and aged</w:t>
      </w:r>
      <w:r w:rsidRPr="00781112">
        <w:rPr>
          <w:rFonts w:cs="Arial"/>
          <w:color w:val="000000" w:themeColor="text1"/>
          <w:szCs w:val="16"/>
        </w:rPr>
        <w:t xml:space="preserve"> 6 through 21 served:</w:t>
      </w:r>
    </w:p>
    <w:p w14:paraId="7D5946B6" w14:textId="027B0899" w:rsidR="00CC634E" w:rsidRPr="00781112" w:rsidRDefault="00B9739D" w:rsidP="006A01BD">
      <w:pPr>
        <w:ind w:firstLine="720"/>
        <w:rPr>
          <w:rFonts w:cs="Arial"/>
          <w:color w:val="000000" w:themeColor="text1"/>
          <w:szCs w:val="16"/>
        </w:rPr>
      </w:pPr>
      <w:r w:rsidRPr="00781112">
        <w:rPr>
          <w:rFonts w:cs="Arial"/>
          <w:color w:val="000000" w:themeColor="text1"/>
          <w:szCs w:val="16"/>
        </w:rPr>
        <w:t>A. Inside the regular class 80% or more of the day;</w:t>
      </w:r>
    </w:p>
    <w:p w14:paraId="64FA9D2A" w14:textId="36742077" w:rsidR="00CC634E" w:rsidRPr="00781112" w:rsidRDefault="00B9739D" w:rsidP="006A01BD">
      <w:pPr>
        <w:ind w:firstLine="720"/>
        <w:rPr>
          <w:rFonts w:cs="Arial"/>
          <w:color w:val="000000" w:themeColor="text1"/>
          <w:szCs w:val="16"/>
        </w:rPr>
      </w:pPr>
      <w:r w:rsidRPr="00781112">
        <w:rPr>
          <w:rFonts w:cs="Arial"/>
          <w:color w:val="000000" w:themeColor="text1"/>
          <w:szCs w:val="16"/>
        </w:rPr>
        <w:t>B. Inside the regular class less than 40% of the day; and</w:t>
      </w:r>
    </w:p>
    <w:p w14:paraId="7D6C4792" w14:textId="4E458A42" w:rsidR="00CC634E" w:rsidRPr="00781112" w:rsidRDefault="00B9739D" w:rsidP="006A01BD">
      <w:pPr>
        <w:ind w:firstLine="720"/>
        <w:rPr>
          <w:rFonts w:cs="Arial"/>
          <w:color w:val="000000" w:themeColor="text1"/>
          <w:szCs w:val="16"/>
        </w:rPr>
      </w:pPr>
      <w:r w:rsidRPr="00781112">
        <w:rPr>
          <w:rFonts w:cs="Arial"/>
          <w:color w:val="000000" w:themeColor="text1"/>
          <w:szCs w:val="16"/>
        </w:rPr>
        <w:t>C. In separate schools, residential facilities, or homebound/hospital placements.</w:t>
      </w:r>
    </w:p>
    <w:p w14:paraId="7086FA15" w14:textId="47C5B9E3" w:rsidR="0011074D" w:rsidRPr="00781112" w:rsidRDefault="0011074D" w:rsidP="0011074D">
      <w:pPr>
        <w:rPr>
          <w:rFonts w:cs="Arial"/>
          <w:color w:val="000000" w:themeColor="text1"/>
          <w:szCs w:val="16"/>
        </w:rPr>
      </w:pPr>
      <w:r w:rsidRPr="00781112">
        <w:rPr>
          <w:rFonts w:cs="Arial"/>
          <w:color w:val="000000" w:themeColor="text1"/>
          <w:szCs w:val="16"/>
        </w:rPr>
        <w:t>(20 U.S.C. 1416(a)(3)(A))</w:t>
      </w:r>
    </w:p>
    <w:p w14:paraId="497EFC48" w14:textId="77777777" w:rsidR="001F6A28" w:rsidRPr="00781112" w:rsidRDefault="001F6A28" w:rsidP="004369B2">
      <w:pPr>
        <w:rPr>
          <w:color w:val="000000" w:themeColor="text1"/>
        </w:rPr>
      </w:pPr>
      <w:r w:rsidRPr="00781112">
        <w:rPr>
          <w:b/>
          <w:color w:val="000000" w:themeColor="text1"/>
        </w:rPr>
        <w:t>Data Source</w:t>
      </w:r>
    </w:p>
    <w:p w14:paraId="27A12343" w14:textId="1C2938A9" w:rsidR="001F6A28" w:rsidRPr="00781112" w:rsidRDefault="001F6A28" w:rsidP="00BB7BC9">
      <w:pPr>
        <w:rPr>
          <w:rFonts w:cs="Arial"/>
          <w:color w:val="000000" w:themeColor="text1"/>
          <w:szCs w:val="16"/>
        </w:rPr>
      </w:pPr>
      <w:r w:rsidRPr="00781112">
        <w:rPr>
          <w:rFonts w:cs="Arial"/>
          <w:color w:val="000000" w:themeColor="text1"/>
          <w:szCs w:val="16"/>
        </w:rPr>
        <w:t>S</w:t>
      </w:r>
      <w:r w:rsidRPr="00781112">
        <w:rPr>
          <w:rFonts w:cs="Arial"/>
          <w:color w:val="000000" w:themeColor="text1"/>
          <w:szCs w:val="16"/>
          <w:shd w:val="clear" w:color="auto" w:fill="FFFFFF"/>
        </w:rPr>
        <w:t xml:space="preserve">ame data as used for reporting to the Department under section 618 of the IDEA, using the definitions in </w:t>
      </w:r>
      <w:proofErr w:type="spellStart"/>
      <w:r w:rsidRPr="00781112">
        <w:rPr>
          <w:rFonts w:cs="Arial"/>
          <w:color w:val="000000" w:themeColor="text1"/>
          <w:szCs w:val="16"/>
          <w:shd w:val="clear" w:color="auto" w:fill="FFFFFF"/>
        </w:rPr>
        <w:t>ED</w:t>
      </w:r>
      <w:r w:rsidRPr="00BA3DBE">
        <w:rPr>
          <w:rFonts w:cs="Arial"/>
          <w:i/>
          <w:iCs/>
          <w:color w:val="000000" w:themeColor="text1"/>
          <w:szCs w:val="16"/>
          <w:shd w:val="clear" w:color="auto" w:fill="FFFFFF"/>
        </w:rPr>
        <w:t>Facts</w:t>
      </w:r>
      <w:proofErr w:type="spellEnd"/>
      <w:r w:rsidRPr="00781112">
        <w:rPr>
          <w:rFonts w:cs="Arial"/>
          <w:color w:val="000000" w:themeColor="text1"/>
          <w:szCs w:val="16"/>
          <w:shd w:val="clear" w:color="auto" w:fill="FFFFFF"/>
        </w:rPr>
        <w:t xml:space="preserve"> file specification </w:t>
      </w:r>
      <w:r w:rsidR="00A95280" w:rsidRPr="00781112">
        <w:rPr>
          <w:rFonts w:cs="Arial"/>
          <w:color w:val="000000" w:themeColor="text1"/>
          <w:szCs w:val="16"/>
          <w:shd w:val="clear" w:color="auto" w:fill="FFFFFF"/>
        </w:rPr>
        <w:t>FS</w:t>
      </w:r>
      <w:r w:rsidRPr="00781112">
        <w:rPr>
          <w:rFonts w:cs="Arial"/>
          <w:color w:val="000000" w:themeColor="text1"/>
          <w:szCs w:val="16"/>
          <w:shd w:val="clear" w:color="auto" w:fill="FFFFFF"/>
        </w:rPr>
        <w:t>002.</w:t>
      </w:r>
    </w:p>
    <w:p w14:paraId="6BD2884B" w14:textId="77777777" w:rsidR="001F6A28" w:rsidRPr="00781112" w:rsidRDefault="001F6A28" w:rsidP="004369B2">
      <w:pPr>
        <w:rPr>
          <w:color w:val="000000" w:themeColor="text1"/>
        </w:rPr>
      </w:pPr>
      <w:r w:rsidRPr="00781112">
        <w:rPr>
          <w:b/>
          <w:color w:val="000000" w:themeColor="text1"/>
        </w:rPr>
        <w:t>Measurement</w:t>
      </w:r>
    </w:p>
    <w:p w14:paraId="29361C11" w14:textId="73521566" w:rsidR="001F6A28" w:rsidRPr="00781112" w:rsidRDefault="001E6A41" w:rsidP="00286BDF">
      <w:pPr>
        <w:rPr>
          <w:rFonts w:cs="Arial"/>
          <w:color w:val="000000" w:themeColor="text1"/>
          <w:szCs w:val="16"/>
        </w:rPr>
      </w:pPr>
      <w:r w:rsidRPr="00781112">
        <w:rPr>
          <w:rFonts w:cs="Arial"/>
          <w:color w:val="000000" w:themeColor="text1"/>
          <w:szCs w:val="16"/>
        </w:rPr>
        <w:tab/>
        <w:t>A. Percent</w:t>
      </w:r>
      <w:r w:rsidR="001F6A28" w:rsidRPr="00781112">
        <w:rPr>
          <w:rFonts w:cs="Arial"/>
          <w:color w:val="000000" w:themeColor="text1"/>
          <w:szCs w:val="16"/>
          <w:shd w:val="clear" w:color="auto" w:fill="FFFFFF"/>
        </w:rPr>
        <w:t xml:space="preserve"> = </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 xml:space="preserve">of children with IEPs aged </w:t>
      </w:r>
      <w:r w:rsidR="00E97CD6" w:rsidRPr="00781112">
        <w:rPr>
          <w:rFonts w:cs="Arial"/>
          <w:szCs w:val="16"/>
        </w:rPr>
        <w:t xml:space="preserve">5 who are enrolled in kindergarten and aged </w:t>
      </w:r>
      <w:r w:rsidR="001F6A28" w:rsidRPr="00781112">
        <w:rPr>
          <w:rFonts w:cs="Arial"/>
          <w:color w:val="000000" w:themeColor="text1"/>
          <w:szCs w:val="16"/>
          <w:shd w:val="clear" w:color="auto" w:fill="FFFFFF"/>
        </w:rPr>
        <w:t xml:space="preserve">6 through 21 served inside the regular class 80% or </w:t>
      </w:r>
      <w:r w:rsidR="00AE5A55">
        <w:rPr>
          <w:rFonts w:cs="Arial"/>
          <w:color w:val="000000" w:themeColor="text1"/>
          <w:szCs w:val="16"/>
          <w:shd w:val="clear" w:color="auto" w:fill="FFFFFF"/>
        </w:rPr>
        <w:tab/>
      </w:r>
      <w:r w:rsidR="001F6A28" w:rsidRPr="00781112">
        <w:rPr>
          <w:rFonts w:cs="Arial"/>
          <w:color w:val="000000" w:themeColor="text1"/>
          <w:szCs w:val="16"/>
          <w:shd w:val="clear" w:color="auto" w:fill="FFFFFF"/>
        </w:rPr>
        <w:t xml:space="preserve">more of the day) divided by the (total # of students aged </w:t>
      </w:r>
      <w:r w:rsidR="00633044" w:rsidRPr="00781112">
        <w:rPr>
          <w:rFonts w:cs="Arial"/>
          <w:szCs w:val="16"/>
        </w:rPr>
        <w:t xml:space="preserve">5 who are enrolled in kindergarten and aged </w:t>
      </w:r>
      <w:r w:rsidR="001F6A28" w:rsidRPr="00781112">
        <w:rPr>
          <w:rFonts w:cs="Arial"/>
          <w:color w:val="000000" w:themeColor="text1"/>
          <w:szCs w:val="16"/>
          <w:shd w:val="clear" w:color="auto" w:fill="FFFFFF"/>
        </w:rPr>
        <w:t>6 through 21 with IEPs</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times 100.</w:t>
      </w:r>
    </w:p>
    <w:p w14:paraId="1AC31DB2" w14:textId="62755B33" w:rsidR="001F6A28" w:rsidRPr="00781112" w:rsidRDefault="001E6A41" w:rsidP="00286BDF">
      <w:pPr>
        <w:rPr>
          <w:rFonts w:cs="Arial"/>
          <w:color w:val="000000" w:themeColor="text1"/>
          <w:szCs w:val="16"/>
        </w:rPr>
      </w:pPr>
      <w:r w:rsidRPr="00781112">
        <w:rPr>
          <w:rFonts w:cs="Arial"/>
          <w:color w:val="000000" w:themeColor="text1"/>
          <w:szCs w:val="16"/>
        </w:rPr>
        <w:tab/>
        <w:t xml:space="preserve">B. Percent </w:t>
      </w:r>
      <w:r w:rsidR="00DB1150" w:rsidRPr="00781112">
        <w:rPr>
          <w:rFonts w:cs="Arial"/>
          <w:color w:val="000000" w:themeColor="text1"/>
          <w:szCs w:val="16"/>
          <w:shd w:val="clear" w:color="auto" w:fill="FFFFFF"/>
        </w:rPr>
        <w:t>=</w:t>
      </w:r>
      <w:r w:rsidR="001F6A28" w:rsidRPr="00781112">
        <w:rPr>
          <w:rFonts w:cs="Arial"/>
          <w:color w:val="000000" w:themeColor="text1"/>
          <w:szCs w:val="16"/>
          <w:shd w:val="clear" w:color="auto" w:fill="FFFFFF"/>
        </w:rPr>
        <w:t xml:space="preserve"> </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of children with IEPs aged</w:t>
      </w:r>
      <w:r w:rsidR="00E97CD6" w:rsidRPr="00781112">
        <w:rPr>
          <w:rFonts w:cs="Arial"/>
          <w:color w:val="000000" w:themeColor="text1"/>
          <w:szCs w:val="16"/>
          <w:shd w:val="clear" w:color="auto" w:fill="FFFFFF"/>
        </w:rPr>
        <w:t xml:space="preserve"> </w:t>
      </w:r>
      <w:r w:rsidR="00E97CD6" w:rsidRPr="00781112">
        <w:rPr>
          <w:rFonts w:cs="Arial"/>
          <w:szCs w:val="16"/>
        </w:rPr>
        <w:t>5 who are enrolled in kindergarten and aged</w:t>
      </w:r>
      <w:r w:rsidR="001F6A28" w:rsidRPr="00781112">
        <w:rPr>
          <w:rFonts w:cs="Arial"/>
          <w:color w:val="000000" w:themeColor="text1"/>
          <w:szCs w:val="16"/>
          <w:shd w:val="clear" w:color="auto" w:fill="FFFFFF"/>
        </w:rPr>
        <w:t xml:space="preserve"> 6 through 21 served inside the regular class less than </w:t>
      </w:r>
      <w:r w:rsidR="00E97CD6" w:rsidRPr="00781112">
        <w:rPr>
          <w:rFonts w:cs="Arial"/>
          <w:color w:val="000000" w:themeColor="text1"/>
          <w:szCs w:val="16"/>
          <w:shd w:val="clear" w:color="auto" w:fill="FFFFFF"/>
        </w:rPr>
        <w:tab/>
      </w:r>
      <w:r w:rsidR="001F6A28" w:rsidRPr="00781112">
        <w:rPr>
          <w:rFonts w:cs="Arial"/>
          <w:color w:val="000000" w:themeColor="text1"/>
          <w:szCs w:val="16"/>
          <w:shd w:val="clear" w:color="auto" w:fill="FFFFFF"/>
        </w:rPr>
        <w:t xml:space="preserve">40% of the day) divided by the (total # of students aged </w:t>
      </w:r>
      <w:r w:rsidR="00633044" w:rsidRPr="00781112">
        <w:rPr>
          <w:rFonts w:cs="Arial"/>
          <w:szCs w:val="16"/>
        </w:rPr>
        <w:t xml:space="preserve">5 who are enrolled in kindergarten and aged </w:t>
      </w:r>
      <w:r w:rsidR="001F6A28" w:rsidRPr="00781112">
        <w:rPr>
          <w:rFonts w:cs="Arial"/>
          <w:color w:val="000000" w:themeColor="text1"/>
          <w:szCs w:val="16"/>
          <w:shd w:val="clear" w:color="auto" w:fill="FFFFFF"/>
        </w:rPr>
        <w:t>6 through 21 with IEPs</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times 100.</w:t>
      </w:r>
    </w:p>
    <w:p w14:paraId="32E65458" w14:textId="2F0BF007" w:rsidR="001F6A28" w:rsidRPr="00781112" w:rsidRDefault="001E6A41" w:rsidP="00286BDF">
      <w:pPr>
        <w:rPr>
          <w:rFonts w:cs="Arial"/>
          <w:color w:val="000000" w:themeColor="text1"/>
          <w:szCs w:val="16"/>
        </w:rPr>
      </w:pPr>
      <w:r w:rsidRPr="00781112">
        <w:rPr>
          <w:rFonts w:cs="Arial"/>
          <w:color w:val="000000" w:themeColor="text1"/>
          <w:szCs w:val="16"/>
        </w:rPr>
        <w:tab/>
        <w:t>C. P</w:t>
      </w:r>
      <w:r w:rsidR="001F6A28" w:rsidRPr="00781112">
        <w:rPr>
          <w:rFonts w:cs="Arial"/>
          <w:color w:val="000000" w:themeColor="text1"/>
          <w:szCs w:val="16"/>
          <w:shd w:val="clear" w:color="auto" w:fill="FFFFFF"/>
        </w:rPr>
        <w:t xml:space="preserve">ercent = </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 xml:space="preserve">of children with IEPs aged </w:t>
      </w:r>
      <w:r w:rsidR="00E97CD6" w:rsidRPr="00781112">
        <w:rPr>
          <w:rFonts w:cs="Arial"/>
          <w:szCs w:val="16"/>
        </w:rPr>
        <w:t xml:space="preserve">5 who are enrolled in kindergarten and aged </w:t>
      </w:r>
      <w:r w:rsidR="001F6A28" w:rsidRPr="00781112">
        <w:rPr>
          <w:rFonts w:cs="Arial"/>
          <w:color w:val="000000" w:themeColor="text1"/>
          <w:szCs w:val="16"/>
          <w:shd w:val="clear" w:color="auto" w:fill="FFFFFF"/>
        </w:rPr>
        <w:t xml:space="preserve">6 through 21 served in separate schools, residential </w:t>
      </w:r>
      <w:r w:rsidR="00E97CD6" w:rsidRPr="00781112">
        <w:rPr>
          <w:rFonts w:cs="Arial"/>
          <w:color w:val="000000" w:themeColor="text1"/>
          <w:szCs w:val="16"/>
          <w:shd w:val="clear" w:color="auto" w:fill="FFFFFF"/>
        </w:rPr>
        <w:tab/>
      </w:r>
      <w:r w:rsidR="001F6A28" w:rsidRPr="00781112">
        <w:rPr>
          <w:rFonts w:cs="Arial"/>
          <w:color w:val="000000" w:themeColor="text1"/>
          <w:szCs w:val="16"/>
          <w:shd w:val="clear" w:color="auto" w:fill="FFFFFF"/>
        </w:rPr>
        <w:t xml:space="preserve">facilities, or homebound/hospital placements) divided by the (total # of students aged </w:t>
      </w:r>
      <w:r w:rsidR="00633044" w:rsidRPr="00781112">
        <w:rPr>
          <w:rFonts w:cs="Arial"/>
          <w:szCs w:val="16"/>
        </w:rPr>
        <w:t xml:space="preserve">5 who are enrolled in kindergarten and aged </w:t>
      </w:r>
      <w:r w:rsidR="001F6A28" w:rsidRPr="00781112">
        <w:rPr>
          <w:rFonts w:cs="Arial"/>
          <w:color w:val="000000" w:themeColor="text1"/>
          <w:szCs w:val="16"/>
          <w:shd w:val="clear" w:color="auto" w:fill="FFFFFF"/>
        </w:rPr>
        <w:t xml:space="preserve">6 through </w:t>
      </w:r>
      <w:r w:rsidR="00AE5A55">
        <w:rPr>
          <w:rFonts w:cs="Arial"/>
          <w:color w:val="000000" w:themeColor="text1"/>
          <w:szCs w:val="16"/>
          <w:shd w:val="clear" w:color="auto" w:fill="FFFFFF"/>
        </w:rPr>
        <w:tab/>
      </w:r>
      <w:r w:rsidR="001F6A28" w:rsidRPr="00781112">
        <w:rPr>
          <w:rFonts w:cs="Arial"/>
          <w:color w:val="000000" w:themeColor="text1"/>
          <w:szCs w:val="16"/>
          <w:shd w:val="clear" w:color="auto" w:fill="FFFFFF"/>
        </w:rPr>
        <w:t>21 with IEPs</w:t>
      </w:r>
      <w:r w:rsidR="00A33668" w:rsidRPr="00781112">
        <w:rPr>
          <w:rFonts w:cs="Arial"/>
          <w:color w:val="000000" w:themeColor="text1"/>
          <w:szCs w:val="16"/>
          <w:shd w:val="clear" w:color="auto" w:fill="FFFFFF"/>
        </w:rPr>
        <w:t>)]</w:t>
      </w:r>
      <w:r w:rsidR="001F6A28" w:rsidRPr="00781112">
        <w:rPr>
          <w:rFonts w:cs="Arial"/>
          <w:color w:val="000000" w:themeColor="text1"/>
          <w:szCs w:val="16"/>
          <w:shd w:val="clear" w:color="auto" w:fill="FFFFFF"/>
        </w:rPr>
        <w:t>times 100.</w:t>
      </w:r>
    </w:p>
    <w:p w14:paraId="06AD540D" w14:textId="77777777" w:rsidR="001F6A28" w:rsidRPr="00781112" w:rsidRDefault="001F6A28" w:rsidP="004369B2">
      <w:pPr>
        <w:rPr>
          <w:color w:val="000000" w:themeColor="text1"/>
        </w:rPr>
      </w:pPr>
      <w:r w:rsidRPr="00781112">
        <w:rPr>
          <w:b/>
          <w:color w:val="000000" w:themeColor="text1"/>
        </w:rPr>
        <w:t>Instructions</w:t>
      </w:r>
    </w:p>
    <w:p w14:paraId="37FC98B2" w14:textId="35D136AD" w:rsidR="001F6A28" w:rsidRPr="00781112" w:rsidRDefault="001F6A28" w:rsidP="00BB7BC9">
      <w:pPr>
        <w:rPr>
          <w:rFonts w:cs="Arial"/>
          <w:i/>
          <w:iCs/>
          <w:color w:val="000000" w:themeColor="text1"/>
          <w:szCs w:val="16"/>
        </w:rPr>
      </w:pPr>
      <w:r w:rsidRPr="00781112">
        <w:rPr>
          <w:rFonts w:cs="Arial"/>
          <w:i/>
          <w:iCs/>
          <w:color w:val="000000" w:themeColor="text1"/>
          <w:szCs w:val="16"/>
        </w:rPr>
        <w:t>Sampling from the State’s 618 data is not allowed.</w:t>
      </w:r>
    </w:p>
    <w:p w14:paraId="038ECB6A" w14:textId="77777777" w:rsidR="00085D61" w:rsidRDefault="007072DC" w:rsidP="00BB7BC9">
      <w:pPr>
        <w:rPr>
          <w:rFonts w:cs="Arial"/>
          <w:szCs w:val="16"/>
        </w:rPr>
      </w:pPr>
      <w:r w:rsidRPr="00781112">
        <w:rPr>
          <w:rFonts w:cs="Arial"/>
          <w:szCs w:val="16"/>
        </w:rPr>
        <w:t>States must report five-year-old children with disabilities who are enrolled in kindergarten in this indicator. Five-year-old children with disabilities who are enrolled in preschool programs are included in Indicator 6.</w:t>
      </w:r>
    </w:p>
    <w:p w14:paraId="707ABAC1" w14:textId="4440C33D" w:rsidR="001F6A28" w:rsidRPr="00781112" w:rsidRDefault="001F6A28" w:rsidP="00BB7BC9">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2F5B7301" w14:textId="3493AFBE" w:rsidR="001F6A28" w:rsidRPr="00781112" w:rsidRDefault="001F6A28" w:rsidP="00BB7BC9">
      <w:pPr>
        <w:rPr>
          <w:rFonts w:cs="Arial"/>
          <w:color w:val="000000" w:themeColor="text1"/>
          <w:szCs w:val="16"/>
        </w:rPr>
      </w:pPr>
      <w:r w:rsidRPr="00781112">
        <w:rPr>
          <w:rFonts w:cs="Arial"/>
          <w:color w:val="000000" w:themeColor="text1"/>
          <w:szCs w:val="16"/>
        </w:rPr>
        <w:t>If the data reported in this indicator are not the same as the State’s data reported under section 618 of the IDEA, explain.</w:t>
      </w:r>
    </w:p>
    <w:p w14:paraId="782EB5F0" w14:textId="4775DE89" w:rsidR="00476EA2" w:rsidRPr="00781112" w:rsidRDefault="007B5383" w:rsidP="008645AD">
      <w:pPr>
        <w:pStyle w:val="Heading2"/>
      </w:pPr>
      <w:r w:rsidRPr="00781112">
        <w:t>5</w:t>
      </w:r>
      <w:r w:rsidR="002203FA" w:rsidRPr="00781112">
        <w:t xml:space="preserve"> </w:t>
      </w:r>
      <w:r w:rsidRPr="00781112">
        <w:t xml:space="preserve">- </w:t>
      </w:r>
      <w:r w:rsidR="00A44506" w:rsidRPr="00781112">
        <w:t>Indicator Data</w:t>
      </w:r>
      <w:r w:rsidR="00476EA2" w:rsidRPr="00781112">
        <w:t xml:space="preserve"> </w:t>
      </w:r>
    </w:p>
    <w:bookmarkEnd w:id="41"/>
    <w:p w14:paraId="5DFCDD59" w14:textId="5ABA842A" w:rsidR="00CC634E" w:rsidRPr="00781112" w:rsidRDefault="00CC634E" w:rsidP="004369B2">
      <w:pPr>
        <w:rPr>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5HISTDATA"/>
      </w:tblPr>
      <w:tblGrid>
        <w:gridCol w:w="536"/>
        <w:gridCol w:w="1464"/>
        <w:gridCol w:w="1465"/>
        <w:gridCol w:w="1465"/>
        <w:gridCol w:w="1465"/>
        <w:gridCol w:w="1465"/>
        <w:gridCol w:w="1465"/>
        <w:gridCol w:w="1465"/>
      </w:tblGrid>
      <w:tr w:rsidR="00483ABB" w:rsidRPr="00781112" w14:paraId="630BF46A" w14:textId="12CF291C" w:rsidTr="005F5FE9">
        <w:trPr>
          <w:trHeight w:val="35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48C47ABF" w14:textId="5FDE6273" w:rsidR="00E4112E" w:rsidRPr="00781112" w:rsidRDefault="001F64DB" w:rsidP="00E4112E">
            <w:pPr>
              <w:spacing w:line="276" w:lineRule="auto"/>
              <w:jc w:val="center"/>
              <w:rPr>
                <w:rFonts w:cs="Arial"/>
                <w:b/>
                <w:color w:val="000000" w:themeColor="text1"/>
                <w:szCs w:val="16"/>
              </w:rPr>
            </w:pPr>
            <w:r w:rsidRPr="00781112">
              <w:rPr>
                <w:rFonts w:cs="Arial"/>
                <w:b/>
                <w:color w:val="000000" w:themeColor="text1"/>
                <w:szCs w:val="16"/>
              </w:rPr>
              <w:t>Part</w:t>
            </w:r>
          </w:p>
        </w:tc>
        <w:tc>
          <w:tcPr>
            <w:tcW w:w="678" w:type="pct"/>
            <w:tcBorders>
              <w:top w:val="single" w:sz="4" w:space="0" w:color="auto"/>
              <w:left w:val="single" w:sz="4" w:space="0" w:color="auto"/>
              <w:bottom w:val="single" w:sz="4" w:space="0" w:color="auto"/>
              <w:right w:val="single" w:sz="4" w:space="0" w:color="auto"/>
            </w:tcBorders>
            <w:shd w:val="clear" w:color="auto" w:fill="auto"/>
          </w:tcPr>
          <w:p w14:paraId="34A5BBF1" w14:textId="21EFE08D" w:rsidR="00E4112E" w:rsidRPr="00781112" w:rsidRDefault="00E4112E" w:rsidP="00E4112E">
            <w:pPr>
              <w:spacing w:line="276" w:lineRule="auto"/>
              <w:jc w:val="center"/>
              <w:rPr>
                <w:rFonts w:cs="Arial"/>
                <w:b/>
                <w:color w:val="000000" w:themeColor="text1"/>
                <w:szCs w:val="16"/>
              </w:rPr>
            </w:pPr>
            <w:r w:rsidRPr="00781112">
              <w:rPr>
                <w:rFonts w:cs="Arial"/>
                <w:b/>
                <w:color w:val="000000" w:themeColor="text1"/>
                <w:szCs w:val="16"/>
              </w:rPr>
              <w:t xml:space="preserve">Baseline </w:t>
            </w:r>
          </w:p>
        </w:tc>
        <w:tc>
          <w:tcPr>
            <w:tcW w:w="679" w:type="pct"/>
            <w:tcBorders>
              <w:top w:val="single" w:sz="4" w:space="0" w:color="auto"/>
              <w:left w:val="single" w:sz="4" w:space="0" w:color="auto"/>
              <w:bottom w:val="single" w:sz="4" w:space="0" w:color="auto"/>
              <w:right w:val="single" w:sz="4" w:space="0" w:color="auto"/>
            </w:tcBorders>
            <w:shd w:val="clear" w:color="auto" w:fill="auto"/>
          </w:tcPr>
          <w:p w14:paraId="5527DC20" w14:textId="77777777" w:rsidR="00E4112E" w:rsidRPr="00781112" w:rsidRDefault="00E4112E" w:rsidP="00E4112E">
            <w:pPr>
              <w:spacing w:line="276" w:lineRule="auto"/>
              <w:jc w:val="center"/>
              <w:rPr>
                <w:rFonts w:cs="Arial"/>
                <w:b/>
                <w:color w:val="000000" w:themeColor="text1"/>
                <w:szCs w:val="16"/>
              </w:rPr>
            </w:pPr>
            <w:r w:rsidRPr="00781112">
              <w:rPr>
                <w:rFonts w:cs="Arial"/>
                <w:b/>
                <w:color w:val="000000" w:themeColor="text1"/>
                <w:szCs w:val="16"/>
              </w:rPr>
              <w:t>FFY</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75348DB7" w14:textId="31324C26"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2017</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7C2D9A5E" w14:textId="1AFF80C5"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2018</w:t>
            </w:r>
          </w:p>
        </w:tc>
        <w:tc>
          <w:tcPr>
            <w:tcW w:w="679" w:type="pct"/>
            <w:tcBorders>
              <w:top w:val="single" w:sz="4" w:space="0" w:color="auto"/>
              <w:left w:val="single" w:sz="4" w:space="0" w:color="auto"/>
              <w:bottom w:val="single" w:sz="4" w:space="0" w:color="auto"/>
              <w:right w:val="single" w:sz="4" w:space="0" w:color="auto"/>
            </w:tcBorders>
            <w:shd w:val="clear" w:color="auto" w:fill="auto"/>
          </w:tcPr>
          <w:p w14:paraId="7C87EFC5" w14:textId="1BB8AC30"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2019</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060660DD" w14:textId="4387DAEB"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2020</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3DBEC159" w14:textId="109E90CD"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2021</w:t>
            </w:r>
          </w:p>
        </w:tc>
      </w:tr>
      <w:tr w:rsidR="005F0D3B" w:rsidRPr="00781112" w14:paraId="692E70F6" w14:textId="3E9D9AB4" w:rsidTr="005F5FE9">
        <w:trPr>
          <w:trHeight w:val="70"/>
        </w:trPr>
        <w:tc>
          <w:tcPr>
            <w:tcW w:w="248" w:type="pct"/>
            <w:tcBorders>
              <w:top w:val="single" w:sz="4" w:space="0" w:color="auto"/>
              <w:left w:val="single" w:sz="4" w:space="0" w:color="auto"/>
              <w:right w:val="single" w:sz="4" w:space="0" w:color="auto"/>
            </w:tcBorders>
            <w:shd w:val="clear" w:color="auto" w:fill="auto"/>
            <w:vAlign w:val="center"/>
          </w:tcPr>
          <w:p w14:paraId="5CAC6F68" w14:textId="77777777" w:rsidR="00BB7BC9" w:rsidRPr="00781112" w:rsidRDefault="00BB7BC9" w:rsidP="004B75EC">
            <w:pPr>
              <w:spacing w:line="276" w:lineRule="auto"/>
              <w:jc w:val="center"/>
              <w:rPr>
                <w:rFonts w:cs="Arial"/>
                <w:color w:val="000000" w:themeColor="text1"/>
                <w:szCs w:val="16"/>
              </w:rPr>
            </w:pPr>
            <w:r w:rsidRPr="00781112">
              <w:rPr>
                <w:rFonts w:cs="Arial"/>
                <w:color w:val="000000" w:themeColor="text1"/>
                <w:szCs w:val="16"/>
              </w:rPr>
              <w:t>A</w:t>
            </w:r>
          </w:p>
        </w:tc>
        <w:tc>
          <w:tcPr>
            <w:tcW w:w="678" w:type="pct"/>
            <w:tcBorders>
              <w:top w:val="single" w:sz="4" w:space="0" w:color="auto"/>
              <w:left w:val="single" w:sz="4" w:space="0" w:color="auto"/>
              <w:right w:val="single" w:sz="4" w:space="0" w:color="auto"/>
            </w:tcBorders>
            <w:shd w:val="clear" w:color="auto" w:fill="auto"/>
            <w:vAlign w:val="center"/>
          </w:tcPr>
          <w:p w14:paraId="5E3ACE02" w14:textId="787FECC2" w:rsidR="00BB7BC9" w:rsidRPr="00781112" w:rsidRDefault="002B7490" w:rsidP="00A018D4">
            <w:pPr>
              <w:jc w:val="center"/>
              <w:rPr>
                <w:rFonts w:cs="Arial"/>
                <w:color w:val="000000" w:themeColor="text1"/>
                <w:szCs w:val="16"/>
              </w:rPr>
            </w:pPr>
            <w:r w:rsidRPr="00781112">
              <w:rPr>
                <w:rFonts w:cs="Arial"/>
                <w:color w:val="000000" w:themeColor="text1"/>
                <w:szCs w:val="16"/>
              </w:rPr>
              <w:t>2019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E0BC7" w14:textId="0A864988" w:rsidR="00BB7BC9" w:rsidRPr="00781112" w:rsidRDefault="00BB7BC9" w:rsidP="00BA3DBE">
            <w:pPr>
              <w:spacing w:line="276" w:lineRule="auto"/>
              <w:jc w:val="center"/>
              <w:rPr>
                <w:rFonts w:cs="Arial"/>
                <w:color w:val="000000" w:themeColor="text1"/>
                <w:szCs w:val="16"/>
              </w:rPr>
            </w:pPr>
            <w:r w:rsidRPr="00781112">
              <w:rPr>
                <w:rFonts w:cs="Arial"/>
                <w:color w:val="000000" w:themeColor="text1"/>
                <w:szCs w:val="16"/>
              </w:rPr>
              <w:t>Target &gt;=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D169E17" w14:textId="1A4FF232" w:rsidR="00BB7BC9" w:rsidRPr="00781112" w:rsidRDefault="002B7490">
            <w:pPr>
              <w:jc w:val="center"/>
              <w:rPr>
                <w:rFonts w:cs="Arial"/>
                <w:color w:val="000000" w:themeColor="text1"/>
                <w:szCs w:val="16"/>
              </w:rPr>
            </w:pPr>
            <w:r w:rsidRPr="00781112">
              <w:rPr>
                <w:rFonts w:cs="Arial"/>
                <w:color w:val="000000" w:themeColor="text1"/>
                <w:szCs w:val="16"/>
              </w:rPr>
              <w:t>53.00%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7BBDF86" w14:textId="7B8DE8AB" w:rsidR="00BB7BC9" w:rsidRPr="00781112" w:rsidRDefault="002B7490">
            <w:pPr>
              <w:jc w:val="center"/>
              <w:rPr>
                <w:rFonts w:cs="Arial"/>
                <w:color w:val="000000" w:themeColor="text1"/>
                <w:szCs w:val="16"/>
              </w:rPr>
            </w:pPr>
            <w:r w:rsidRPr="00781112">
              <w:rPr>
                <w:rFonts w:cs="Arial"/>
                <w:color w:val="000000" w:themeColor="text1"/>
                <w:szCs w:val="16"/>
              </w:rPr>
              <w:t>53.00%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2D7B0B98" w14:textId="016BD4D1" w:rsidR="00BB7BC9" w:rsidRPr="00781112" w:rsidRDefault="002B7490">
            <w:pPr>
              <w:jc w:val="center"/>
              <w:rPr>
                <w:rFonts w:cs="Arial"/>
                <w:color w:val="000000" w:themeColor="text1"/>
                <w:szCs w:val="16"/>
              </w:rPr>
            </w:pPr>
            <w:r w:rsidRPr="00781112">
              <w:rPr>
                <w:rFonts w:cs="Arial"/>
                <w:color w:val="000000" w:themeColor="text1"/>
                <w:szCs w:val="16"/>
              </w:rPr>
              <w:t>53.00%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4789FFB" w14:textId="5C8E4FBE" w:rsidR="00BB7BC9" w:rsidRPr="00781112" w:rsidRDefault="002B7490">
            <w:pPr>
              <w:jc w:val="center"/>
              <w:rPr>
                <w:rFonts w:cs="Arial"/>
                <w:color w:val="000000" w:themeColor="text1"/>
                <w:szCs w:val="16"/>
              </w:rPr>
            </w:pPr>
            <w:r w:rsidRPr="00781112">
              <w:rPr>
                <w:rFonts w:cs="Arial"/>
                <w:color w:val="000000" w:themeColor="text1"/>
                <w:szCs w:val="16"/>
              </w:rPr>
              <w:t>51.53%</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29E5141" w14:textId="5AEA8269" w:rsidR="00BB7BC9" w:rsidRPr="00781112" w:rsidRDefault="002B7490">
            <w:pPr>
              <w:jc w:val="center"/>
              <w:rPr>
                <w:rFonts w:cs="Arial"/>
                <w:color w:val="000000" w:themeColor="text1"/>
                <w:szCs w:val="16"/>
              </w:rPr>
            </w:pPr>
            <w:r w:rsidRPr="00781112">
              <w:rPr>
                <w:rFonts w:cs="Arial"/>
                <w:color w:val="000000" w:themeColor="text1"/>
                <w:szCs w:val="16"/>
              </w:rPr>
              <w:t>51.68%</w:t>
            </w:r>
          </w:p>
        </w:tc>
      </w:tr>
      <w:tr w:rsidR="005F0D3B" w:rsidRPr="00781112" w14:paraId="79D81D10" w14:textId="49DC964C" w:rsidTr="005F5FE9">
        <w:trPr>
          <w:trHeight w:val="85"/>
        </w:trPr>
        <w:tc>
          <w:tcPr>
            <w:tcW w:w="248" w:type="pct"/>
            <w:tcBorders>
              <w:left w:val="single" w:sz="4" w:space="0" w:color="auto"/>
              <w:right w:val="single" w:sz="4" w:space="0" w:color="auto"/>
            </w:tcBorders>
            <w:shd w:val="clear" w:color="auto" w:fill="auto"/>
            <w:vAlign w:val="center"/>
          </w:tcPr>
          <w:p w14:paraId="35B07658" w14:textId="008DA9F0" w:rsidR="00BB7BC9" w:rsidRPr="00781112" w:rsidRDefault="001474EC" w:rsidP="004369B2">
            <w:pPr>
              <w:spacing w:line="276" w:lineRule="auto"/>
              <w:jc w:val="center"/>
              <w:rPr>
                <w:rFonts w:cs="Arial"/>
                <w:color w:val="000000" w:themeColor="text1"/>
                <w:szCs w:val="16"/>
              </w:rPr>
            </w:pPr>
            <w:r w:rsidRPr="00781112">
              <w:rPr>
                <w:rFonts w:cs="Arial"/>
                <w:color w:val="000000" w:themeColor="text1"/>
                <w:szCs w:val="16"/>
              </w:rPr>
              <w:t>A</w:t>
            </w:r>
          </w:p>
        </w:tc>
        <w:tc>
          <w:tcPr>
            <w:tcW w:w="678" w:type="pct"/>
            <w:tcBorders>
              <w:left w:val="single" w:sz="4" w:space="0" w:color="auto"/>
              <w:right w:val="single" w:sz="4" w:space="0" w:color="auto"/>
            </w:tcBorders>
            <w:shd w:val="clear" w:color="auto" w:fill="auto"/>
            <w:vAlign w:val="center"/>
          </w:tcPr>
          <w:p w14:paraId="4DB8D3CD" w14:textId="0227B1FD" w:rsidR="00BB7BC9" w:rsidRPr="00781112" w:rsidRDefault="002B7490" w:rsidP="00A018D4">
            <w:pPr>
              <w:jc w:val="center"/>
              <w:rPr>
                <w:rFonts w:cs="Arial"/>
                <w:color w:val="000000" w:themeColor="text1"/>
                <w:szCs w:val="16"/>
              </w:rPr>
            </w:pPr>
            <w:r w:rsidRPr="00781112">
              <w:rPr>
                <w:rFonts w:cs="Arial"/>
                <w:color w:val="000000" w:themeColor="text1"/>
                <w:szCs w:val="16"/>
              </w:rPr>
              <w:t>51.38%</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A24467" w14:textId="77777777" w:rsidR="00BB7BC9" w:rsidRPr="00781112" w:rsidRDefault="00BB7BC9" w:rsidP="00BA3DBE">
            <w:pPr>
              <w:spacing w:line="276" w:lineRule="auto"/>
              <w:jc w:val="center"/>
              <w:rPr>
                <w:rFonts w:cs="Arial"/>
                <w:color w:val="000000" w:themeColor="text1"/>
                <w:szCs w:val="16"/>
              </w:rPr>
            </w:pPr>
            <w:r w:rsidRPr="00781112">
              <w:rPr>
                <w:rFonts w:cs="Arial"/>
                <w:color w:val="000000" w:themeColor="text1"/>
                <w:szCs w:val="16"/>
              </w:rPr>
              <w:t>Data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A26F098" w14:textId="47E3F3D4" w:rsidR="00BB7BC9" w:rsidRPr="00781112" w:rsidRDefault="002B7490">
            <w:pPr>
              <w:jc w:val="center"/>
              <w:rPr>
                <w:rFonts w:cs="Arial"/>
                <w:color w:val="000000" w:themeColor="text1"/>
                <w:szCs w:val="16"/>
              </w:rPr>
            </w:pPr>
            <w:r w:rsidRPr="00781112">
              <w:rPr>
                <w:rFonts w:cs="Arial"/>
                <w:color w:val="000000" w:themeColor="text1"/>
                <w:szCs w:val="16"/>
              </w:rPr>
              <w:t>49.93%</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22E8D482" w14:textId="0F0DD959" w:rsidR="00BB7BC9" w:rsidRPr="00781112" w:rsidRDefault="002B7490">
            <w:pPr>
              <w:jc w:val="center"/>
              <w:rPr>
                <w:rFonts w:cs="Arial"/>
                <w:color w:val="000000" w:themeColor="text1"/>
                <w:szCs w:val="16"/>
              </w:rPr>
            </w:pPr>
            <w:r w:rsidRPr="00781112">
              <w:rPr>
                <w:rFonts w:cs="Arial"/>
                <w:color w:val="000000" w:themeColor="text1"/>
                <w:szCs w:val="16"/>
              </w:rPr>
              <w:t>48.95%</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92D382C" w14:textId="2157E0D5" w:rsidR="00BB7BC9" w:rsidRPr="00781112" w:rsidRDefault="002B7490">
            <w:pPr>
              <w:jc w:val="center"/>
              <w:rPr>
                <w:rFonts w:cs="Arial"/>
                <w:color w:val="000000" w:themeColor="text1"/>
                <w:szCs w:val="16"/>
              </w:rPr>
            </w:pPr>
            <w:r w:rsidRPr="00781112">
              <w:rPr>
                <w:rFonts w:cs="Arial"/>
                <w:color w:val="000000" w:themeColor="text1"/>
                <w:szCs w:val="16"/>
              </w:rPr>
              <w:t>51.38%</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6D0CB9F" w14:textId="43591961" w:rsidR="00BB7BC9" w:rsidRPr="00781112" w:rsidRDefault="002B7490">
            <w:pPr>
              <w:jc w:val="center"/>
              <w:rPr>
                <w:rFonts w:cs="Arial"/>
                <w:color w:val="000000" w:themeColor="text1"/>
                <w:szCs w:val="16"/>
              </w:rPr>
            </w:pPr>
            <w:r w:rsidRPr="00781112">
              <w:rPr>
                <w:rFonts w:cs="Arial"/>
                <w:color w:val="000000" w:themeColor="text1"/>
                <w:szCs w:val="16"/>
              </w:rPr>
              <w:t>52.51%</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3207239" w14:textId="4C2F7B73" w:rsidR="00BB7BC9" w:rsidRPr="00781112" w:rsidRDefault="002B7490">
            <w:pPr>
              <w:jc w:val="center"/>
              <w:rPr>
                <w:rFonts w:cs="Arial"/>
                <w:color w:val="000000" w:themeColor="text1"/>
                <w:szCs w:val="16"/>
              </w:rPr>
            </w:pPr>
            <w:r w:rsidRPr="00781112">
              <w:rPr>
                <w:rFonts w:cs="Arial"/>
                <w:color w:val="000000" w:themeColor="text1"/>
                <w:szCs w:val="16"/>
              </w:rPr>
              <w:t>52.43%</w:t>
            </w:r>
          </w:p>
        </w:tc>
      </w:tr>
      <w:tr w:rsidR="005F0D3B" w:rsidRPr="00781112" w14:paraId="7EE51EBD" w14:textId="513FE18C" w:rsidTr="005F5FE9">
        <w:trPr>
          <w:trHeight w:val="357"/>
        </w:trPr>
        <w:tc>
          <w:tcPr>
            <w:tcW w:w="248" w:type="pct"/>
            <w:tcBorders>
              <w:top w:val="single" w:sz="4" w:space="0" w:color="auto"/>
              <w:left w:val="single" w:sz="4" w:space="0" w:color="auto"/>
              <w:right w:val="single" w:sz="4" w:space="0" w:color="auto"/>
            </w:tcBorders>
            <w:shd w:val="clear" w:color="auto" w:fill="auto"/>
            <w:vAlign w:val="center"/>
          </w:tcPr>
          <w:p w14:paraId="72DFD563" w14:textId="77777777" w:rsidR="00BB7BC9" w:rsidRPr="00781112" w:rsidRDefault="00BB7BC9" w:rsidP="004B75EC">
            <w:pPr>
              <w:spacing w:line="276" w:lineRule="auto"/>
              <w:jc w:val="center"/>
              <w:rPr>
                <w:rFonts w:cs="Arial"/>
                <w:color w:val="000000" w:themeColor="text1"/>
                <w:szCs w:val="16"/>
              </w:rPr>
            </w:pPr>
            <w:r w:rsidRPr="00781112">
              <w:rPr>
                <w:rFonts w:cs="Arial"/>
                <w:color w:val="000000" w:themeColor="text1"/>
                <w:szCs w:val="16"/>
              </w:rPr>
              <w:t>B</w:t>
            </w:r>
          </w:p>
        </w:tc>
        <w:tc>
          <w:tcPr>
            <w:tcW w:w="678" w:type="pct"/>
            <w:tcBorders>
              <w:top w:val="single" w:sz="4" w:space="0" w:color="auto"/>
              <w:left w:val="single" w:sz="4" w:space="0" w:color="auto"/>
              <w:right w:val="single" w:sz="4" w:space="0" w:color="auto"/>
            </w:tcBorders>
            <w:shd w:val="clear" w:color="auto" w:fill="auto"/>
            <w:vAlign w:val="center"/>
          </w:tcPr>
          <w:p w14:paraId="100A2A6F" w14:textId="100D35A9" w:rsidR="00BB7BC9" w:rsidRPr="00781112" w:rsidRDefault="002B7490" w:rsidP="00A018D4">
            <w:pPr>
              <w:jc w:val="center"/>
              <w:rPr>
                <w:rFonts w:cs="Arial"/>
                <w:color w:val="000000" w:themeColor="text1"/>
                <w:szCs w:val="16"/>
              </w:rPr>
            </w:pPr>
            <w:r w:rsidRPr="00781112">
              <w:rPr>
                <w:rFonts w:cs="Arial"/>
                <w:color w:val="000000" w:themeColor="text1"/>
                <w:szCs w:val="16"/>
              </w:rPr>
              <w:t>2019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0A945A" w14:textId="5CBFA4BF" w:rsidR="00BB7BC9" w:rsidRPr="00781112" w:rsidRDefault="00BB7BC9" w:rsidP="00BA3DBE">
            <w:pPr>
              <w:spacing w:line="276" w:lineRule="auto"/>
              <w:jc w:val="center"/>
              <w:rPr>
                <w:rFonts w:cs="Arial"/>
                <w:color w:val="000000" w:themeColor="text1"/>
                <w:szCs w:val="16"/>
              </w:rPr>
            </w:pPr>
            <w:r w:rsidRPr="00781112">
              <w:rPr>
                <w:rFonts w:cs="Arial"/>
                <w:color w:val="000000" w:themeColor="text1"/>
                <w:szCs w:val="16"/>
              </w:rPr>
              <w:t>Target &lt;=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DEA2B18" w14:textId="75A611A3" w:rsidR="00BB7BC9" w:rsidRPr="00781112" w:rsidRDefault="002B7490">
            <w:pPr>
              <w:jc w:val="center"/>
              <w:rPr>
                <w:rFonts w:cs="Arial"/>
                <w:color w:val="000000" w:themeColor="text1"/>
                <w:szCs w:val="16"/>
              </w:rPr>
            </w:pPr>
            <w:r w:rsidRPr="00781112">
              <w:rPr>
                <w:rFonts w:cs="Arial"/>
                <w:color w:val="000000" w:themeColor="text1"/>
                <w:szCs w:val="16"/>
              </w:rPr>
              <w:t>18.00%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B840EDC" w14:textId="6514C970" w:rsidR="00BB7BC9" w:rsidRPr="00781112" w:rsidRDefault="002B7490">
            <w:pPr>
              <w:jc w:val="center"/>
              <w:rPr>
                <w:rFonts w:cs="Arial"/>
                <w:color w:val="000000" w:themeColor="text1"/>
                <w:szCs w:val="16"/>
              </w:rPr>
            </w:pPr>
            <w:r w:rsidRPr="00781112">
              <w:rPr>
                <w:rFonts w:cs="Arial"/>
                <w:color w:val="000000" w:themeColor="text1"/>
                <w:szCs w:val="16"/>
              </w:rPr>
              <w:t>18.00%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43AF146" w14:textId="07F1A374" w:rsidR="00BB7BC9" w:rsidRPr="00781112" w:rsidRDefault="002B7490">
            <w:pPr>
              <w:jc w:val="center"/>
              <w:rPr>
                <w:rFonts w:cs="Arial"/>
                <w:color w:val="000000" w:themeColor="text1"/>
                <w:szCs w:val="16"/>
              </w:rPr>
            </w:pPr>
            <w:r w:rsidRPr="00781112">
              <w:rPr>
                <w:rFonts w:cs="Arial"/>
                <w:color w:val="000000" w:themeColor="text1"/>
                <w:szCs w:val="16"/>
              </w:rPr>
              <w:t>18.00%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14470517" w14:textId="6EB26EBD" w:rsidR="00BB7BC9" w:rsidRPr="00781112" w:rsidRDefault="002B7490">
            <w:pPr>
              <w:jc w:val="center"/>
              <w:rPr>
                <w:rFonts w:cs="Arial"/>
                <w:color w:val="000000" w:themeColor="text1"/>
                <w:szCs w:val="16"/>
              </w:rPr>
            </w:pPr>
            <w:r w:rsidRPr="00781112">
              <w:rPr>
                <w:rFonts w:cs="Arial"/>
                <w:color w:val="000000" w:themeColor="text1"/>
                <w:szCs w:val="16"/>
              </w:rPr>
              <w:t>16.59%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39B042C" w14:textId="501324B8" w:rsidR="00BB7BC9" w:rsidRPr="00781112" w:rsidRDefault="002B7490">
            <w:pPr>
              <w:jc w:val="center"/>
              <w:rPr>
                <w:rFonts w:cs="Arial"/>
                <w:color w:val="000000" w:themeColor="text1"/>
                <w:szCs w:val="16"/>
              </w:rPr>
            </w:pPr>
            <w:r w:rsidRPr="00781112">
              <w:rPr>
                <w:rFonts w:cs="Arial"/>
                <w:color w:val="000000" w:themeColor="text1"/>
                <w:szCs w:val="16"/>
              </w:rPr>
              <w:t>16.08%</w:t>
            </w:r>
          </w:p>
        </w:tc>
      </w:tr>
      <w:tr w:rsidR="005F0D3B" w:rsidRPr="00781112" w14:paraId="78E6E13B" w14:textId="52E2E705" w:rsidTr="005F5FE9">
        <w:trPr>
          <w:trHeight w:val="85"/>
        </w:trPr>
        <w:tc>
          <w:tcPr>
            <w:tcW w:w="248" w:type="pct"/>
            <w:tcBorders>
              <w:left w:val="single" w:sz="4" w:space="0" w:color="auto"/>
              <w:right w:val="single" w:sz="4" w:space="0" w:color="auto"/>
            </w:tcBorders>
            <w:shd w:val="clear" w:color="auto" w:fill="auto"/>
            <w:vAlign w:val="center"/>
          </w:tcPr>
          <w:p w14:paraId="36D93B90" w14:textId="2EF21745" w:rsidR="00BB7BC9" w:rsidRPr="00781112" w:rsidRDefault="001474EC" w:rsidP="004369B2">
            <w:pPr>
              <w:spacing w:line="276" w:lineRule="auto"/>
              <w:jc w:val="center"/>
              <w:rPr>
                <w:rFonts w:cs="Arial"/>
                <w:color w:val="000000" w:themeColor="text1"/>
                <w:szCs w:val="16"/>
              </w:rPr>
            </w:pPr>
            <w:r w:rsidRPr="00781112">
              <w:rPr>
                <w:rFonts w:cs="Arial"/>
                <w:color w:val="000000" w:themeColor="text1"/>
                <w:szCs w:val="16"/>
              </w:rPr>
              <w:t>B</w:t>
            </w:r>
          </w:p>
        </w:tc>
        <w:tc>
          <w:tcPr>
            <w:tcW w:w="678" w:type="pct"/>
            <w:tcBorders>
              <w:left w:val="single" w:sz="4" w:space="0" w:color="auto"/>
              <w:right w:val="single" w:sz="4" w:space="0" w:color="auto"/>
            </w:tcBorders>
            <w:shd w:val="clear" w:color="auto" w:fill="auto"/>
            <w:vAlign w:val="center"/>
          </w:tcPr>
          <w:p w14:paraId="46CEC360" w14:textId="3F201206" w:rsidR="00BB7BC9" w:rsidRPr="00781112" w:rsidRDefault="002B7490" w:rsidP="00A018D4">
            <w:pPr>
              <w:jc w:val="center"/>
              <w:rPr>
                <w:rFonts w:cs="Arial"/>
                <w:color w:val="000000" w:themeColor="text1"/>
                <w:szCs w:val="16"/>
              </w:rPr>
            </w:pPr>
            <w:r w:rsidRPr="00781112">
              <w:rPr>
                <w:rFonts w:cs="Arial"/>
                <w:color w:val="000000" w:themeColor="text1"/>
                <w:szCs w:val="16"/>
              </w:rPr>
              <w:t>17.10%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2A1F55" w14:textId="77777777" w:rsidR="00BB7BC9" w:rsidRPr="00781112" w:rsidRDefault="00BB7BC9" w:rsidP="00BA3DBE">
            <w:pPr>
              <w:spacing w:line="276" w:lineRule="auto"/>
              <w:jc w:val="center"/>
              <w:rPr>
                <w:rFonts w:cs="Arial"/>
                <w:color w:val="000000" w:themeColor="text1"/>
                <w:szCs w:val="16"/>
              </w:rPr>
            </w:pPr>
            <w:r w:rsidRPr="00781112">
              <w:rPr>
                <w:rFonts w:cs="Arial"/>
                <w:color w:val="000000" w:themeColor="text1"/>
                <w:szCs w:val="16"/>
              </w:rPr>
              <w:t>Data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C00B11B" w14:textId="1B815A91" w:rsidR="00BB7BC9" w:rsidRPr="00781112" w:rsidRDefault="002B7490">
            <w:pPr>
              <w:jc w:val="center"/>
              <w:rPr>
                <w:rFonts w:cs="Arial"/>
                <w:color w:val="000000" w:themeColor="text1"/>
                <w:szCs w:val="16"/>
              </w:rPr>
            </w:pPr>
            <w:r w:rsidRPr="00781112">
              <w:rPr>
                <w:rFonts w:cs="Arial"/>
                <w:color w:val="000000" w:themeColor="text1"/>
                <w:szCs w:val="16"/>
              </w:rPr>
              <w:t>18.14%</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1973F9D" w14:textId="4C7C3BCD" w:rsidR="00BB7BC9" w:rsidRPr="00781112" w:rsidRDefault="002B7490">
            <w:pPr>
              <w:jc w:val="center"/>
              <w:rPr>
                <w:rFonts w:cs="Arial"/>
                <w:color w:val="000000" w:themeColor="text1"/>
                <w:szCs w:val="16"/>
              </w:rPr>
            </w:pPr>
            <w:r w:rsidRPr="00781112">
              <w:rPr>
                <w:rFonts w:cs="Arial"/>
                <w:color w:val="000000" w:themeColor="text1"/>
                <w:szCs w:val="16"/>
              </w:rPr>
              <w:t>17.66%</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2270259B" w14:textId="550EFA1E" w:rsidR="00BB7BC9" w:rsidRPr="00781112" w:rsidRDefault="002B7490">
            <w:pPr>
              <w:jc w:val="center"/>
              <w:rPr>
                <w:rFonts w:cs="Arial"/>
                <w:color w:val="000000" w:themeColor="text1"/>
                <w:szCs w:val="16"/>
              </w:rPr>
            </w:pPr>
            <w:r w:rsidRPr="00781112">
              <w:rPr>
                <w:rFonts w:cs="Arial"/>
                <w:color w:val="000000" w:themeColor="text1"/>
                <w:szCs w:val="16"/>
              </w:rPr>
              <w:t>17.10%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435F6E4C" w14:textId="3A9E3826" w:rsidR="00BB7BC9" w:rsidRPr="00781112" w:rsidRDefault="002B7490">
            <w:pPr>
              <w:jc w:val="center"/>
              <w:rPr>
                <w:rFonts w:cs="Arial"/>
                <w:color w:val="000000" w:themeColor="text1"/>
                <w:szCs w:val="16"/>
              </w:rPr>
            </w:pPr>
            <w:r w:rsidRPr="00781112">
              <w:rPr>
                <w:rFonts w:cs="Arial"/>
                <w:color w:val="000000" w:themeColor="text1"/>
                <w:szCs w:val="16"/>
              </w:rPr>
              <w:t>16.42%</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F17276C" w14:textId="62DCEF2E" w:rsidR="00BB7BC9" w:rsidRPr="00781112" w:rsidRDefault="002B7490">
            <w:pPr>
              <w:jc w:val="center"/>
              <w:rPr>
                <w:rFonts w:cs="Arial"/>
                <w:color w:val="000000" w:themeColor="text1"/>
                <w:szCs w:val="16"/>
              </w:rPr>
            </w:pPr>
            <w:r w:rsidRPr="00781112">
              <w:rPr>
                <w:rFonts w:cs="Arial"/>
                <w:color w:val="000000" w:themeColor="text1"/>
                <w:szCs w:val="16"/>
              </w:rPr>
              <w:t>16.03%</w:t>
            </w:r>
          </w:p>
        </w:tc>
      </w:tr>
      <w:tr w:rsidR="005F0D3B" w:rsidRPr="00781112" w14:paraId="37C91828" w14:textId="68984F02" w:rsidTr="005F5FE9">
        <w:trPr>
          <w:trHeight w:val="357"/>
        </w:trPr>
        <w:tc>
          <w:tcPr>
            <w:tcW w:w="248" w:type="pct"/>
            <w:tcBorders>
              <w:top w:val="single" w:sz="4" w:space="0" w:color="auto"/>
              <w:left w:val="single" w:sz="4" w:space="0" w:color="auto"/>
              <w:right w:val="single" w:sz="4" w:space="0" w:color="auto"/>
            </w:tcBorders>
            <w:shd w:val="clear" w:color="auto" w:fill="auto"/>
            <w:vAlign w:val="center"/>
          </w:tcPr>
          <w:p w14:paraId="4C5B9753" w14:textId="77777777" w:rsidR="00BB7BC9" w:rsidRPr="00781112" w:rsidRDefault="00BB7BC9" w:rsidP="004B75EC">
            <w:pPr>
              <w:spacing w:line="276" w:lineRule="auto"/>
              <w:jc w:val="center"/>
              <w:rPr>
                <w:rFonts w:cs="Arial"/>
                <w:color w:val="000000" w:themeColor="text1"/>
                <w:szCs w:val="16"/>
              </w:rPr>
            </w:pPr>
            <w:r w:rsidRPr="00781112">
              <w:rPr>
                <w:rFonts w:cs="Arial"/>
                <w:color w:val="000000" w:themeColor="text1"/>
                <w:szCs w:val="16"/>
              </w:rPr>
              <w:t>C</w:t>
            </w:r>
          </w:p>
        </w:tc>
        <w:tc>
          <w:tcPr>
            <w:tcW w:w="678" w:type="pct"/>
            <w:tcBorders>
              <w:top w:val="single" w:sz="4" w:space="0" w:color="auto"/>
              <w:left w:val="single" w:sz="4" w:space="0" w:color="auto"/>
              <w:right w:val="single" w:sz="4" w:space="0" w:color="auto"/>
            </w:tcBorders>
            <w:shd w:val="clear" w:color="auto" w:fill="auto"/>
            <w:vAlign w:val="center"/>
          </w:tcPr>
          <w:p w14:paraId="70C9224B" w14:textId="70CACD96" w:rsidR="00BB7BC9" w:rsidRPr="00781112" w:rsidRDefault="002B7490" w:rsidP="00A018D4">
            <w:pPr>
              <w:jc w:val="center"/>
              <w:rPr>
                <w:rFonts w:cs="Arial"/>
                <w:color w:val="000000" w:themeColor="text1"/>
                <w:szCs w:val="16"/>
              </w:rPr>
            </w:pPr>
            <w:r w:rsidRPr="00781112">
              <w:rPr>
                <w:rFonts w:cs="Arial"/>
                <w:color w:val="000000" w:themeColor="text1"/>
                <w:szCs w:val="16"/>
              </w:rPr>
              <w:t>2019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357A99" w14:textId="4C603377" w:rsidR="00BB7BC9" w:rsidRPr="00781112" w:rsidRDefault="00BB7BC9" w:rsidP="00BA3DBE">
            <w:pPr>
              <w:spacing w:line="276" w:lineRule="auto"/>
              <w:jc w:val="center"/>
              <w:rPr>
                <w:rFonts w:cs="Arial"/>
                <w:color w:val="000000" w:themeColor="text1"/>
                <w:szCs w:val="16"/>
              </w:rPr>
            </w:pPr>
            <w:r w:rsidRPr="00781112">
              <w:rPr>
                <w:rFonts w:cs="Arial"/>
                <w:color w:val="000000" w:themeColor="text1"/>
                <w:szCs w:val="16"/>
              </w:rPr>
              <w:t>Target &lt;=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1AD3A63" w14:textId="1D90F8DD" w:rsidR="00BB7BC9" w:rsidRPr="00781112" w:rsidRDefault="002B7490">
            <w:pPr>
              <w:jc w:val="center"/>
              <w:rPr>
                <w:rFonts w:cs="Arial"/>
                <w:color w:val="000000" w:themeColor="text1"/>
                <w:szCs w:val="16"/>
              </w:rPr>
            </w:pPr>
            <w:r w:rsidRPr="00781112">
              <w:rPr>
                <w:rFonts w:cs="Arial"/>
                <w:color w:val="000000" w:themeColor="text1"/>
                <w:szCs w:val="16"/>
              </w:rPr>
              <w:t>0.91%</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1DA5DD15" w14:textId="499E0DC6" w:rsidR="00BB7BC9" w:rsidRPr="00781112" w:rsidRDefault="002B7490">
            <w:pPr>
              <w:jc w:val="center"/>
              <w:rPr>
                <w:rFonts w:cs="Arial"/>
                <w:color w:val="000000" w:themeColor="text1"/>
                <w:szCs w:val="16"/>
              </w:rPr>
            </w:pPr>
            <w:r w:rsidRPr="00781112">
              <w:rPr>
                <w:rFonts w:cs="Arial"/>
                <w:color w:val="000000" w:themeColor="text1"/>
                <w:szCs w:val="16"/>
              </w:rPr>
              <w:t>0.91%</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F1F1E81" w14:textId="46D753CA" w:rsidR="00BB7BC9" w:rsidRPr="00781112" w:rsidRDefault="002B7490">
            <w:pPr>
              <w:jc w:val="center"/>
              <w:rPr>
                <w:rFonts w:cs="Arial"/>
                <w:color w:val="000000" w:themeColor="text1"/>
                <w:szCs w:val="16"/>
              </w:rPr>
            </w:pPr>
            <w:r w:rsidRPr="00781112">
              <w:rPr>
                <w:rFonts w:cs="Arial"/>
                <w:color w:val="000000" w:themeColor="text1"/>
                <w:szCs w:val="16"/>
              </w:rPr>
              <w:t>0.91%</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7E23DB0" w14:textId="434389A0" w:rsidR="00BB7BC9" w:rsidRPr="00781112" w:rsidRDefault="002B7490">
            <w:pPr>
              <w:jc w:val="center"/>
              <w:rPr>
                <w:rFonts w:cs="Arial"/>
                <w:color w:val="000000" w:themeColor="text1"/>
                <w:szCs w:val="16"/>
              </w:rPr>
            </w:pPr>
            <w:r w:rsidRPr="00781112">
              <w:rPr>
                <w:rFonts w:cs="Arial"/>
                <w:color w:val="000000" w:themeColor="text1"/>
                <w:szCs w:val="16"/>
              </w:rPr>
              <w:t>0.39%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D656878" w14:textId="58FADB64" w:rsidR="00BB7BC9" w:rsidRPr="00781112" w:rsidRDefault="002B7490">
            <w:pPr>
              <w:jc w:val="center"/>
              <w:rPr>
                <w:rFonts w:cs="Arial"/>
                <w:color w:val="000000" w:themeColor="text1"/>
                <w:szCs w:val="16"/>
              </w:rPr>
            </w:pPr>
            <w:r w:rsidRPr="00781112">
              <w:rPr>
                <w:rFonts w:cs="Arial"/>
                <w:color w:val="000000" w:themeColor="text1"/>
                <w:szCs w:val="16"/>
              </w:rPr>
              <w:t>0.38%</w:t>
            </w:r>
          </w:p>
        </w:tc>
      </w:tr>
      <w:tr w:rsidR="005F0D3B" w:rsidRPr="00781112" w14:paraId="64BAB70F" w14:textId="676A8AD8" w:rsidTr="005F5FE9">
        <w:trPr>
          <w:trHeight w:val="85"/>
        </w:trPr>
        <w:tc>
          <w:tcPr>
            <w:tcW w:w="248" w:type="pct"/>
            <w:tcBorders>
              <w:left w:val="single" w:sz="4" w:space="0" w:color="auto"/>
              <w:right w:val="single" w:sz="4" w:space="0" w:color="auto"/>
            </w:tcBorders>
            <w:shd w:val="clear" w:color="auto" w:fill="auto"/>
            <w:vAlign w:val="center"/>
          </w:tcPr>
          <w:p w14:paraId="38B08CB3" w14:textId="5CD30D2F" w:rsidR="00BB7BC9" w:rsidRPr="00781112" w:rsidRDefault="001474EC" w:rsidP="004369B2">
            <w:pPr>
              <w:spacing w:line="276" w:lineRule="auto"/>
              <w:jc w:val="center"/>
              <w:rPr>
                <w:rFonts w:cs="Arial"/>
                <w:color w:val="000000" w:themeColor="text1"/>
                <w:szCs w:val="16"/>
              </w:rPr>
            </w:pPr>
            <w:r w:rsidRPr="00781112">
              <w:rPr>
                <w:rFonts w:cs="Arial"/>
                <w:color w:val="000000" w:themeColor="text1"/>
                <w:szCs w:val="16"/>
              </w:rPr>
              <w:t>C</w:t>
            </w:r>
          </w:p>
        </w:tc>
        <w:tc>
          <w:tcPr>
            <w:tcW w:w="678" w:type="pct"/>
            <w:tcBorders>
              <w:left w:val="single" w:sz="4" w:space="0" w:color="auto"/>
              <w:right w:val="single" w:sz="4" w:space="0" w:color="auto"/>
            </w:tcBorders>
            <w:shd w:val="clear" w:color="auto" w:fill="auto"/>
            <w:vAlign w:val="center"/>
          </w:tcPr>
          <w:p w14:paraId="68128485" w14:textId="059E5B6B" w:rsidR="00BB7BC9" w:rsidRPr="00781112" w:rsidRDefault="002B7490" w:rsidP="00A018D4">
            <w:pPr>
              <w:jc w:val="center"/>
              <w:rPr>
                <w:rFonts w:cs="Arial"/>
                <w:color w:val="000000" w:themeColor="text1"/>
                <w:szCs w:val="16"/>
              </w:rPr>
            </w:pPr>
            <w:r w:rsidRPr="00781112">
              <w:rPr>
                <w:rFonts w:cs="Arial"/>
                <w:color w:val="000000" w:themeColor="text1"/>
                <w:szCs w:val="16"/>
              </w:rPr>
              <w:t>0.39%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2C5D3" w14:textId="77777777" w:rsidR="00BB7BC9" w:rsidRPr="00781112" w:rsidRDefault="00BB7BC9" w:rsidP="00BA3DBE">
            <w:pPr>
              <w:spacing w:line="276" w:lineRule="auto"/>
              <w:jc w:val="center"/>
              <w:rPr>
                <w:rFonts w:cs="Arial"/>
                <w:color w:val="000000" w:themeColor="text1"/>
                <w:szCs w:val="16"/>
              </w:rPr>
            </w:pPr>
            <w:r w:rsidRPr="00781112">
              <w:rPr>
                <w:rFonts w:cs="Arial"/>
                <w:color w:val="000000" w:themeColor="text1"/>
                <w:szCs w:val="16"/>
              </w:rPr>
              <w:t>Data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31BEB85" w14:textId="2725D64A" w:rsidR="00BB7BC9" w:rsidRPr="00781112" w:rsidRDefault="002B7490">
            <w:pPr>
              <w:jc w:val="center"/>
              <w:rPr>
                <w:rFonts w:cs="Arial"/>
                <w:color w:val="000000" w:themeColor="text1"/>
                <w:szCs w:val="16"/>
              </w:rPr>
            </w:pPr>
            <w:r w:rsidRPr="00781112">
              <w:rPr>
                <w:rFonts w:cs="Arial"/>
                <w:color w:val="000000" w:themeColor="text1"/>
                <w:szCs w:val="16"/>
              </w:rPr>
              <w:t>0.79%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1272C2D" w14:textId="719A941F" w:rsidR="00BB7BC9" w:rsidRPr="00781112" w:rsidRDefault="002B7490">
            <w:pPr>
              <w:jc w:val="center"/>
              <w:rPr>
                <w:rFonts w:cs="Arial"/>
                <w:color w:val="000000" w:themeColor="text1"/>
                <w:szCs w:val="16"/>
              </w:rPr>
            </w:pPr>
            <w:r w:rsidRPr="00781112">
              <w:rPr>
                <w:rFonts w:cs="Arial"/>
                <w:color w:val="000000" w:themeColor="text1"/>
                <w:szCs w:val="16"/>
              </w:rPr>
              <w:t>0.85%</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6D69289" w14:textId="52314ECA" w:rsidR="00BB7BC9" w:rsidRPr="00781112" w:rsidRDefault="002B7490">
            <w:pPr>
              <w:jc w:val="center"/>
              <w:rPr>
                <w:rFonts w:cs="Arial"/>
                <w:color w:val="000000" w:themeColor="text1"/>
                <w:szCs w:val="16"/>
              </w:rPr>
            </w:pPr>
            <w:r w:rsidRPr="00781112">
              <w:rPr>
                <w:rFonts w:cs="Arial"/>
                <w:color w:val="000000" w:themeColor="text1"/>
                <w:szCs w:val="16"/>
              </w:rPr>
              <w:t>0.39%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0C089F4" w14:textId="48A87A04" w:rsidR="00BB7BC9" w:rsidRPr="00781112" w:rsidRDefault="002B7490">
            <w:pPr>
              <w:jc w:val="center"/>
              <w:rPr>
                <w:rFonts w:cs="Arial"/>
                <w:color w:val="000000" w:themeColor="text1"/>
                <w:szCs w:val="16"/>
              </w:rPr>
            </w:pPr>
            <w:r w:rsidRPr="00781112">
              <w:rPr>
                <w:rFonts w:cs="Arial"/>
                <w:color w:val="000000" w:themeColor="text1"/>
                <w:szCs w:val="16"/>
              </w:rPr>
              <w:t>0.68%</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5793CF8" w14:textId="025DD51B" w:rsidR="00BB7BC9" w:rsidRPr="00781112" w:rsidRDefault="002B7490">
            <w:pPr>
              <w:jc w:val="center"/>
              <w:rPr>
                <w:rFonts w:cs="Arial"/>
                <w:color w:val="000000" w:themeColor="text1"/>
                <w:szCs w:val="16"/>
              </w:rPr>
            </w:pPr>
            <w:r w:rsidRPr="00781112">
              <w:rPr>
                <w:rFonts w:cs="Arial"/>
                <w:color w:val="000000" w:themeColor="text1"/>
                <w:szCs w:val="16"/>
              </w:rPr>
              <w:t>0.74%</w:t>
            </w:r>
          </w:p>
        </w:tc>
      </w:tr>
    </w:tbl>
    <w:p w14:paraId="4F18E18D" w14:textId="77777777" w:rsidR="004A4803" w:rsidRPr="00781112" w:rsidRDefault="004A4803" w:rsidP="004369B2">
      <w:pPr>
        <w:rPr>
          <w:color w:val="000000" w:themeColor="text1"/>
        </w:rPr>
      </w:pPr>
    </w:p>
    <w:p w14:paraId="4B421711" w14:textId="34B64243" w:rsidR="002C207A" w:rsidRPr="00781112" w:rsidRDefault="002C207A" w:rsidP="004369B2">
      <w:pPr>
        <w:rPr>
          <w:color w:val="000000" w:themeColor="text1"/>
        </w:rPr>
      </w:pPr>
      <w:r w:rsidRPr="00781112">
        <w:rPr>
          <w:b/>
          <w:color w:val="000000" w:themeColor="text1"/>
        </w:rPr>
        <w:t>Targets</w:t>
      </w:r>
    </w:p>
    <w:tbl>
      <w:tblPr>
        <w:tblW w:w="34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5TARGETS"/>
      </w:tblPr>
      <w:tblGrid>
        <w:gridCol w:w="672"/>
        <w:gridCol w:w="1691"/>
        <w:gridCol w:w="1691"/>
        <w:gridCol w:w="1691"/>
        <w:gridCol w:w="1691"/>
      </w:tblGrid>
      <w:tr w:rsidR="00B67FCE" w:rsidRPr="00781112" w14:paraId="67121B7A" w14:textId="6B1EA8E0" w:rsidTr="00845B9B">
        <w:trPr>
          <w:trHeight w:val="264"/>
        </w:trPr>
        <w:tc>
          <w:tcPr>
            <w:tcW w:w="452" w:type="pct"/>
            <w:tcBorders>
              <w:bottom w:val="single" w:sz="4" w:space="0" w:color="auto"/>
            </w:tcBorders>
            <w:shd w:val="clear" w:color="auto" w:fill="auto"/>
          </w:tcPr>
          <w:p w14:paraId="417BC1C4" w14:textId="77777777" w:rsidR="00B67FCE" w:rsidRPr="00781112" w:rsidRDefault="00B67FCE" w:rsidP="00D62058">
            <w:pPr>
              <w:jc w:val="center"/>
              <w:rPr>
                <w:b/>
                <w:color w:val="000000" w:themeColor="text1"/>
              </w:rPr>
            </w:pPr>
            <w:r w:rsidRPr="00781112">
              <w:rPr>
                <w:b/>
                <w:color w:val="000000" w:themeColor="text1"/>
              </w:rPr>
              <w:t>FFY</w:t>
            </w:r>
          </w:p>
        </w:tc>
        <w:tc>
          <w:tcPr>
            <w:tcW w:w="1137" w:type="pct"/>
            <w:shd w:val="clear" w:color="auto" w:fill="auto"/>
          </w:tcPr>
          <w:p w14:paraId="43C546D5" w14:textId="7A1B1AB1" w:rsidR="00B67FCE" w:rsidRPr="00781112" w:rsidRDefault="00B67FCE" w:rsidP="00D62058">
            <w:pPr>
              <w:jc w:val="center"/>
              <w:rPr>
                <w:b/>
                <w:color w:val="000000" w:themeColor="text1"/>
              </w:rPr>
            </w:pPr>
            <w:r w:rsidRPr="00781112">
              <w:rPr>
                <w:b/>
                <w:color w:val="000000" w:themeColor="text1"/>
              </w:rPr>
              <w:t>2022</w:t>
            </w:r>
          </w:p>
        </w:tc>
        <w:tc>
          <w:tcPr>
            <w:tcW w:w="1137" w:type="pct"/>
          </w:tcPr>
          <w:p w14:paraId="12417F21" w14:textId="04859FD1" w:rsidR="00B67FCE" w:rsidRPr="00781112" w:rsidRDefault="00B67FCE" w:rsidP="00D62058">
            <w:pPr>
              <w:jc w:val="center"/>
              <w:rPr>
                <w:b/>
                <w:color w:val="000000" w:themeColor="text1"/>
              </w:rPr>
            </w:pPr>
            <w:r w:rsidRPr="00781112">
              <w:rPr>
                <w:rFonts w:cs="Arial"/>
                <w:b/>
                <w:color w:val="000000" w:themeColor="text1"/>
                <w:szCs w:val="16"/>
              </w:rPr>
              <w:t>2023</w:t>
            </w:r>
          </w:p>
        </w:tc>
        <w:tc>
          <w:tcPr>
            <w:tcW w:w="1137" w:type="pct"/>
          </w:tcPr>
          <w:p w14:paraId="75B6E23D" w14:textId="1550C183" w:rsidR="00B67FCE" w:rsidRPr="00781112" w:rsidRDefault="00B67FCE" w:rsidP="00D62058">
            <w:pPr>
              <w:jc w:val="center"/>
              <w:rPr>
                <w:b/>
                <w:color w:val="000000" w:themeColor="text1"/>
              </w:rPr>
            </w:pPr>
            <w:r w:rsidRPr="00781112">
              <w:rPr>
                <w:rFonts w:cs="Arial"/>
                <w:b/>
                <w:color w:val="000000" w:themeColor="text1"/>
                <w:szCs w:val="16"/>
              </w:rPr>
              <w:t>2024</w:t>
            </w:r>
          </w:p>
        </w:tc>
        <w:tc>
          <w:tcPr>
            <w:tcW w:w="1137" w:type="pct"/>
          </w:tcPr>
          <w:p w14:paraId="0412226B" w14:textId="561C74FD" w:rsidR="00B67FCE" w:rsidRPr="00781112" w:rsidRDefault="00B67FCE" w:rsidP="00D62058">
            <w:pPr>
              <w:jc w:val="center"/>
              <w:rPr>
                <w:b/>
                <w:color w:val="000000" w:themeColor="text1"/>
              </w:rPr>
            </w:pPr>
            <w:r w:rsidRPr="00781112">
              <w:rPr>
                <w:rFonts w:cs="Arial"/>
                <w:b/>
                <w:color w:val="000000" w:themeColor="text1"/>
                <w:szCs w:val="16"/>
              </w:rPr>
              <w:t>2025</w:t>
            </w:r>
          </w:p>
        </w:tc>
      </w:tr>
      <w:tr w:rsidR="00B67FCE" w:rsidRPr="00781112" w14:paraId="0E725BBE" w14:textId="7C441390" w:rsidTr="00845B9B">
        <w:trPr>
          <w:trHeight w:val="270"/>
        </w:trPr>
        <w:tc>
          <w:tcPr>
            <w:tcW w:w="452" w:type="pct"/>
            <w:shd w:val="clear" w:color="auto" w:fill="auto"/>
            <w:vAlign w:val="center"/>
          </w:tcPr>
          <w:p w14:paraId="3CB4FC66" w14:textId="21A33A6B" w:rsidR="00B67FCE" w:rsidRPr="00781112" w:rsidRDefault="00B67FCE" w:rsidP="00BA3DBE">
            <w:pPr>
              <w:jc w:val="center"/>
              <w:rPr>
                <w:rFonts w:cs="Arial"/>
                <w:color w:val="000000" w:themeColor="text1"/>
                <w:szCs w:val="16"/>
              </w:rPr>
            </w:pPr>
            <w:r w:rsidRPr="00781112">
              <w:rPr>
                <w:rFonts w:cs="Arial"/>
                <w:color w:val="000000" w:themeColor="text1"/>
                <w:szCs w:val="16"/>
              </w:rPr>
              <w:t>Target A &gt;=</w:t>
            </w:r>
          </w:p>
        </w:tc>
        <w:tc>
          <w:tcPr>
            <w:tcW w:w="1137" w:type="pct"/>
            <w:shd w:val="clear" w:color="auto" w:fill="auto"/>
            <w:vAlign w:val="center"/>
          </w:tcPr>
          <w:p w14:paraId="0643B02C" w14:textId="7613B373" w:rsidR="00B67FCE" w:rsidRPr="00781112" w:rsidRDefault="00B67FCE" w:rsidP="00D62058">
            <w:pPr>
              <w:jc w:val="center"/>
              <w:rPr>
                <w:rFonts w:cs="Arial"/>
                <w:color w:val="000000" w:themeColor="text1"/>
                <w:szCs w:val="16"/>
              </w:rPr>
            </w:pPr>
            <w:r w:rsidRPr="00781112">
              <w:rPr>
                <w:rFonts w:cs="Arial"/>
                <w:color w:val="000000" w:themeColor="text1"/>
                <w:szCs w:val="16"/>
              </w:rPr>
              <w:t>51.83%</w:t>
            </w:r>
          </w:p>
        </w:tc>
        <w:tc>
          <w:tcPr>
            <w:tcW w:w="1137" w:type="pct"/>
          </w:tcPr>
          <w:p w14:paraId="5AAF7764" w14:textId="6CE24C23" w:rsidR="00B67FCE" w:rsidRPr="00781112" w:rsidRDefault="00B67FCE" w:rsidP="00D62058">
            <w:pPr>
              <w:jc w:val="center"/>
              <w:rPr>
                <w:rFonts w:cs="Arial"/>
                <w:color w:val="000000" w:themeColor="text1"/>
                <w:szCs w:val="16"/>
              </w:rPr>
            </w:pPr>
            <w:r w:rsidRPr="00781112">
              <w:rPr>
                <w:color w:val="000000" w:themeColor="text1"/>
                <w:szCs w:val="16"/>
              </w:rPr>
              <w:t>51.98%</w:t>
            </w:r>
          </w:p>
        </w:tc>
        <w:tc>
          <w:tcPr>
            <w:tcW w:w="1137" w:type="pct"/>
          </w:tcPr>
          <w:p w14:paraId="18842FBE" w14:textId="34C8AABC" w:rsidR="00B67FCE" w:rsidRPr="00781112" w:rsidRDefault="00B67FCE" w:rsidP="00D62058">
            <w:pPr>
              <w:jc w:val="center"/>
              <w:rPr>
                <w:rFonts w:cs="Arial"/>
                <w:color w:val="000000" w:themeColor="text1"/>
                <w:szCs w:val="16"/>
              </w:rPr>
            </w:pPr>
            <w:r w:rsidRPr="00781112">
              <w:rPr>
                <w:color w:val="000000" w:themeColor="text1"/>
                <w:szCs w:val="16"/>
              </w:rPr>
              <w:t>52.13%</w:t>
            </w:r>
          </w:p>
        </w:tc>
        <w:tc>
          <w:tcPr>
            <w:tcW w:w="1137" w:type="pct"/>
          </w:tcPr>
          <w:p w14:paraId="22283B88" w14:textId="78C8081B" w:rsidR="00B67FCE" w:rsidRPr="00781112" w:rsidRDefault="00B67FCE" w:rsidP="00D62058">
            <w:pPr>
              <w:jc w:val="center"/>
              <w:rPr>
                <w:rFonts w:cs="Arial"/>
                <w:color w:val="000000" w:themeColor="text1"/>
                <w:szCs w:val="16"/>
              </w:rPr>
            </w:pPr>
            <w:r w:rsidRPr="00781112">
              <w:rPr>
                <w:color w:val="000000" w:themeColor="text1"/>
                <w:szCs w:val="16"/>
              </w:rPr>
              <w:t>52.28%</w:t>
            </w:r>
          </w:p>
        </w:tc>
      </w:tr>
      <w:tr w:rsidR="00B67FCE" w:rsidRPr="00781112" w14:paraId="17C12050" w14:textId="1A45DE5B" w:rsidTr="00845B9B">
        <w:trPr>
          <w:trHeight w:val="270"/>
        </w:trPr>
        <w:tc>
          <w:tcPr>
            <w:tcW w:w="452" w:type="pct"/>
            <w:shd w:val="clear" w:color="auto" w:fill="auto"/>
            <w:vAlign w:val="center"/>
          </w:tcPr>
          <w:p w14:paraId="5FF4BE45" w14:textId="3D057CF2" w:rsidR="00B67FCE" w:rsidRPr="00781112" w:rsidRDefault="00B67FCE" w:rsidP="00BA3DBE">
            <w:pPr>
              <w:jc w:val="center"/>
              <w:rPr>
                <w:rFonts w:cs="Arial"/>
                <w:color w:val="000000" w:themeColor="text1"/>
                <w:szCs w:val="16"/>
              </w:rPr>
            </w:pPr>
            <w:r w:rsidRPr="00781112">
              <w:rPr>
                <w:rFonts w:cs="Arial"/>
                <w:color w:val="000000" w:themeColor="text1"/>
                <w:szCs w:val="16"/>
              </w:rPr>
              <w:t>Target B &lt;=</w:t>
            </w:r>
          </w:p>
        </w:tc>
        <w:tc>
          <w:tcPr>
            <w:tcW w:w="1137" w:type="pct"/>
            <w:shd w:val="clear" w:color="auto" w:fill="auto"/>
            <w:vAlign w:val="center"/>
          </w:tcPr>
          <w:p w14:paraId="4B344C1C" w14:textId="2108066A" w:rsidR="00B67FCE" w:rsidRPr="00781112" w:rsidRDefault="00B67FCE" w:rsidP="00D62058">
            <w:pPr>
              <w:jc w:val="center"/>
              <w:rPr>
                <w:rFonts w:cs="Arial"/>
                <w:color w:val="000000" w:themeColor="text1"/>
                <w:szCs w:val="16"/>
              </w:rPr>
            </w:pPr>
            <w:r w:rsidRPr="00781112">
              <w:rPr>
                <w:rFonts w:cs="Arial"/>
                <w:color w:val="000000" w:themeColor="text1"/>
                <w:szCs w:val="16"/>
              </w:rPr>
              <w:t>15.57%</w:t>
            </w:r>
          </w:p>
        </w:tc>
        <w:tc>
          <w:tcPr>
            <w:tcW w:w="1137" w:type="pct"/>
          </w:tcPr>
          <w:p w14:paraId="05700FA5" w14:textId="5CCD345F" w:rsidR="00B67FCE" w:rsidRPr="00781112" w:rsidRDefault="00B67FCE" w:rsidP="00D62058">
            <w:pPr>
              <w:jc w:val="center"/>
              <w:rPr>
                <w:rFonts w:cs="Arial"/>
                <w:color w:val="000000" w:themeColor="text1"/>
                <w:szCs w:val="16"/>
              </w:rPr>
            </w:pPr>
            <w:r w:rsidRPr="00781112">
              <w:rPr>
                <w:color w:val="000000" w:themeColor="text1"/>
                <w:szCs w:val="16"/>
              </w:rPr>
              <w:t>15.06%</w:t>
            </w:r>
          </w:p>
        </w:tc>
        <w:tc>
          <w:tcPr>
            <w:tcW w:w="1137" w:type="pct"/>
          </w:tcPr>
          <w:p w14:paraId="3714E477" w14:textId="7A435890" w:rsidR="00B67FCE" w:rsidRPr="00781112" w:rsidRDefault="00B67FCE" w:rsidP="00D62058">
            <w:pPr>
              <w:jc w:val="center"/>
              <w:rPr>
                <w:rFonts w:cs="Arial"/>
                <w:color w:val="000000" w:themeColor="text1"/>
                <w:szCs w:val="16"/>
              </w:rPr>
            </w:pPr>
            <w:r w:rsidRPr="00781112">
              <w:rPr>
                <w:color w:val="000000" w:themeColor="text1"/>
                <w:szCs w:val="16"/>
              </w:rPr>
              <w:t>14.55%</w:t>
            </w:r>
          </w:p>
        </w:tc>
        <w:tc>
          <w:tcPr>
            <w:tcW w:w="1137" w:type="pct"/>
          </w:tcPr>
          <w:p w14:paraId="378D738F" w14:textId="779494DE" w:rsidR="00B67FCE" w:rsidRPr="00781112" w:rsidRDefault="00B67FCE" w:rsidP="00D62058">
            <w:pPr>
              <w:jc w:val="center"/>
              <w:rPr>
                <w:rFonts w:cs="Arial"/>
                <w:color w:val="000000" w:themeColor="text1"/>
                <w:szCs w:val="16"/>
              </w:rPr>
            </w:pPr>
            <w:r w:rsidRPr="00781112">
              <w:rPr>
                <w:color w:val="000000" w:themeColor="text1"/>
                <w:szCs w:val="16"/>
              </w:rPr>
              <w:t>14.04%</w:t>
            </w:r>
          </w:p>
        </w:tc>
      </w:tr>
      <w:tr w:rsidR="00B67FCE" w:rsidRPr="00781112" w14:paraId="1C671552" w14:textId="2F7800FB" w:rsidTr="00845B9B">
        <w:trPr>
          <w:trHeight w:val="270"/>
        </w:trPr>
        <w:tc>
          <w:tcPr>
            <w:tcW w:w="452" w:type="pct"/>
            <w:shd w:val="clear" w:color="auto" w:fill="auto"/>
            <w:vAlign w:val="center"/>
          </w:tcPr>
          <w:p w14:paraId="5D979A7F" w14:textId="57DEB4C1" w:rsidR="00B67FCE" w:rsidRPr="00781112" w:rsidRDefault="00B67FCE" w:rsidP="00BA3DBE">
            <w:pPr>
              <w:jc w:val="center"/>
              <w:rPr>
                <w:rFonts w:cs="Arial"/>
                <w:color w:val="000000" w:themeColor="text1"/>
                <w:szCs w:val="16"/>
              </w:rPr>
            </w:pPr>
            <w:r w:rsidRPr="00781112">
              <w:rPr>
                <w:rFonts w:cs="Arial"/>
                <w:color w:val="000000" w:themeColor="text1"/>
                <w:szCs w:val="16"/>
              </w:rPr>
              <w:t>Target C &lt;=</w:t>
            </w:r>
          </w:p>
        </w:tc>
        <w:tc>
          <w:tcPr>
            <w:tcW w:w="1137" w:type="pct"/>
            <w:shd w:val="clear" w:color="auto" w:fill="auto"/>
            <w:vAlign w:val="center"/>
          </w:tcPr>
          <w:p w14:paraId="1C0EF441" w14:textId="373B29D8" w:rsidR="00B67FCE" w:rsidRPr="00781112" w:rsidRDefault="00B67FCE" w:rsidP="00D62058">
            <w:pPr>
              <w:jc w:val="center"/>
              <w:rPr>
                <w:rFonts w:cs="Arial"/>
                <w:color w:val="000000" w:themeColor="text1"/>
                <w:szCs w:val="16"/>
              </w:rPr>
            </w:pPr>
            <w:r w:rsidRPr="00781112">
              <w:rPr>
                <w:rFonts w:cs="Arial"/>
                <w:color w:val="000000" w:themeColor="text1"/>
                <w:szCs w:val="16"/>
              </w:rPr>
              <w:t>0.37%</w:t>
            </w:r>
          </w:p>
        </w:tc>
        <w:tc>
          <w:tcPr>
            <w:tcW w:w="1137" w:type="pct"/>
          </w:tcPr>
          <w:p w14:paraId="29CA6903" w14:textId="7D992541" w:rsidR="00B67FCE" w:rsidRPr="00781112" w:rsidRDefault="00B67FCE" w:rsidP="00D62058">
            <w:pPr>
              <w:jc w:val="center"/>
              <w:rPr>
                <w:rFonts w:cs="Arial"/>
                <w:color w:val="000000" w:themeColor="text1"/>
                <w:szCs w:val="16"/>
              </w:rPr>
            </w:pPr>
            <w:r w:rsidRPr="00781112">
              <w:rPr>
                <w:color w:val="000000" w:themeColor="text1"/>
                <w:szCs w:val="16"/>
              </w:rPr>
              <w:t>0.36%</w:t>
            </w:r>
          </w:p>
        </w:tc>
        <w:tc>
          <w:tcPr>
            <w:tcW w:w="1137" w:type="pct"/>
          </w:tcPr>
          <w:p w14:paraId="552B6B09" w14:textId="511FB8CF" w:rsidR="00B67FCE" w:rsidRPr="00781112" w:rsidRDefault="00B67FCE" w:rsidP="00D62058">
            <w:pPr>
              <w:jc w:val="center"/>
              <w:rPr>
                <w:rFonts w:cs="Arial"/>
                <w:color w:val="000000" w:themeColor="text1"/>
                <w:szCs w:val="16"/>
              </w:rPr>
            </w:pPr>
            <w:r w:rsidRPr="00781112">
              <w:rPr>
                <w:color w:val="000000" w:themeColor="text1"/>
                <w:szCs w:val="16"/>
              </w:rPr>
              <w:t>0.35%</w:t>
            </w:r>
          </w:p>
        </w:tc>
        <w:tc>
          <w:tcPr>
            <w:tcW w:w="1137" w:type="pct"/>
          </w:tcPr>
          <w:p w14:paraId="7DB61507" w14:textId="60C3D8B8" w:rsidR="00B67FCE" w:rsidRPr="00781112" w:rsidRDefault="00B67FCE" w:rsidP="00D62058">
            <w:pPr>
              <w:jc w:val="center"/>
              <w:rPr>
                <w:rFonts w:cs="Arial"/>
                <w:color w:val="000000" w:themeColor="text1"/>
                <w:szCs w:val="16"/>
              </w:rPr>
            </w:pPr>
            <w:r w:rsidRPr="00781112">
              <w:rPr>
                <w:color w:val="000000" w:themeColor="text1"/>
                <w:szCs w:val="16"/>
              </w:rPr>
              <w:t>0.34%</w:t>
            </w:r>
          </w:p>
        </w:tc>
      </w:tr>
    </w:tbl>
    <w:p w14:paraId="7C8EA9A0" w14:textId="74543D19" w:rsidR="002D145D" w:rsidRPr="00781112" w:rsidRDefault="002D145D" w:rsidP="004369B2">
      <w:pPr>
        <w:rPr>
          <w:b/>
          <w:color w:val="000000" w:themeColor="text1"/>
        </w:rPr>
      </w:pPr>
      <w:r w:rsidRPr="00781112">
        <w:rPr>
          <w:b/>
          <w:color w:val="000000" w:themeColor="text1"/>
        </w:rPr>
        <w:t xml:space="preserve">Targets: Description of Stakeholder Input </w:t>
      </w:r>
    </w:p>
    <w:p w14:paraId="080E6720" w14:textId="1B438EC8" w:rsidR="002D145D" w:rsidRPr="00781112" w:rsidRDefault="00D60B5F" w:rsidP="002D145D">
      <w:pPr>
        <w:rPr>
          <w:rFonts w:cs="Arial"/>
          <w:color w:val="000000" w:themeColor="text1"/>
          <w:szCs w:val="16"/>
        </w:rPr>
      </w:pPr>
      <w:r w:rsidRPr="00781112">
        <w:rPr>
          <w:rFonts w:cs="Arial"/>
          <w:color w:val="000000" w:themeColor="text1"/>
          <w:szCs w:val="16"/>
        </w:rPr>
        <w:t>Mechanism for Broad Stakeholder Input:</w:t>
        <w:br/>
        <w:t xml:space="preserve">During FFY2022, the State held stakeholder meetings as the mechanism for soliciting broad stakeholder input on the State’s targets in the SPP/APR and any subsequent revisions. The meetings were held in-person for the first time following the COVID-19 pandemic. An online option was available for stakeholders that were not able to meet in person. In the meetings, Stakeholder groups reviewed the FFY2021 data, and the baselines and targets established for FFY 2020-2025. The groups analyzed the data to determine if established baselines and targets established in the prior year, were still an accurate depiction of the state’s performance trajectory. The meetings also allowed time for stakeholders to provide input on improvement strategies and progress for the SPP/APR indicators. The State also revised its methodology for Indicators 4a and 4b in which the information was shared with stakeholders and input was sought. In addition, the State also proposed a revised LEA annual determination rubric to include target indicators. The revised rubric will be used with FFY2023 LEA annual determinations and is consistent with the information in the OSEP Question and Answer document QA 23-01. </w:t>
        <w:br/>
        <w:t/>
        <w:br/>
        <w:t xml:space="preserve">Stakeholder meeting information including meeting logistics and presentations are available on the Special Education Division (SED) website for the public and any interested individual to access. Flyers were created and LEAs were asked to disseminate the information to their staff, parents, and students. The Parent Training Centers (PTCs) were asked to share the meeting information with parents including through social media. Other groups such as tribes, IDEA panel members, the State Special Education Ombud, and other parent advocacy groups were sent invitations to each of the meetings. </w:t>
        <w:br/>
        <w:t/>
        <w:br/>
        <w:t>Any stakeholder that wanted to provide feedback but could not attend the meetings, had an opportunity to do so. On the State’s stakeholder page, individuals can click on the link and share their input with the state staff by completing an input form. The feedback received from the website is also considered when making revisions and establishing targets.</w:t>
        <w:br/>
        <w:t/>
        <w:br/>
        <w:t>Feedback Summary:</w:t>
        <w:br/>
        <w:t>For Indicators 4a and 4b, the State’s methodology was proposed to be changed to meet OSEP requirements as indicated in the FFY2021, SPP/APR OSEP Responses and Required Actions. Stakeholders were presented with the new proposed methodology in which the cell size of 10 requirement was removed, the N size was reduced to 10 and a rate ratio of 3.0 was introduced. In comparison to the previous methodology, where a cell size and N size of 10 were required as well as a risk ratio of 1 percentage point above the state rate. Stakeholders had no objections or concerns with the new methodology. The State will use the new methodology to apply to the Indicator 4 data reported in this FFY2022 State Performance Plan/Annual Performance Report (SPP/APR).</w:t>
        <w:br/>
        <w:t/>
        <w:br/>
        <w:t>Indicator 17, State Systemic Improvement Plan:</w:t>
        <w:br/>
        <w:t xml:space="preserve">1. ECLIPSE program coordinators presented data and program updates to the state IDEA Panel (members include parents, advocates, state staff, and educators) during the 2022-2023 school year. IDEA panel members were engaged in the ECLIPSE program presentation on Indicator 17 and updates. An ECLIPSE panel committee provided qualitative feedback via a Google Form survey. The panel members conveyed the program is making progress in improving literacy outcomes forward for students with disabilities. Recommendations included increasing parental involvement and increased awareness of the program's successes. </w:t>
        <w:br/>
        <w:t>2. A virtual ECLIPSE stakeholder meeting was held during the 2022-2023 school year. Stakeholders in attendance included the ECLIPSE staff, Regional Education Cooperative (REC) coordinators, Special Education Directors, and ECLIPSE school principals. Stakeholders in attendance were provided with ECLIPSE program details for the upcoming school year and verbal feedback about the ECLIPSE Program at the end of the meeting.</w:t>
        <w:br/>
        <w:t xml:space="preserve">3. Parent engagement stakeholder meetings were held in-person and through online platforms where they were provided direct literacy training via hands-on activities. If the meeting was online, materials were provided to the schools prior to the meeting. The Regional Education Cooperative (REC) contractors provided materials, activities, and training to parents in-person. The REC initiated Google Pre and Post surveys following the trainings and it indicated that the level of understanding to support reading at home increased. Parental understanding of what the predicator of reading success was increased dramatically between pre and post surveys. A summary of parent comments included that the engagement sessions provided a lot of great information, it was a fun learning experience, and they looked forward to future meetings. </w:t>
        <w:br/>
        <w:t xml:space="preserve">4. The ECLIPSE staff initiated surveys during 2022-2023 to principals and teachers through Google Forms survey. Teachers showed dramatic increases in their knowledge of the incorporation of engagement strategies with their students due to their coaches. In a pre-survey, administrators listed that professional development on literacy is one of the greatest needs of the teachers they support. They also stated that time and equitable feedback were areas of administrative need. </w:t>
        <w:br/>
        <w:t>5. An online end of year survey was sent to all ECLIPSE stakeholders as the 2022-2023 school year ended. The main consensus from the survey supported the ongoing development of the program to illustrate its impact so adjustments can be made to better inform ourselves and our stakeholders of progress.</w:t>
      </w:r>
    </w:p>
    <w:p w14:paraId="2B96DDD0" w14:textId="3E2ADE72" w:rsidR="002D145D" w:rsidRPr="00781112" w:rsidRDefault="00D60B5F" w:rsidP="002D145D">
      <w:pPr>
        <w:rPr>
          <w:rFonts w:cs="Arial"/>
          <w:color w:val="000000" w:themeColor="text1"/>
          <w:szCs w:val="16"/>
        </w:rPr>
      </w:pPr>
      <w:r w:rsidRPr="00781112">
        <w:rPr>
          <w:rFonts w:cs="Arial"/>
          <w:color w:val="000000" w:themeColor="text1"/>
          <w:szCs w:val="16"/>
        </w:rPr>
        <w:t/>
      </w:r>
    </w:p>
    <w:p w14:paraId="5251E1B0" w14:textId="77777777" w:rsidR="004A4803" w:rsidRPr="00781112" w:rsidRDefault="004A4803" w:rsidP="004369B2">
      <w:pPr>
        <w:rPr>
          <w:color w:val="000000" w:themeColor="text1"/>
        </w:rPr>
      </w:pPr>
    </w:p>
    <w:p w14:paraId="4D7BF763" w14:textId="45C93061" w:rsidR="00931A25" w:rsidRPr="00781112" w:rsidRDefault="00931A25" w:rsidP="004369B2">
      <w:pPr>
        <w:rPr>
          <w:color w:val="000000" w:themeColor="text1"/>
        </w:rPr>
      </w:pPr>
      <w:r w:rsidRPr="00781112">
        <w:rPr>
          <w:b/>
          <w:color w:val="000000" w:themeColor="text1"/>
        </w:rPr>
        <w:lastRenderedPageBreak/>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5PREPOPDATA"/>
      </w:tblPr>
      <w:tblGrid>
        <w:gridCol w:w="2605"/>
        <w:gridCol w:w="2969"/>
        <w:gridCol w:w="3332"/>
        <w:gridCol w:w="1884"/>
      </w:tblGrid>
      <w:tr w:rsidR="005C29F8" w:rsidRPr="00781112" w14:paraId="7DC625CA" w14:textId="77777777" w:rsidTr="0033429D">
        <w:trPr>
          <w:trHeight w:val="372"/>
          <w:tblHeader/>
        </w:trPr>
        <w:tc>
          <w:tcPr>
            <w:tcW w:w="1207" w:type="pct"/>
            <w:shd w:val="clear" w:color="auto" w:fill="auto"/>
          </w:tcPr>
          <w:p w14:paraId="27CE7D2A" w14:textId="77777777" w:rsidR="001C6C30" w:rsidRPr="00781112" w:rsidRDefault="001C6C30">
            <w:pPr>
              <w:spacing w:after="0"/>
              <w:jc w:val="center"/>
              <w:rPr>
                <w:rFonts w:cs="Arial"/>
                <w:b/>
                <w:color w:val="000000" w:themeColor="text1"/>
                <w:szCs w:val="16"/>
              </w:rPr>
            </w:pPr>
            <w:r w:rsidRPr="00781112">
              <w:rPr>
                <w:rFonts w:cs="Arial"/>
                <w:b/>
                <w:color w:val="000000" w:themeColor="text1"/>
                <w:szCs w:val="16"/>
              </w:rPr>
              <w:t>Source</w:t>
            </w:r>
          </w:p>
        </w:tc>
        <w:tc>
          <w:tcPr>
            <w:tcW w:w="1376" w:type="pct"/>
            <w:shd w:val="clear" w:color="auto" w:fill="auto"/>
          </w:tcPr>
          <w:p w14:paraId="37A472D3" w14:textId="77777777" w:rsidR="001C6C30" w:rsidRPr="00781112" w:rsidRDefault="001C6C30">
            <w:pPr>
              <w:spacing w:after="0"/>
              <w:jc w:val="center"/>
              <w:rPr>
                <w:rFonts w:cs="Arial"/>
                <w:b/>
                <w:color w:val="000000" w:themeColor="text1"/>
                <w:szCs w:val="16"/>
              </w:rPr>
            </w:pPr>
            <w:r w:rsidRPr="00781112">
              <w:rPr>
                <w:rFonts w:cs="Arial"/>
                <w:b/>
                <w:color w:val="000000" w:themeColor="text1"/>
                <w:szCs w:val="16"/>
              </w:rPr>
              <w:t>Date</w:t>
            </w:r>
          </w:p>
        </w:tc>
        <w:tc>
          <w:tcPr>
            <w:tcW w:w="1544" w:type="pct"/>
            <w:shd w:val="clear" w:color="auto" w:fill="auto"/>
          </w:tcPr>
          <w:p w14:paraId="3AD5D5D4" w14:textId="77777777" w:rsidR="001C6C30" w:rsidRPr="00781112" w:rsidRDefault="001C6C30">
            <w:pPr>
              <w:spacing w:after="0"/>
              <w:jc w:val="center"/>
              <w:rPr>
                <w:rFonts w:cs="Arial"/>
                <w:b/>
                <w:color w:val="000000" w:themeColor="text1"/>
                <w:szCs w:val="16"/>
              </w:rPr>
            </w:pPr>
            <w:r w:rsidRPr="00781112">
              <w:rPr>
                <w:rFonts w:cs="Arial"/>
                <w:b/>
                <w:color w:val="000000" w:themeColor="text1"/>
                <w:szCs w:val="16"/>
              </w:rPr>
              <w:t>Description</w:t>
            </w:r>
          </w:p>
        </w:tc>
        <w:tc>
          <w:tcPr>
            <w:tcW w:w="873" w:type="pct"/>
            <w:shd w:val="clear" w:color="auto" w:fill="auto"/>
          </w:tcPr>
          <w:p w14:paraId="3879034D" w14:textId="77777777" w:rsidR="001C6C30" w:rsidRPr="00781112" w:rsidRDefault="001C6C30">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701A6E97" w14:textId="77777777" w:rsidTr="00AB0D6A">
        <w:trPr>
          <w:trHeight w:val="380"/>
        </w:trPr>
        <w:tc>
          <w:tcPr>
            <w:tcW w:w="1207" w:type="pct"/>
            <w:shd w:val="clear" w:color="auto" w:fill="auto"/>
            <w:vAlign w:val="center"/>
          </w:tcPr>
          <w:p w14:paraId="35A4BC35" w14:textId="73E52F94" w:rsidR="003C1852" w:rsidRPr="00781112" w:rsidRDefault="002B7490">
            <w:pPr>
              <w:jc w:val="center"/>
              <w:rPr>
                <w:rFonts w:cs="Arial"/>
                <w:color w:val="000000" w:themeColor="text1"/>
                <w:szCs w:val="16"/>
              </w:rPr>
            </w:pPr>
            <w:r w:rsidRPr="00781112">
              <w:rPr>
                <w:rFonts w:cs="Arial"/>
                <w:color w:val="000000" w:themeColor="text1"/>
                <w:szCs w:val="16"/>
              </w:rPr>
              <w:t>SY 2022-23 Child Count/Educational Environment Data Groups (EDFacts file spec FS002; Data group 74)</w:t>
            </w:r>
          </w:p>
        </w:tc>
        <w:tc>
          <w:tcPr>
            <w:tcW w:w="1376" w:type="pct"/>
            <w:shd w:val="clear" w:color="auto" w:fill="auto"/>
            <w:vAlign w:val="center"/>
          </w:tcPr>
          <w:p w14:paraId="0BD5009E" w14:textId="3A5F2E3D" w:rsidR="003C1852" w:rsidRPr="00781112" w:rsidRDefault="00FB785D">
            <w:pPr>
              <w:jc w:val="center"/>
              <w:rPr>
                <w:rFonts w:cs="Arial"/>
                <w:color w:val="000000" w:themeColor="text1"/>
                <w:szCs w:val="16"/>
              </w:rPr>
            </w:pPr>
            <w:r w:rsidRPr="00781112">
              <w:rPr>
                <w:rFonts w:cs="Arial"/>
                <w:color w:val="000000" w:themeColor="text1"/>
                <w:szCs w:val="16"/>
              </w:rPr>
              <w:t>08/30/2023</w:t>
            </w:r>
          </w:p>
        </w:tc>
        <w:tc>
          <w:tcPr>
            <w:tcW w:w="1544" w:type="pct"/>
            <w:shd w:val="clear" w:color="auto" w:fill="auto"/>
            <w:vAlign w:val="center"/>
          </w:tcPr>
          <w:p w14:paraId="05856C31" w14:textId="605373FB" w:rsidR="003C1852" w:rsidRPr="00781112" w:rsidRDefault="003C1852" w:rsidP="00E0321D">
            <w:pPr>
              <w:jc w:val="center"/>
              <w:rPr>
                <w:rFonts w:cs="Arial"/>
                <w:color w:val="000000" w:themeColor="text1"/>
                <w:szCs w:val="16"/>
              </w:rPr>
            </w:pPr>
            <w:r w:rsidRPr="00781112">
              <w:rPr>
                <w:rFonts w:cs="Arial"/>
                <w:color w:val="000000" w:themeColor="text1"/>
                <w:szCs w:val="16"/>
              </w:rPr>
              <w:t xml:space="preserve">Total number of children with IEPs aged </w:t>
            </w:r>
            <w:r w:rsidR="00185BA9" w:rsidRPr="00781112">
              <w:rPr>
                <w:rFonts w:cs="Arial"/>
                <w:szCs w:val="16"/>
              </w:rPr>
              <w:t>5 (kindergarten)</w:t>
            </w:r>
            <w:r w:rsidRPr="00781112">
              <w:rPr>
                <w:rFonts w:cs="Arial"/>
                <w:color w:val="000000" w:themeColor="text1"/>
                <w:szCs w:val="16"/>
              </w:rPr>
              <w:t xml:space="preserve"> through 21</w:t>
            </w:r>
          </w:p>
        </w:tc>
        <w:tc>
          <w:tcPr>
            <w:tcW w:w="873" w:type="pct"/>
            <w:shd w:val="clear" w:color="auto" w:fill="auto"/>
            <w:vAlign w:val="center"/>
          </w:tcPr>
          <w:p w14:paraId="6A944F84" w14:textId="31582347" w:rsidR="003C1852" w:rsidRPr="00781112" w:rsidRDefault="002B7490" w:rsidP="00E0321D">
            <w:pPr>
              <w:jc w:val="center"/>
              <w:rPr>
                <w:rFonts w:cs="Arial"/>
                <w:color w:val="000000" w:themeColor="text1"/>
                <w:szCs w:val="16"/>
              </w:rPr>
            </w:pPr>
            <w:r w:rsidRPr="00781112">
              <w:rPr>
                <w:rFonts w:cs="Arial"/>
                <w:color w:val="000000" w:themeColor="text1"/>
                <w:szCs w:val="16"/>
              </w:rPr>
              <w:t>52,848</w:t>
            </w:r>
          </w:p>
        </w:tc>
      </w:tr>
      <w:tr w:rsidR="005C29F8" w:rsidRPr="00781112" w14:paraId="774B0393" w14:textId="77777777" w:rsidTr="00AB0D6A">
        <w:trPr>
          <w:trHeight w:val="380"/>
        </w:trPr>
        <w:tc>
          <w:tcPr>
            <w:tcW w:w="1207" w:type="pct"/>
            <w:shd w:val="clear" w:color="auto" w:fill="auto"/>
            <w:vAlign w:val="center"/>
          </w:tcPr>
          <w:p w14:paraId="41118E4B" w14:textId="707D9C2B" w:rsidR="008A3DC6" w:rsidRPr="00781112" w:rsidRDefault="00FB785D">
            <w:pPr>
              <w:jc w:val="center"/>
              <w:rPr>
                <w:rFonts w:cs="Arial"/>
                <w:color w:val="000000" w:themeColor="text1"/>
                <w:szCs w:val="16"/>
              </w:rPr>
            </w:pPr>
            <w:r w:rsidRPr="00781112">
              <w:rPr>
                <w:rFonts w:cs="Arial"/>
                <w:color w:val="000000" w:themeColor="text1"/>
                <w:szCs w:val="16"/>
              </w:rPr>
              <w:t>SY 2022-23 Child Count/Educational Environment Data Groups (EDFacts file spec FS002; Data group 74)</w:t>
            </w:r>
          </w:p>
        </w:tc>
        <w:tc>
          <w:tcPr>
            <w:tcW w:w="1376" w:type="pct"/>
            <w:shd w:val="clear" w:color="auto" w:fill="auto"/>
            <w:vAlign w:val="center"/>
          </w:tcPr>
          <w:p w14:paraId="598C9B67" w14:textId="1DDD1ECD" w:rsidR="008A3DC6" w:rsidRPr="00781112" w:rsidRDefault="00FB785D">
            <w:pPr>
              <w:jc w:val="center"/>
              <w:rPr>
                <w:rFonts w:cs="Arial"/>
                <w:color w:val="000000" w:themeColor="text1"/>
                <w:szCs w:val="16"/>
              </w:rPr>
            </w:pPr>
            <w:r w:rsidRPr="00781112">
              <w:rPr>
                <w:rFonts w:cs="Arial"/>
                <w:color w:val="000000" w:themeColor="text1"/>
                <w:szCs w:val="16"/>
              </w:rPr>
              <w:t>08/30/2023</w:t>
            </w:r>
          </w:p>
        </w:tc>
        <w:tc>
          <w:tcPr>
            <w:tcW w:w="1544" w:type="pct"/>
            <w:shd w:val="clear" w:color="auto" w:fill="auto"/>
            <w:vAlign w:val="center"/>
          </w:tcPr>
          <w:p w14:paraId="02329530" w14:textId="7C955459"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A. Number of children with IEPs aged </w:t>
            </w:r>
            <w:r w:rsidR="00185BA9" w:rsidRPr="00781112">
              <w:rPr>
                <w:rFonts w:cs="Arial"/>
                <w:szCs w:val="16"/>
              </w:rPr>
              <w:t>5 (kindergarten)</w:t>
            </w:r>
            <w:r w:rsidRPr="00781112">
              <w:rPr>
                <w:rFonts w:cs="Arial"/>
                <w:color w:val="000000" w:themeColor="text1"/>
                <w:szCs w:val="16"/>
              </w:rPr>
              <w:t xml:space="preserve"> through 21 inside the regular class 80% or more of the day</w:t>
            </w:r>
          </w:p>
        </w:tc>
        <w:tc>
          <w:tcPr>
            <w:tcW w:w="873" w:type="pct"/>
            <w:shd w:val="clear" w:color="auto" w:fill="auto"/>
            <w:vAlign w:val="center"/>
          </w:tcPr>
          <w:p w14:paraId="699212F3" w14:textId="450EBDBF" w:rsidR="008A3DC6" w:rsidRPr="00781112" w:rsidRDefault="002B7490" w:rsidP="00E0321D">
            <w:pPr>
              <w:jc w:val="center"/>
              <w:rPr>
                <w:rFonts w:cs="Arial"/>
                <w:color w:val="000000" w:themeColor="text1"/>
                <w:szCs w:val="16"/>
              </w:rPr>
            </w:pPr>
            <w:r w:rsidRPr="00781112">
              <w:rPr>
                <w:rFonts w:cs="Arial"/>
                <w:color w:val="000000" w:themeColor="text1"/>
                <w:szCs w:val="16"/>
              </w:rPr>
              <w:t>28,020</w:t>
            </w:r>
          </w:p>
        </w:tc>
      </w:tr>
      <w:tr w:rsidR="005C29F8" w:rsidRPr="00781112" w14:paraId="1BE24412" w14:textId="77777777" w:rsidTr="00AB0D6A">
        <w:trPr>
          <w:trHeight w:val="380"/>
        </w:trPr>
        <w:tc>
          <w:tcPr>
            <w:tcW w:w="1207" w:type="pct"/>
            <w:shd w:val="clear" w:color="auto" w:fill="auto"/>
            <w:vAlign w:val="center"/>
          </w:tcPr>
          <w:p w14:paraId="13D524C0" w14:textId="46F357A5" w:rsidR="008A3DC6" w:rsidRPr="00781112" w:rsidRDefault="00FB785D">
            <w:pPr>
              <w:jc w:val="center"/>
              <w:rPr>
                <w:rFonts w:cs="Arial"/>
                <w:color w:val="000000" w:themeColor="text1"/>
                <w:szCs w:val="16"/>
              </w:rPr>
            </w:pPr>
            <w:r w:rsidRPr="00781112">
              <w:rPr>
                <w:rFonts w:cs="Arial"/>
                <w:color w:val="000000" w:themeColor="text1"/>
                <w:szCs w:val="16"/>
              </w:rPr>
              <w:t>SY 2022-23 Child Count/Educational Environment Data Groups (EDFacts file spec FS002; Data group 74)</w:t>
            </w:r>
          </w:p>
        </w:tc>
        <w:tc>
          <w:tcPr>
            <w:tcW w:w="1376" w:type="pct"/>
            <w:shd w:val="clear" w:color="auto" w:fill="auto"/>
            <w:vAlign w:val="center"/>
          </w:tcPr>
          <w:p w14:paraId="72EFA773" w14:textId="00761F20" w:rsidR="008A3DC6" w:rsidRPr="00781112" w:rsidRDefault="00FB785D">
            <w:pPr>
              <w:jc w:val="center"/>
              <w:rPr>
                <w:rFonts w:cs="Arial"/>
                <w:color w:val="000000" w:themeColor="text1"/>
                <w:szCs w:val="16"/>
              </w:rPr>
            </w:pPr>
            <w:r w:rsidRPr="00781112">
              <w:rPr>
                <w:rFonts w:cs="Arial"/>
                <w:color w:val="000000" w:themeColor="text1"/>
                <w:szCs w:val="16"/>
              </w:rPr>
              <w:t>08/30/2023</w:t>
            </w:r>
          </w:p>
        </w:tc>
        <w:tc>
          <w:tcPr>
            <w:tcW w:w="1544" w:type="pct"/>
            <w:shd w:val="clear" w:color="auto" w:fill="auto"/>
            <w:vAlign w:val="center"/>
          </w:tcPr>
          <w:p w14:paraId="6EF7CE7A" w14:textId="07D1D751"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B. Number of children with IEPs aged </w:t>
            </w:r>
            <w:r w:rsidR="00185BA9" w:rsidRPr="00781112">
              <w:rPr>
                <w:rFonts w:cs="Arial"/>
                <w:szCs w:val="16"/>
              </w:rPr>
              <w:t>5 (kindergarten)</w:t>
            </w:r>
            <w:r w:rsidR="00185BA9" w:rsidRPr="00781112">
              <w:rPr>
                <w:rFonts w:cs="Arial"/>
                <w:color w:val="000000" w:themeColor="text1"/>
                <w:szCs w:val="16"/>
              </w:rPr>
              <w:t xml:space="preserve"> </w:t>
            </w:r>
            <w:r w:rsidRPr="00781112">
              <w:rPr>
                <w:rFonts w:cs="Arial"/>
                <w:color w:val="000000" w:themeColor="text1"/>
                <w:szCs w:val="16"/>
              </w:rPr>
              <w:t>through 21 inside the regular class less than 40% of the day</w:t>
            </w:r>
          </w:p>
        </w:tc>
        <w:tc>
          <w:tcPr>
            <w:tcW w:w="873" w:type="pct"/>
            <w:shd w:val="clear" w:color="auto" w:fill="auto"/>
            <w:vAlign w:val="center"/>
          </w:tcPr>
          <w:p w14:paraId="33B90725" w14:textId="1FBE54FE" w:rsidR="008A3DC6" w:rsidRPr="00781112" w:rsidRDefault="002B7490" w:rsidP="00E0321D">
            <w:pPr>
              <w:jc w:val="center"/>
              <w:rPr>
                <w:rFonts w:cs="Arial"/>
                <w:color w:val="000000" w:themeColor="text1"/>
                <w:szCs w:val="16"/>
              </w:rPr>
            </w:pPr>
            <w:r w:rsidRPr="00781112">
              <w:rPr>
                <w:rFonts w:cs="Arial"/>
                <w:color w:val="000000" w:themeColor="text1"/>
                <w:szCs w:val="16"/>
              </w:rPr>
              <w:t>8,311</w:t>
            </w:r>
          </w:p>
        </w:tc>
      </w:tr>
      <w:tr w:rsidR="005C29F8" w:rsidRPr="00781112" w14:paraId="17A5A2B3" w14:textId="77777777" w:rsidTr="00AB0D6A">
        <w:trPr>
          <w:trHeight w:val="380"/>
        </w:trPr>
        <w:tc>
          <w:tcPr>
            <w:tcW w:w="1207" w:type="pct"/>
            <w:shd w:val="clear" w:color="auto" w:fill="auto"/>
            <w:vAlign w:val="center"/>
          </w:tcPr>
          <w:p w14:paraId="525A2ED8" w14:textId="4E94BB5B" w:rsidR="008A3DC6" w:rsidRPr="00781112" w:rsidRDefault="00FB785D">
            <w:pPr>
              <w:jc w:val="center"/>
              <w:rPr>
                <w:rFonts w:cs="Arial"/>
                <w:color w:val="000000" w:themeColor="text1"/>
                <w:szCs w:val="16"/>
              </w:rPr>
            </w:pPr>
            <w:r w:rsidRPr="00781112">
              <w:rPr>
                <w:rFonts w:cs="Arial"/>
                <w:color w:val="000000" w:themeColor="text1"/>
                <w:szCs w:val="16"/>
              </w:rPr>
              <w:t>SY 2022-23 Child Count/Educational Environment Data Groups (EDFacts file spec FS002; Data group 74)</w:t>
            </w:r>
          </w:p>
        </w:tc>
        <w:tc>
          <w:tcPr>
            <w:tcW w:w="1376" w:type="pct"/>
            <w:shd w:val="clear" w:color="auto" w:fill="auto"/>
            <w:vAlign w:val="center"/>
          </w:tcPr>
          <w:p w14:paraId="68C3F92C" w14:textId="3AE47CC2" w:rsidR="008A3DC6" w:rsidRPr="00781112" w:rsidRDefault="00FB785D">
            <w:pPr>
              <w:jc w:val="center"/>
              <w:rPr>
                <w:rFonts w:cs="Arial"/>
                <w:color w:val="000000" w:themeColor="text1"/>
                <w:szCs w:val="16"/>
              </w:rPr>
            </w:pPr>
            <w:r w:rsidRPr="00781112">
              <w:rPr>
                <w:rFonts w:cs="Arial"/>
                <w:color w:val="000000" w:themeColor="text1"/>
                <w:szCs w:val="16"/>
              </w:rPr>
              <w:t>08/30/2023</w:t>
            </w:r>
          </w:p>
        </w:tc>
        <w:tc>
          <w:tcPr>
            <w:tcW w:w="1544" w:type="pct"/>
            <w:shd w:val="clear" w:color="auto" w:fill="auto"/>
            <w:vAlign w:val="center"/>
          </w:tcPr>
          <w:p w14:paraId="413AEB9E" w14:textId="1B537E25"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c1. Number of children with IEPs aged </w:t>
            </w:r>
            <w:r w:rsidR="00185BA9" w:rsidRPr="00781112">
              <w:rPr>
                <w:rFonts w:cs="Arial"/>
                <w:szCs w:val="16"/>
              </w:rPr>
              <w:t>5 (kindergarten)</w:t>
            </w:r>
            <w:r w:rsidRPr="00781112">
              <w:rPr>
                <w:rFonts w:cs="Arial"/>
                <w:color w:val="000000" w:themeColor="text1"/>
                <w:szCs w:val="16"/>
              </w:rPr>
              <w:t xml:space="preserve"> through 21 in separate </w:t>
            </w:r>
            <w:r w:rsidR="00185BA9" w:rsidRPr="00781112">
              <w:rPr>
                <w:rFonts w:cs="Arial"/>
                <w:color w:val="000000" w:themeColor="text1"/>
                <w:szCs w:val="16"/>
              </w:rPr>
              <w:t>s</w:t>
            </w:r>
            <w:r w:rsidRPr="00781112">
              <w:rPr>
                <w:rFonts w:cs="Arial"/>
                <w:color w:val="000000" w:themeColor="text1"/>
                <w:szCs w:val="16"/>
              </w:rPr>
              <w:t>chools</w:t>
            </w:r>
          </w:p>
        </w:tc>
        <w:tc>
          <w:tcPr>
            <w:tcW w:w="873" w:type="pct"/>
            <w:shd w:val="clear" w:color="auto" w:fill="auto"/>
            <w:vAlign w:val="center"/>
          </w:tcPr>
          <w:p w14:paraId="0C6DF60D" w14:textId="1A57B1C5" w:rsidR="008A3DC6" w:rsidRPr="00781112" w:rsidRDefault="002B7490" w:rsidP="00E0321D">
            <w:pPr>
              <w:jc w:val="center"/>
              <w:rPr>
                <w:rFonts w:cs="Arial"/>
                <w:color w:val="000000" w:themeColor="text1"/>
                <w:szCs w:val="16"/>
              </w:rPr>
            </w:pPr>
            <w:r w:rsidRPr="00781112">
              <w:rPr>
                <w:rFonts w:cs="Arial"/>
                <w:color w:val="000000" w:themeColor="text1"/>
                <w:szCs w:val="16"/>
              </w:rPr>
              <w:t>183</w:t>
            </w:r>
          </w:p>
        </w:tc>
      </w:tr>
      <w:tr w:rsidR="005C29F8" w:rsidRPr="00781112" w14:paraId="7C327020" w14:textId="77777777" w:rsidTr="00AB0D6A">
        <w:trPr>
          <w:trHeight w:val="380"/>
        </w:trPr>
        <w:tc>
          <w:tcPr>
            <w:tcW w:w="1207" w:type="pct"/>
            <w:shd w:val="clear" w:color="auto" w:fill="auto"/>
            <w:vAlign w:val="center"/>
          </w:tcPr>
          <w:p w14:paraId="485F7D93" w14:textId="6A92F697" w:rsidR="008A3DC6" w:rsidRPr="00781112" w:rsidRDefault="00FB785D">
            <w:pPr>
              <w:jc w:val="center"/>
              <w:rPr>
                <w:rFonts w:cs="Arial"/>
                <w:color w:val="000000" w:themeColor="text1"/>
                <w:szCs w:val="16"/>
              </w:rPr>
            </w:pPr>
            <w:r w:rsidRPr="00781112">
              <w:rPr>
                <w:rFonts w:cs="Arial"/>
                <w:color w:val="000000" w:themeColor="text1"/>
                <w:szCs w:val="16"/>
              </w:rPr>
              <w:t>SY 2022-23 Child Count/Educational Environment Data Groups (EDFacts file spec FS002; Data group 74)</w:t>
            </w:r>
          </w:p>
        </w:tc>
        <w:tc>
          <w:tcPr>
            <w:tcW w:w="1376" w:type="pct"/>
            <w:shd w:val="clear" w:color="auto" w:fill="auto"/>
            <w:vAlign w:val="center"/>
          </w:tcPr>
          <w:p w14:paraId="1261545C" w14:textId="230AF013" w:rsidR="008A3DC6" w:rsidRPr="00781112" w:rsidRDefault="00FB785D">
            <w:pPr>
              <w:jc w:val="center"/>
              <w:rPr>
                <w:rFonts w:cs="Arial"/>
                <w:color w:val="000000" w:themeColor="text1"/>
                <w:szCs w:val="16"/>
              </w:rPr>
            </w:pPr>
            <w:r w:rsidRPr="00781112">
              <w:rPr>
                <w:rFonts w:cs="Arial"/>
                <w:color w:val="000000" w:themeColor="text1"/>
                <w:szCs w:val="16"/>
              </w:rPr>
              <w:t>08/30/2023</w:t>
            </w:r>
          </w:p>
        </w:tc>
        <w:tc>
          <w:tcPr>
            <w:tcW w:w="1544" w:type="pct"/>
            <w:shd w:val="clear" w:color="auto" w:fill="auto"/>
            <w:vAlign w:val="center"/>
          </w:tcPr>
          <w:p w14:paraId="3AEE0CBD" w14:textId="6D1B0F8E"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c2. Number of children with IEPs aged </w:t>
            </w:r>
            <w:r w:rsidR="00185BA9" w:rsidRPr="00781112">
              <w:rPr>
                <w:rFonts w:cs="Arial"/>
                <w:szCs w:val="16"/>
              </w:rPr>
              <w:t>5 (kindergarten)</w:t>
            </w:r>
            <w:r w:rsidR="00185BA9" w:rsidRPr="00781112">
              <w:rPr>
                <w:rFonts w:cs="Arial"/>
                <w:color w:val="000000" w:themeColor="text1"/>
                <w:szCs w:val="16"/>
              </w:rPr>
              <w:t xml:space="preserve"> </w:t>
            </w:r>
            <w:r w:rsidRPr="00781112">
              <w:rPr>
                <w:rFonts w:cs="Arial"/>
                <w:color w:val="000000" w:themeColor="text1"/>
                <w:szCs w:val="16"/>
              </w:rPr>
              <w:t>through 21 in residential facilities</w:t>
            </w:r>
          </w:p>
        </w:tc>
        <w:tc>
          <w:tcPr>
            <w:tcW w:w="873" w:type="pct"/>
            <w:shd w:val="clear" w:color="auto" w:fill="auto"/>
            <w:vAlign w:val="center"/>
          </w:tcPr>
          <w:p w14:paraId="596B74CB" w14:textId="6136D9E8" w:rsidR="008A3DC6" w:rsidRPr="00781112" w:rsidRDefault="002B7490" w:rsidP="00E0321D">
            <w:pPr>
              <w:jc w:val="center"/>
              <w:rPr>
                <w:rFonts w:cs="Arial"/>
                <w:color w:val="000000" w:themeColor="text1"/>
                <w:szCs w:val="16"/>
              </w:rPr>
            </w:pPr>
            <w:r w:rsidRPr="00781112">
              <w:rPr>
                <w:rFonts w:cs="Arial"/>
                <w:color w:val="000000" w:themeColor="text1"/>
                <w:szCs w:val="16"/>
              </w:rPr>
              <w:t>25</w:t>
            </w:r>
          </w:p>
        </w:tc>
      </w:tr>
      <w:tr w:rsidR="005C29F8" w:rsidRPr="00781112" w14:paraId="16FD0FC0" w14:textId="77777777" w:rsidTr="00AB0D6A">
        <w:trPr>
          <w:trHeight w:val="380"/>
        </w:trPr>
        <w:tc>
          <w:tcPr>
            <w:tcW w:w="1207" w:type="pct"/>
            <w:shd w:val="clear" w:color="auto" w:fill="auto"/>
            <w:vAlign w:val="center"/>
          </w:tcPr>
          <w:p w14:paraId="59885F77" w14:textId="75A8CDFC" w:rsidR="008A3DC6" w:rsidRPr="00781112" w:rsidRDefault="00FB785D">
            <w:pPr>
              <w:jc w:val="center"/>
              <w:rPr>
                <w:rFonts w:cs="Arial"/>
                <w:color w:val="000000" w:themeColor="text1"/>
                <w:szCs w:val="16"/>
              </w:rPr>
            </w:pPr>
            <w:r w:rsidRPr="00781112">
              <w:rPr>
                <w:rFonts w:cs="Arial"/>
                <w:color w:val="000000" w:themeColor="text1"/>
                <w:szCs w:val="16"/>
              </w:rPr>
              <w:t>SY 2022-23 Child Count/Educational Environment Data Groups (EDFacts file spec FS002; Data group 74)</w:t>
            </w:r>
          </w:p>
        </w:tc>
        <w:tc>
          <w:tcPr>
            <w:tcW w:w="1376" w:type="pct"/>
            <w:shd w:val="clear" w:color="auto" w:fill="auto"/>
            <w:vAlign w:val="center"/>
          </w:tcPr>
          <w:p w14:paraId="5FC32D0C" w14:textId="67F32884" w:rsidR="008A3DC6" w:rsidRPr="00781112" w:rsidRDefault="00FB785D">
            <w:pPr>
              <w:jc w:val="center"/>
              <w:rPr>
                <w:rFonts w:cs="Arial"/>
                <w:color w:val="000000" w:themeColor="text1"/>
                <w:szCs w:val="16"/>
              </w:rPr>
            </w:pPr>
            <w:r w:rsidRPr="00781112">
              <w:rPr>
                <w:rFonts w:cs="Arial"/>
                <w:color w:val="000000" w:themeColor="text1"/>
                <w:szCs w:val="16"/>
              </w:rPr>
              <w:t>08/30/2023</w:t>
            </w:r>
          </w:p>
        </w:tc>
        <w:tc>
          <w:tcPr>
            <w:tcW w:w="1544" w:type="pct"/>
            <w:shd w:val="clear" w:color="auto" w:fill="auto"/>
            <w:vAlign w:val="center"/>
          </w:tcPr>
          <w:p w14:paraId="5DA416E0" w14:textId="4230AAAE"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c3. Number of children with IEPs aged </w:t>
            </w:r>
            <w:r w:rsidR="00185BA9" w:rsidRPr="00781112">
              <w:rPr>
                <w:rFonts w:cs="Arial"/>
                <w:szCs w:val="16"/>
              </w:rPr>
              <w:t>5 (kindergarten)</w:t>
            </w:r>
            <w:r w:rsidRPr="00781112">
              <w:rPr>
                <w:rFonts w:cs="Arial"/>
                <w:color w:val="000000" w:themeColor="text1"/>
                <w:szCs w:val="16"/>
              </w:rPr>
              <w:t xml:space="preserve"> through 21 in homebound/hospital placements</w:t>
            </w:r>
          </w:p>
        </w:tc>
        <w:tc>
          <w:tcPr>
            <w:tcW w:w="873" w:type="pct"/>
            <w:shd w:val="clear" w:color="auto" w:fill="auto"/>
            <w:vAlign w:val="center"/>
          </w:tcPr>
          <w:p w14:paraId="7B0E7054" w14:textId="49D56445" w:rsidR="008A3DC6" w:rsidRPr="00781112" w:rsidRDefault="002B7490" w:rsidP="00E0321D">
            <w:pPr>
              <w:jc w:val="center"/>
              <w:rPr>
                <w:rFonts w:cs="Arial"/>
                <w:color w:val="000000" w:themeColor="text1"/>
                <w:szCs w:val="16"/>
              </w:rPr>
            </w:pPr>
            <w:r w:rsidRPr="00781112">
              <w:rPr>
                <w:rFonts w:cs="Arial"/>
                <w:color w:val="000000" w:themeColor="text1"/>
                <w:szCs w:val="16"/>
              </w:rPr>
              <w:t>115</w:t>
            </w:r>
          </w:p>
        </w:tc>
      </w:tr>
    </w:tbl>
    <w:p w14:paraId="5475FEBE" w14:textId="3E3663D3" w:rsidR="004A4803" w:rsidRPr="00781112" w:rsidRDefault="004A4803">
      <w:pPr>
        <w:rPr>
          <w:color w:val="000000" w:themeColor="text1"/>
        </w:rPr>
      </w:pPr>
    </w:p>
    <w:p w14:paraId="47A0647A" w14:textId="20BD9700" w:rsidR="00D60B5F" w:rsidRPr="00781112" w:rsidRDefault="00055C7A">
      <w:pPr>
        <w:rPr>
          <w:b/>
          <w:color w:val="000000" w:themeColor="text1"/>
        </w:rPr>
      </w:pPr>
      <w:r w:rsidRPr="00781112">
        <w:rPr>
          <w:b/>
          <w:color w:val="000000" w:themeColor="text1"/>
        </w:rPr>
        <w:t>Select yes if the data reported in this indicator are not the same as the State’s data reported under section 618 of the IDEA.</w:t>
      </w:r>
    </w:p>
    <w:p w14:paraId="7B71CB67" w14:textId="6BBC3C80" w:rsidR="00D60B5F" w:rsidRPr="00781112" w:rsidRDefault="00D60B5F">
      <w:pPr>
        <w:rPr>
          <w:color w:val="000000" w:themeColor="text1"/>
        </w:rPr>
      </w:pPr>
      <w:r w:rsidRPr="00781112">
        <w:rPr>
          <w:color w:val="000000" w:themeColor="text1"/>
        </w:rPr>
        <w:t>NO</w:t>
      </w:r>
    </w:p>
    <w:p w14:paraId="14F4B2C8" w14:textId="77777777" w:rsidR="0037431B" w:rsidRPr="00781112" w:rsidRDefault="0037431B" w:rsidP="004369B2">
      <w:pPr>
        <w:rPr>
          <w:color w:val="000000" w:themeColor="text1"/>
        </w:rPr>
      </w:pPr>
    </w:p>
    <w:p w14:paraId="7EFB6535" w14:textId="53AEF2F0" w:rsidR="00805DD3" w:rsidRPr="00781112" w:rsidRDefault="0047313F">
      <w:pPr>
        <w:rPr>
          <w:b/>
          <w:color w:val="000000" w:themeColor="text1"/>
        </w:rPr>
      </w:pPr>
      <w:r>
        <w:rPr>
          <w:b/>
          <w:color w:val="000000" w:themeColor="text1"/>
        </w:rPr>
        <w:t>FFY 2022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5CFFYAPRDATA1"/>
      </w:tblPr>
      <w:tblGrid>
        <w:gridCol w:w="2245"/>
        <w:gridCol w:w="1395"/>
        <w:gridCol w:w="1397"/>
        <w:gridCol w:w="1151"/>
        <w:gridCol w:w="1151"/>
        <w:gridCol w:w="1151"/>
        <w:gridCol w:w="1150"/>
        <w:gridCol w:w="1150"/>
      </w:tblGrid>
      <w:tr w:rsidR="00740CBC" w:rsidRPr="00781112" w14:paraId="0324DF77" w14:textId="01438934" w:rsidTr="00360DD6">
        <w:trPr>
          <w:trHeight w:val="440"/>
          <w:tblHeader/>
        </w:trPr>
        <w:tc>
          <w:tcPr>
            <w:tcW w:w="1040" w:type="pct"/>
            <w:shd w:val="clear" w:color="auto" w:fill="auto"/>
            <w:vAlign w:val="bottom"/>
          </w:tcPr>
          <w:p w14:paraId="0D668D1B" w14:textId="6BB38C6B" w:rsidR="00740CBC" w:rsidRPr="00781112" w:rsidRDefault="00740CBC" w:rsidP="00740CBC">
            <w:pPr>
              <w:jc w:val="center"/>
              <w:rPr>
                <w:b/>
                <w:color w:val="000000" w:themeColor="text1"/>
              </w:rPr>
            </w:pPr>
            <w:r w:rsidRPr="00781112">
              <w:rPr>
                <w:b/>
                <w:color w:val="000000" w:themeColor="text1"/>
              </w:rPr>
              <w:t>Education Environments</w:t>
            </w:r>
          </w:p>
        </w:tc>
        <w:tc>
          <w:tcPr>
            <w:tcW w:w="646" w:type="pct"/>
            <w:shd w:val="clear" w:color="auto" w:fill="auto"/>
            <w:vAlign w:val="bottom"/>
          </w:tcPr>
          <w:p w14:paraId="323FF92F" w14:textId="6010A4DC" w:rsidR="00740CBC" w:rsidRPr="00781112" w:rsidRDefault="00740CBC" w:rsidP="00740CBC">
            <w:pPr>
              <w:jc w:val="center"/>
              <w:rPr>
                <w:b/>
                <w:color w:val="000000" w:themeColor="text1"/>
              </w:rPr>
            </w:pPr>
            <w:r w:rsidRPr="00781112">
              <w:rPr>
                <w:b/>
                <w:color w:val="000000" w:themeColor="text1"/>
              </w:rPr>
              <w:t xml:space="preserve">Number of children with IEPs aged </w:t>
            </w:r>
            <w:r w:rsidRPr="00781112">
              <w:rPr>
                <w:rFonts w:cs="Arial"/>
                <w:b/>
                <w:bCs/>
                <w:szCs w:val="16"/>
              </w:rPr>
              <w:t>5 (kindergarten)</w:t>
            </w:r>
            <w:r w:rsidRPr="00781112">
              <w:rPr>
                <w:b/>
                <w:color w:val="000000" w:themeColor="text1"/>
              </w:rPr>
              <w:t xml:space="preserve"> through 21 served</w:t>
            </w:r>
          </w:p>
        </w:tc>
        <w:tc>
          <w:tcPr>
            <w:tcW w:w="647" w:type="pct"/>
            <w:shd w:val="clear" w:color="auto" w:fill="auto"/>
            <w:vAlign w:val="bottom"/>
          </w:tcPr>
          <w:p w14:paraId="5B4758A3" w14:textId="799168FB" w:rsidR="00740CBC" w:rsidRPr="00781112" w:rsidRDefault="00740CBC" w:rsidP="00740CBC">
            <w:pPr>
              <w:jc w:val="center"/>
              <w:rPr>
                <w:b/>
                <w:color w:val="000000" w:themeColor="text1"/>
              </w:rPr>
            </w:pPr>
            <w:r w:rsidRPr="00781112">
              <w:rPr>
                <w:b/>
                <w:color w:val="000000" w:themeColor="text1"/>
              </w:rPr>
              <w:t xml:space="preserve">Total number of children with IEPs aged </w:t>
            </w:r>
            <w:r w:rsidRPr="00781112">
              <w:rPr>
                <w:rFonts w:cs="Arial"/>
                <w:b/>
                <w:bCs/>
                <w:szCs w:val="16"/>
              </w:rPr>
              <w:t>5 (kindergarten)</w:t>
            </w:r>
            <w:r w:rsidRPr="00781112">
              <w:rPr>
                <w:b/>
                <w:color w:val="000000" w:themeColor="text1"/>
              </w:rPr>
              <w:t xml:space="preserve"> through 21</w:t>
            </w:r>
          </w:p>
        </w:tc>
        <w:tc>
          <w:tcPr>
            <w:tcW w:w="533" w:type="pct"/>
            <w:shd w:val="clear" w:color="auto" w:fill="auto"/>
            <w:vAlign w:val="bottom"/>
          </w:tcPr>
          <w:p w14:paraId="5B2059E0" w14:textId="79AACA75" w:rsidR="00740CBC" w:rsidRPr="00CC1061" w:rsidRDefault="00740CBC" w:rsidP="00740CBC">
            <w:pPr>
              <w:jc w:val="center"/>
              <w:rPr>
                <w:b/>
                <w:bCs/>
                <w:color w:val="000000" w:themeColor="text1"/>
              </w:rPr>
            </w:pPr>
            <w:r w:rsidRPr="00CC1061">
              <w:rPr>
                <w:b/>
                <w:bCs/>
              </w:rPr>
              <w:t>FFY 2021 Data</w:t>
            </w:r>
          </w:p>
        </w:tc>
        <w:tc>
          <w:tcPr>
            <w:tcW w:w="533" w:type="pct"/>
            <w:shd w:val="clear" w:color="auto" w:fill="auto"/>
            <w:vAlign w:val="bottom"/>
          </w:tcPr>
          <w:p w14:paraId="320127EA" w14:textId="2825F293" w:rsidR="00740CBC" w:rsidRPr="00CC1061" w:rsidRDefault="00740CBC" w:rsidP="00740CBC">
            <w:pPr>
              <w:jc w:val="center"/>
              <w:rPr>
                <w:b/>
                <w:bCs/>
                <w:color w:val="000000" w:themeColor="text1"/>
              </w:rPr>
            </w:pPr>
            <w:r w:rsidRPr="00CC1061">
              <w:rPr>
                <w:b/>
                <w:bCs/>
              </w:rPr>
              <w:t>FFY 2022 Target</w:t>
            </w:r>
          </w:p>
        </w:tc>
        <w:tc>
          <w:tcPr>
            <w:tcW w:w="533" w:type="pct"/>
            <w:shd w:val="clear" w:color="auto" w:fill="auto"/>
            <w:vAlign w:val="bottom"/>
          </w:tcPr>
          <w:p w14:paraId="150C2675" w14:textId="52D7C5D9" w:rsidR="00740CBC" w:rsidRPr="00CC1061" w:rsidRDefault="00740CBC" w:rsidP="00740CBC">
            <w:pPr>
              <w:jc w:val="center"/>
              <w:rPr>
                <w:b/>
                <w:bCs/>
                <w:color w:val="000000" w:themeColor="text1"/>
              </w:rPr>
            </w:pPr>
            <w:r w:rsidRPr="00CC1061">
              <w:rPr>
                <w:b/>
                <w:bCs/>
              </w:rPr>
              <w:t>FFY 2022 Data</w:t>
            </w:r>
          </w:p>
        </w:tc>
        <w:tc>
          <w:tcPr>
            <w:tcW w:w="533" w:type="pct"/>
            <w:shd w:val="clear" w:color="auto" w:fill="auto"/>
            <w:vAlign w:val="bottom"/>
          </w:tcPr>
          <w:p w14:paraId="08F715E4" w14:textId="7BB096AF" w:rsidR="00740CBC" w:rsidRPr="00781112" w:rsidRDefault="00740CBC" w:rsidP="00740CBC">
            <w:pPr>
              <w:jc w:val="center"/>
              <w:rPr>
                <w:b/>
                <w:color w:val="000000" w:themeColor="text1"/>
              </w:rPr>
            </w:pPr>
            <w:r w:rsidRPr="00781112">
              <w:rPr>
                <w:b/>
                <w:color w:val="000000" w:themeColor="text1"/>
              </w:rPr>
              <w:t>Status</w:t>
            </w:r>
          </w:p>
        </w:tc>
        <w:tc>
          <w:tcPr>
            <w:tcW w:w="533" w:type="pct"/>
            <w:shd w:val="clear" w:color="auto" w:fill="auto"/>
            <w:vAlign w:val="bottom"/>
          </w:tcPr>
          <w:p w14:paraId="16F336C8" w14:textId="693FB9B1" w:rsidR="00740CBC" w:rsidRPr="00781112" w:rsidRDefault="00740CBC" w:rsidP="00740CBC">
            <w:pPr>
              <w:jc w:val="center"/>
              <w:rPr>
                <w:b/>
                <w:color w:val="000000" w:themeColor="text1"/>
              </w:rPr>
            </w:pPr>
            <w:r w:rsidRPr="00781112">
              <w:rPr>
                <w:b/>
                <w:color w:val="000000" w:themeColor="text1"/>
              </w:rPr>
              <w:t>Slippage</w:t>
            </w:r>
          </w:p>
        </w:tc>
      </w:tr>
      <w:tr w:rsidR="005C29F8" w:rsidRPr="00781112" w14:paraId="0CF0446C" w14:textId="0B89548D" w:rsidTr="00360DD6">
        <w:trPr>
          <w:trHeight w:val="361"/>
        </w:trPr>
        <w:tc>
          <w:tcPr>
            <w:tcW w:w="1040" w:type="pct"/>
            <w:shd w:val="clear" w:color="auto" w:fill="auto"/>
            <w:vAlign w:val="center"/>
          </w:tcPr>
          <w:p w14:paraId="389D79B9" w14:textId="5A7555F3" w:rsidR="00631963" w:rsidRPr="00781112" w:rsidRDefault="00631963" w:rsidP="00631963">
            <w:pPr>
              <w:rPr>
                <w:rFonts w:cs="Arial"/>
                <w:color w:val="000000" w:themeColor="text1"/>
                <w:szCs w:val="16"/>
              </w:rPr>
            </w:pPr>
            <w:r w:rsidRPr="00781112">
              <w:rPr>
                <w:rFonts w:cs="Arial"/>
                <w:color w:val="000000" w:themeColor="text1"/>
                <w:szCs w:val="16"/>
              </w:rPr>
              <w:t>A.</w:t>
            </w:r>
            <w:r w:rsidRPr="00781112">
              <w:rPr>
                <w:rFonts w:cs="Arial"/>
                <w:color w:val="000000" w:themeColor="text1"/>
                <w:szCs w:val="16"/>
                <w:shd w:val="clear" w:color="auto" w:fill="FFFFFF"/>
              </w:rPr>
              <w:t xml:space="preserve"> Number of children with IEPs aged </w:t>
            </w:r>
            <w:r w:rsidR="00D362C5" w:rsidRPr="00781112">
              <w:rPr>
                <w:rFonts w:cs="Arial"/>
                <w:szCs w:val="16"/>
              </w:rPr>
              <w:t>5 (kindergarten)</w:t>
            </w:r>
            <w:r w:rsidRPr="00781112">
              <w:rPr>
                <w:rFonts w:cs="Arial"/>
                <w:color w:val="000000" w:themeColor="text1"/>
                <w:szCs w:val="16"/>
                <w:shd w:val="clear" w:color="auto" w:fill="FFFFFF"/>
              </w:rPr>
              <w:t xml:space="preserve"> through 21 inside the regular class 80% or more of the day</w:t>
            </w:r>
          </w:p>
        </w:tc>
        <w:tc>
          <w:tcPr>
            <w:tcW w:w="646" w:type="pct"/>
            <w:shd w:val="clear" w:color="auto" w:fill="auto"/>
            <w:vAlign w:val="center"/>
          </w:tcPr>
          <w:p w14:paraId="0C538F78" w14:textId="211A39AD" w:rsidR="00631963" w:rsidRPr="00781112" w:rsidRDefault="002B7490" w:rsidP="00A018D4">
            <w:pPr>
              <w:jc w:val="center"/>
              <w:rPr>
                <w:rFonts w:cs="Arial"/>
                <w:color w:val="000000" w:themeColor="text1"/>
                <w:szCs w:val="16"/>
              </w:rPr>
            </w:pPr>
            <w:r w:rsidRPr="00781112">
              <w:rPr>
                <w:rFonts w:cs="Arial"/>
                <w:color w:val="000000" w:themeColor="text1"/>
                <w:szCs w:val="16"/>
              </w:rPr>
              <w:t>28,020</w:t>
            </w:r>
          </w:p>
        </w:tc>
        <w:tc>
          <w:tcPr>
            <w:tcW w:w="647" w:type="pct"/>
            <w:shd w:val="clear" w:color="auto" w:fill="auto"/>
            <w:vAlign w:val="center"/>
          </w:tcPr>
          <w:p w14:paraId="7CB3B03A" w14:textId="4A5E294F" w:rsidR="00631963" w:rsidRPr="00781112" w:rsidRDefault="002B7490" w:rsidP="00A018D4">
            <w:pPr>
              <w:jc w:val="center"/>
              <w:rPr>
                <w:rFonts w:cs="Arial"/>
                <w:color w:val="000000" w:themeColor="text1"/>
                <w:szCs w:val="16"/>
              </w:rPr>
            </w:pPr>
            <w:r w:rsidRPr="00781112">
              <w:rPr>
                <w:rFonts w:cs="Arial"/>
                <w:color w:val="000000" w:themeColor="text1"/>
                <w:szCs w:val="16"/>
              </w:rPr>
              <w:t>52,848</w:t>
            </w:r>
          </w:p>
        </w:tc>
        <w:tc>
          <w:tcPr>
            <w:tcW w:w="533" w:type="pct"/>
            <w:shd w:val="clear" w:color="auto" w:fill="auto"/>
            <w:vAlign w:val="center"/>
          </w:tcPr>
          <w:p w14:paraId="147CA5C5" w14:textId="139C91CB" w:rsidR="00631963" w:rsidRPr="00781112" w:rsidRDefault="002B7490" w:rsidP="00A018D4">
            <w:pPr>
              <w:jc w:val="center"/>
              <w:rPr>
                <w:rFonts w:cs="Arial"/>
                <w:color w:val="000000" w:themeColor="text1"/>
                <w:szCs w:val="16"/>
              </w:rPr>
            </w:pPr>
            <w:r w:rsidRPr="00781112">
              <w:rPr>
                <w:rFonts w:cs="Arial"/>
                <w:color w:val="000000" w:themeColor="text1"/>
                <w:szCs w:val="16"/>
              </w:rPr>
              <w:t>52.43%</w:t>
            </w:r>
          </w:p>
        </w:tc>
        <w:tc>
          <w:tcPr>
            <w:tcW w:w="533" w:type="pct"/>
            <w:shd w:val="clear" w:color="auto" w:fill="auto"/>
            <w:vAlign w:val="center"/>
          </w:tcPr>
          <w:p w14:paraId="497D8B9F" w14:textId="585C0A39" w:rsidR="00631963" w:rsidRPr="00781112" w:rsidRDefault="002B7490" w:rsidP="00A018D4">
            <w:pPr>
              <w:jc w:val="center"/>
              <w:rPr>
                <w:rFonts w:cs="Arial"/>
                <w:color w:val="000000" w:themeColor="text1"/>
                <w:szCs w:val="16"/>
              </w:rPr>
            </w:pPr>
            <w:r w:rsidRPr="00781112">
              <w:rPr>
                <w:rFonts w:cs="Arial"/>
                <w:color w:val="000000" w:themeColor="text1"/>
                <w:szCs w:val="16"/>
              </w:rPr>
              <w:t>51.83%</w:t>
            </w:r>
          </w:p>
        </w:tc>
        <w:tc>
          <w:tcPr>
            <w:tcW w:w="533" w:type="pct"/>
            <w:shd w:val="clear" w:color="auto" w:fill="auto"/>
            <w:vAlign w:val="center"/>
          </w:tcPr>
          <w:p w14:paraId="4B6AC9A3" w14:textId="0D7F6AEF" w:rsidR="00631963" w:rsidRPr="00781112" w:rsidRDefault="002B7490" w:rsidP="00A018D4">
            <w:pPr>
              <w:jc w:val="center"/>
              <w:rPr>
                <w:rFonts w:cs="Arial"/>
                <w:color w:val="000000" w:themeColor="text1"/>
                <w:szCs w:val="16"/>
              </w:rPr>
            </w:pPr>
            <w:r w:rsidRPr="00781112">
              <w:rPr>
                <w:rFonts w:cs="Arial"/>
                <w:color w:val="000000" w:themeColor="text1"/>
                <w:szCs w:val="16"/>
              </w:rPr>
              <w:t>53.02%</w:t>
            </w:r>
          </w:p>
        </w:tc>
        <w:tc>
          <w:tcPr>
            <w:tcW w:w="533" w:type="pct"/>
            <w:shd w:val="clear" w:color="auto" w:fill="auto"/>
            <w:vAlign w:val="center"/>
          </w:tcPr>
          <w:p w14:paraId="0D12A1DA" w14:textId="6C35FF67" w:rsidR="00631963"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533" w:type="pct"/>
            <w:shd w:val="clear" w:color="auto" w:fill="auto"/>
            <w:vAlign w:val="center"/>
          </w:tcPr>
          <w:p w14:paraId="2E7D658D" w14:textId="6E94158A" w:rsidR="00631963"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5C29F8" w:rsidRPr="00781112" w14:paraId="0FEF5E26" w14:textId="1BAD9686" w:rsidTr="00360DD6">
        <w:trPr>
          <w:trHeight w:val="361"/>
        </w:trPr>
        <w:tc>
          <w:tcPr>
            <w:tcW w:w="1040" w:type="pct"/>
            <w:shd w:val="clear" w:color="auto" w:fill="auto"/>
            <w:vAlign w:val="center"/>
          </w:tcPr>
          <w:p w14:paraId="787D8C24" w14:textId="626F335A" w:rsidR="00631963" w:rsidRPr="00781112" w:rsidRDefault="00631963" w:rsidP="00631963">
            <w:pPr>
              <w:rPr>
                <w:rFonts w:cs="Arial"/>
                <w:color w:val="000000" w:themeColor="text1"/>
                <w:szCs w:val="16"/>
              </w:rPr>
            </w:pPr>
            <w:r w:rsidRPr="00781112">
              <w:rPr>
                <w:rFonts w:cs="Arial"/>
                <w:color w:val="000000" w:themeColor="text1"/>
                <w:szCs w:val="16"/>
                <w:shd w:val="clear" w:color="auto" w:fill="FFFFFF"/>
              </w:rPr>
              <w:t xml:space="preserve">B. Number of children with IEPs aged </w:t>
            </w:r>
            <w:r w:rsidR="00D362C5" w:rsidRPr="00781112">
              <w:rPr>
                <w:rFonts w:cs="Arial"/>
                <w:szCs w:val="16"/>
              </w:rPr>
              <w:t>5 (kindergarten)</w:t>
            </w:r>
            <w:r w:rsidRPr="00781112">
              <w:rPr>
                <w:rFonts w:cs="Arial"/>
                <w:color w:val="000000" w:themeColor="text1"/>
                <w:szCs w:val="16"/>
                <w:shd w:val="clear" w:color="auto" w:fill="FFFFFF"/>
              </w:rPr>
              <w:t xml:space="preserve"> through 21 inside the regular class less than 40% of the day</w:t>
            </w:r>
          </w:p>
        </w:tc>
        <w:tc>
          <w:tcPr>
            <w:tcW w:w="646" w:type="pct"/>
            <w:shd w:val="clear" w:color="auto" w:fill="auto"/>
            <w:vAlign w:val="center"/>
          </w:tcPr>
          <w:p w14:paraId="03764807" w14:textId="322EE6A5" w:rsidR="00631963" w:rsidRPr="00781112" w:rsidRDefault="002B7490" w:rsidP="00A018D4">
            <w:pPr>
              <w:jc w:val="center"/>
              <w:rPr>
                <w:rFonts w:cs="Arial"/>
                <w:color w:val="000000" w:themeColor="text1"/>
                <w:szCs w:val="16"/>
              </w:rPr>
            </w:pPr>
            <w:r w:rsidRPr="00781112">
              <w:rPr>
                <w:rFonts w:cs="Arial"/>
                <w:color w:val="000000" w:themeColor="text1"/>
                <w:szCs w:val="16"/>
              </w:rPr>
              <w:t>8,311</w:t>
            </w:r>
          </w:p>
        </w:tc>
        <w:tc>
          <w:tcPr>
            <w:tcW w:w="647" w:type="pct"/>
            <w:shd w:val="clear" w:color="auto" w:fill="auto"/>
            <w:vAlign w:val="center"/>
          </w:tcPr>
          <w:p w14:paraId="6BB5ED43" w14:textId="72BAFF29" w:rsidR="00631963" w:rsidRPr="00781112" w:rsidRDefault="002B7490" w:rsidP="00A018D4">
            <w:pPr>
              <w:jc w:val="center"/>
              <w:rPr>
                <w:rFonts w:cs="Arial"/>
                <w:color w:val="000000" w:themeColor="text1"/>
                <w:szCs w:val="16"/>
              </w:rPr>
            </w:pPr>
            <w:r w:rsidRPr="00781112">
              <w:rPr>
                <w:rFonts w:cs="Arial"/>
                <w:color w:val="000000" w:themeColor="text1"/>
                <w:szCs w:val="16"/>
              </w:rPr>
              <w:t>52,848</w:t>
            </w:r>
          </w:p>
        </w:tc>
        <w:tc>
          <w:tcPr>
            <w:tcW w:w="533" w:type="pct"/>
            <w:shd w:val="clear" w:color="auto" w:fill="auto"/>
            <w:vAlign w:val="center"/>
          </w:tcPr>
          <w:p w14:paraId="3D5C1070" w14:textId="57DABC44" w:rsidR="00631963" w:rsidRPr="00781112" w:rsidRDefault="002B7490" w:rsidP="00A018D4">
            <w:pPr>
              <w:jc w:val="center"/>
              <w:rPr>
                <w:rFonts w:cs="Arial"/>
                <w:color w:val="000000" w:themeColor="text1"/>
                <w:szCs w:val="16"/>
              </w:rPr>
            </w:pPr>
            <w:r w:rsidRPr="00781112">
              <w:rPr>
                <w:rFonts w:cs="Arial"/>
                <w:color w:val="000000" w:themeColor="text1"/>
                <w:szCs w:val="16"/>
              </w:rPr>
              <w:t>16.03%</w:t>
            </w:r>
          </w:p>
        </w:tc>
        <w:tc>
          <w:tcPr>
            <w:tcW w:w="533" w:type="pct"/>
            <w:shd w:val="clear" w:color="auto" w:fill="auto"/>
            <w:vAlign w:val="center"/>
          </w:tcPr>
          <w:p w14:paraId="02F3CF00" w14:textId="6A81B00C" w:rsidR="00631963" w:rsidRPr="00781112" w:rsidRDefault="002B7490" w:rsidP="00A018D4">
            <w:pPr>
              <w:jc w:val="center"/>
              <w:rPr>
                <w:rFonts w:cs="Arial"/>
                <w:color w:val="000000" w:themeColor="text1"/>
                <w:szCs w:val="16"/>
              </w:rPr>
            </w:pPr>
            <w:r w:rsidRPr="00781112">
              <w:rPr>
                <w:rFonts w:cs="Arial"/>
                <w:color w:val="000000" w:themeColor="text1"/>
                <w:szCs w:val="16"/>
              </w:rPr>
              <w:t>15.57%</w:t>
            </w:r>
          </w:p>
        </w:tc>
        <w:tc>
          <w:tcPr>
            <w:tcW w:w="533" w:type="pct"/>
            <w:shd w:val="clear" w:color="auto" w:fill="auto"/>
            <w:vAlign w:val="center"/>
          </w:tcPr>
          <w:p w14:paraId="07434586" w14:textId="19522680" w:rsidR="00631963" w:rsidRPr="00781112" w:rsidRDefault="002B7490" w:rsidP="00A018D4">
            <w:pPr>
              <w:jc w:val="center"/>
              <w:rPr>
                <w:rFonts w:cs="Arial"/>
                <w:color w:val="000000" w:themeColor="text1"/>
                <w:szCs w:val="16"/>
              </w:rPr>
            </w:pPr>
            <w:r w:rsidRPr="00781112">
              <w:rPr>
                <w:rFonts w:cs="Arial"/>
                <w:color w:val="000000" w:themeColor="text1"/>
                <w:szCs w:val="16"/>
              </w:rPr>
              <w:t>15.73%</w:t>
            </w:r>
          </w:p>
        </w:tc>
        <w:tc>
          <w:tcPr>
            <w:tcW w:w="533" w:type="pct"/>
            <w:shd w:val="clear" w:color="auto" w:fill="auto"/>
            <w:vAlign w:val="center"/>
          </w:tcPr>
          <w:p w14:paraId="59BFCAE8" w14:textId="7F9BACFA" w:rsidR="00631963"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533" w:type="pct"/>
            <w:shd w:val="clear" w:color="auto" w:fill="auto"/>
            <w:vAlign w:val="center"/>
          </w:tcPr>
          <w:p w14:paraId="6D7448AA" w14:textId="1247E0AB" w:rsidR="00631963"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5C29F8" w:rsidRPr="00781112" w14:paraId="18A60D9F" w14:textId="211489DF" w:rsidTr="00360DD6">
        <w:trPr>
          <w:trHeight w:val="361"/>
        </w:trPr>
        <w:tc>
          <w:tcPr>
            <w:tcW w:w="1040" w:type="pct"/>
            <w:shd w:val="clear" w:color="auto" w:fill="auto"/>
            <w:vAlign w:val="center"/>
          </w:tcPr>
          <w:p w14:paraId="0B4BA19D" w14:textId="5F11E8FF" w:rsidR="00631963" w:rsidRPr="00781112" w:rsidRDefault="00631963" w:rsidP="00631963">
            <w:pPr>
              <w:pStyle w:val="Explanation"/>
              <w:rPr>
                <w:rFonts w:cs="Arial"/>
                <w:color w:val="000000" w:themeColor="text1"/>
                <w:szCs w:val="16"/>
              </w:rPr>
            </w:pPr>
            <w:r w:rsidRPr="00781112">
              <w:rPr>
                <w:rFonts w:cs="Arial"/>
                <w:i w:val="0"/>
                <w:color w:val="000000" w:themeColor="text1"/>
                <w:szCs w:val="16"/>
                <w:shd w:val="clear" w:color="auto" w:fill="FFFFFF"/>
              </w:rPr>
              <w:t xml:space="preserve">C. Number of children with IEPs aged 5 (kindergarten) through 21 inside separate schools, residential facilities, or homebound/hospital placements </w:t>
            </w:r>
            <w:r w:rsidR="00163FA7" w:rsidRPr="00781112">
              <w:rPr>
                <w:rFonts w:cs="Arial"/>
                <w:color w:val="000000" w:themeColor="text1"/>
                <w:szCs w:val="16"/>
              </w:rPr>
              <w:t>[</w:t>
            </w:r>
            <w:r w:rsidRPr="00781112">
              <w:rPr>
                <w:rFonts w:cs="Arial"/>
                <w:color w:val="000000" w:themeColor="text1"/>
                <w:szCs w:val="16"/>
              </w:rPr>
              <w:t>c1+c2+c3</w:t>
            </w:r>
            <w:r w:rsidR="00163FA7" w:rsidRPr="00781112">
              <w:rPr>
                <w:rFonts w:cs="Arial"/>
                <w:color w:val="000000" w:themeColor="text1"/>
                <w:szCs w:val="16"/>
              </w:rPr>
              <w:t>]</w:t>
            </w:r>
          </w:p>
        </w:tc>
        <w:tc>
          <w:tcPr>
            <w:tcW w:w="646" w:type="pct"/>
            <w:shd w:val="clear" w:color="auto" w:fill="auto"/>
            <w:vAlign w:val="center"/>
          </w:tcPr>
          <w:p w14:paraId="6F83B928" w14:textId="3C12179B" w:rsidR="00631963" w:rsidRPr="00781112" w:rsidRDefault="002B7490" w:rsidP="00A018D4">
            <w:pPr>
              <w:jc w:val="center"/>
              <w:rPr>
                <w:rFonts w:cs="Arial"/>
                <w:color w:val="000000" w:themeColor="text1"/>
                <w:szCs w:val="16"/>
              </w:rPr>
            </w:pPr>
            <w:r w:rsidRPr="00781112">
              <w:rPr>
                <w:rFonts w:cs="Arial"/>
                <w:color w:val="000000" w:themeColor="text1"/>
                <w:szCs w:val="16"/>
              </w:rPr>
              <w:t>323</w:t>
            </w:r>
          </w:p>
        </w:tc>
        <w:tc>
          <w:tcPr>
            <w:tcW w:w="647" w:type="pct"/>
            <w:shd w:val="clear" w:color="auto" w:fill="auto"/>
            <w:vAlign w:val="center"/>
          </w:tcPr>
          <w:p w14:paraId="2B632B6B" w14:textId="0ADBABA1" w:rsidR="00631963" w:rsidRPr="00781112" w:rsidRDefault="002B7490" w:rsidP="00A018D4">
            <w:pPr>
              <w:jc w:val="center"/>
              <w:rPr>
                <w:rFonts w:cs="Arial"/>
                <w:color w:val="000000" w:themeColor="text1"/>
                <w:szCs w:val="16"/>
              </w:rPr>
            </w:pPr>
            <w:r w:rsidRPr="00781112">
              <w:rPr>
                <w:rFonts w:cs="Arial"/>
                <w:color w:val="000000" w:themeColor="text1"/>
                <w:szCs w:val="16"/>
              </w:rPr>
              <w:t>52,848</w:t>
            </w:r>
          </w:p>
        </w:tc>
        <w:tc>
          <w:tcPr>
            <w:tcW w:w="533" w:type="pct"/>
            <w:shd w:val="clear" w:color="auto" w:fill="auto"/>
            <w:vAlign w:val="center"/>
          </w:tcPr>
          <w:p w14:paraId="16857354" w14:textId="17E80039" w:rsidR="00631963" w:rsidRPr="00781112" w:rsidRDefault="002B7490" w:rsidP="00A018D4">
            <w:pPr>
              <w:jc w:val="center"/>
              <w:rPr>
                <w:rFonts w:cs="Arial"/>
                <w:color w:val="000000" w:themeColor="text1"/>
                <w:szCs w:val="16"/>
              </w:rPr>
            </w:pPr>
            <w:r w:rsidRPr="00781112">
              <w:rPr>
                <w:rFonts w:cs="Arial"/>
                <w:color w:val="000000" w:themeColor="text1"/>
                <w:szCs w:val="16"/>
              </w:rPr>
              <w:t>0.74%</w:t>
            </w:r>
          </w:p>
        </w:tc>
        <w:tc>
          <w:tcPr>
            <w:tcW w:w="533" w:type="pct"/>
            <w:shd w:val="clear" w:color="auto" w:fill="auto"/>
            <w:vAlign w:val="center"/>
          </w:tcPr>
          <w:p w14:paraId="10D1478E" w14:textId="0F36466F" w:rsidR="00631963" w:rsidRPr="00781112" w:rsidRDefault="002B7490" w:rsidP="00A018D4">
            <w:pPr>
              <w:jc w:val="center"/>
              <w:rPr>
                <w:rFonts w:cs="Arial"/>
                <w:color w:val="000000" w:themeColor="text1"/>
                <w:szCs w:val="16"/>
              </w:rPr>
            </w:pPr>
            <w:r w:rsidRPr="00781112">
              <w:rPr>
                <w:rFonts w:cs="Arial"/>
                <w:color w:val="000000" w:themeColor="text1"/>
                <w:szCs w:val="16"/>
              </w:rPr>
              <w:t>0.37%</w:t>
            </w:r>
          </w:p>
        </w:tc>
        <w:tc>
          <w:tcPr>
            <w:tcW w:w="533" w:type="pct"/>
            <w:shd w:val="clear" w:color="auto" w:fill="auto"/>
            <w:vAlign w:val="center"/>
          </w:tcPr>
          <w:p w14:paraId="2E9E2BFC" w14:textId="26FEF90C" w:rsidR="00631963" w:rsidRPr="00781112" w:rsidRDefault="002B7490" w:rsidP="00A018D4">
            <w:pPr>
              <w:jc w:val="center"/>
              <w:rPr>
                <w:rFonts w:cs="Arial"/>
                <w:color w:val="000000" w:themeColor="text1"/>
                <w:szCs w:val="16"/>
              </w:rPr>
            </w:pPr>
            <w:r w:rsidRPr="00781112">
              <w:rPr>
                <w:rFonts w:cs="Arial"/>
                <w:color w:val="000000" w:themeColor="text1"/>
                <w:szCs w:val="16"/>
              </w:rPr>
              <w:t>0.61%</w:t>
            </w:r>
          </w:p>
        </w:tc>
        <w:tc>
          <w:tcPr>
            <w:tcW w:w="533" w:type="pct"/>
            <w:shd w:val="clear" w:color="auto" w:fill="auto"/>
            <w:vAlign w:val="center"/>
          </w:tcPr>
          <w:p w14:paraId="5321D014" w14:textId="1EA51894" w:rsidR="00631963"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533" w:type="pct"/>
            <w:shd w:val="clear" w:color="auto" w:fill="auto"/>
            <w:vAlign w:val="center"/>
          </w:tcPr>
          <w:p w14:paraId="2BFA05A8" w14:textId="3EACA9BA" w:rsidR="00631963"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073B208C" w14:textId="4B79EDF3" w:rsidR="006C575D" w:rsidRPr="00781112" w:rsidRDefault="006C575D" w:rsidP="004369B2">
      <w:pPr>
        <w:rPr>
          <w:b/>
          <w:color w:val="000000" w:themeColor="text1"/>
        </w:rPr>
      </w:pPr>
      <w:r w:rsidRPr="00781112">
        <w:rPr>
          <w:b/>
          <w:color w:val="000000" w:themeColor="text1"/>
        </w:rPr>
        <w:t>Provide additional information about this indicator (optional)</w:t>
      </w:r>
    </w:p>
    <w:p w14:paraId="2F810D98" w14:textId="08328771" w:rsidR="003C308E" w:rsidRPr="00781112" w:rsidRDefault="002B7490" w:rsidP="007D435F">
      <w:pPr>
        <w:rPr>
          <w:rFonts w:cs="Arial"/>
          <w:color w:val="000000" w:themeColor="text1"/>
          <w:szCs w:val="16"/>
        </w:rPr>
      </w:pPr>
      <w:r w:rsidRPr="00781112">
        <w:rPr>
          <w:rFonts w:cs="Arial"/>
          <w:color w:val="000000" w:themeColor="text1"/>
          <w:szCs w:val="16"/>
        </w:rPr>
        <w:t>While the State did not meet the target for Indicator 5B, the state did see a .30% decrease in the number of children with IEPs aged 5 (kindergarten) through 21 inside the regular class less than 40% of the day and a .13% decrease for Indicator 5C in the number of children with IEPs aged 5 (kindergarten) through 21 inside separate schools, residential facilities, or homebound/hospital placements.  In addition, there was a .59% increase in the number of children with IEPs aged 5 (kindergarten) through 21 inside the regular class 80% or more of the day.</w:t>
        <w:br/>
        <w:t/>
        <w:br/>
        <w:t>Overall, the State demonstrated gains with indicators 5A, 5B and 5C. The State will continue to provide technical assistance and support to LEAs to ensure children with IEPs are in their Least Restrictive Environment (LRE) to the extent possible.</w:t>
      </w:r>
    </w:p>
    <w:p w14:paraId="0B7E5CD7" w14:textId="77777777" w:rsidR="004A4803" w:rsidRPr="00781112" w:rsidRDefault="004A4803" w:rsidP="004369B2">
      <w:pPr>
        <w:rPr>
          <w:color w:val="000000" w:themeColor="text1"/>
        </w:rPr>
      </w:pPr>
    </w:p>
    <w:p w14:paraId="68DA7415" w14:textId="0FE711BA" w:rsidR="000A2C83" w:rsidRPr="00781112" w:rsidRDefault="007B5383" w:rsidP="008645AD">
      <w:pPr>
        <w:pStyle w:val="Heading2"/>
      </w:pPr>
      <w:r w:rsidRPr="00781112">
        <w:t>5</w:t>
      </w:r>
      <w:r w:rsidR="002203FA" w:rsidRPr="00781112">
        <w:t xml:space="preserve"> </w:t>
      </w:r>
      <w:r w:rsidRPr="00781112">
        <w:t xml:space="preserve">- </w:t>
      </w:r>
      <w:r w:rsidR="000A2C83" w:rsidRPr="00781112">
        <w:t>Prior FFY Required Actions</w:t>
      </w:r>
    </w:p>
    <w:p w14:paraId="2C73DADD" w14:textId="6039179B" w:rsidR="00163FA7" w:rsidRPr="00781112" w:rsidRDefault="002B7490" w:rsidP="000A2C83">
      <w:pPr>
        <w:rPr>
          <w:rFonts w:cs="Arial"/>
          <w:color w:val="000000" w:themeColor="text1"/>
          <w:szCs w:val="16"/>
        </w:rPr>
      </w:pPr>
      <w:r w:rsidRPr="00781112">
        <w:rPr>
          <w:rFonts w:cs="Arial"/>
          <w:color w:val="000000" w:themeColor="text1"/>
          <w:szCs w:val="16"/>
        </w:rPr>
        <w:t>None</w:t>
      </w:r>
    </w:p>
    <w:p w14:paraId="30448C87" w14:textId="2E9FCBE3" w:rsidR="006C575D" w:rsidRPr="00781112" w:rsidRDefault="007B5383" w:rsidP="008645AD">
      <w:pPr>
        <w:pStyle w:val="Heading2"/>
      </w:pPr>
      <w:r w:rsidRPr="00781112">
        <w:t>5 - OSEP Response</w:t>
      </w:r>
    </w:p>
    <w:p w14:paraId="63E8B575" w14:textId="0FE467D2" w:rsidR="003C308E" w:rsidRPr="00781112" w:rsidRDefault="002B7490" w:rsidP="001F692C">
      <w:pPr>
        <w:rPr>
          <w:rFonts w:cs="Arial"/>
          <w:color w:val="000000" w:themeColor="text1"/>
          <w:szCs w:val="16"/>
        </w:rPr>
      </w:pPr>
      <w:r w:rsidRPr="00781112">
        <w:rPr>
          <w:rFonts w:cs="Arial"/>
          <w:color w:val="000000" w:themeColor="text1"/>
          <w:szCs w:val="16"/>
        </w:rPr>
        <w:t/>
      </w:r>
    </w:p>
    <w:p w14:paraId="66CCD9C9" w14:textId="435D8999" w:rsidR="006C575D" w:rsidRPr="00781112" w:rsidRDefault="007B5383" w:rsidP="008645AD">
      <w:pPr>
        <w:pStyle w:val="Heading2"/>
      </w:pPr>
      <w:r w:rsidRPr="00781112">
        <w:t>5 - Required Actions</w:t>
      </w:r>
    </w:p>
    <w:p w14:paraId="140EB887" w14:textId="21164854" w:rsidR="003C308E" w:rsidRPr="00781112" w:rsidRDefault="002B7490" w:rsidP="001F692C">
      <w:pPr>
        <w:rPr>
          <w:rFonts w:cs="Arial"/>
          <w:color w:val="000000" w:themeColor="text1"/>
          <w:szCs w:val="16"/>
        </w:rPr>
      </w:pPr>
      <w:r w:rsidRPr="00781112">
        <w:rPr>
          <w:rFonts w:cs="Arial"/>
          <w:color w:val="000000" w:themeColor="text1"/>
          <w:szCs w:val="16"/>
        </w:rPr>
        <w:t/>
      </w:r>
    </w:p>
    <w:p w14:paraId="0AFF9CFF" w14:textId="77777777" w:rsidR="00600E15" w:rsidRPr="00781112" w:rsidRDefault="00600E15">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35527AAE" w14:textId="1CCE2F0D" w:rsidR="00D21EAA" w:rsidRPr="00781112" w:rsidRDefault="00D21EAA" w:rsidP="000444E2">
      <w:pPr>
        <w:pStyle w:val="Heading1"/>
        <w:rPr>
          <w:color w:val="000000" w:themeColor="text1"/>
          <w:sz w:val="22"/>
        </w:rPr>
      </w:pPr>
      <w:r w:rsidRPr="00781112">
        <w:rPr>
          <w:color w:val="000000" w:themeColor="text1"/>
          <w:sz w:val="22"/>
        </w:rPr>
        <w:lastRenderedPageBreak/>
        <w:t>Indicator 6: Preschool Environments</w:t>
      </w:r>
      <w:bookmarkEnd w:id="42"/>
      <w:bookmarkEnd w:id="43"/>
    </w:p>
    <w:p w14:paraId="0EEB38B7" w14:textId="59C9FCA0" w:rsidR="00897094" w:rsidRPr="00781112" w:rsidRDefault="00897094" w:rsidP="00A018D4">
      <w:pPr>
        <w:rPr>
          <w:color w:val="000000" w:themeColor="text1"/>
          <w:szCs w:val="20"/>
        </w:rPr>
      </w:pPr>
      <w:bookmarkStart w:id="44" w:name="_Toc392159299"/>
      <w:r w:rsidRPr="00781112">
        <w:rPr>
          <w:b/>
          <w:color w:val="000000" w:themeColor="text1"/>
          <w:sz w:val="20"/>
          <w:szCs w:val="20"/>
        </w:rPr>
        <w:t>Instructions and Measurement</w:t>
      </w:r>
    </w:p>
    <w:p w14:paraId="38394246" w14:textId="27FF79AA" w:rsidR="00CC634E" w:rsidRPr="00781112" w:rsidRDefault="00CC634E" w:rsidP="004369B2">
      <w:pPr>
        <w:rPr>
          <w:color w:val="000000" w:themeColor="text1"/>
        </w:rPr>
      </w:pPr>
      <w:r w:rsidRPr="00781112">
        <w:rPr>
          <w:b/>
          <w:color w:val="000000" w:themeColor="text1"/>
        </w:rPr>
        <w:t xml:space="preserve">Monitoring Priority: </w:t>
      </w:r>
      <w:r w:rsidRPr="00781112">
        <w:rPr>
          <w:color w:val="000000" w:themeColor="text1"/>
        </w:rPr>
        <w:t>FAPE in the LRE</w:t>
      </w:r>
    </w:p>
    <w:p w14:paraId="07B041D6" w14:textId="3EA0507C" w:rsidR="00CC634E" w:rsidRPr="00781112" w:rsidRDefault="00CC634E" w:rsidP="0011074D">
      <w:pPr>
        <w:rPr>
          <w:rFonts w:cs="Arial"/>
          <w:color w:val="000000" w:themeColor="text1"/>
          <w:szCs w:val="16"/>
        </w:rPr>
      </w:pPr>
      <w:r w:rsidRPr="00781112">
        <w:rPr>
          <w:rFonts w:cs="Arial"/>
          <w:b/>
          <w:color w:val="000000" w:themeColor="text1"/>
          <w:szCs w:val="16"/>
        </w:rPr>
        <w:t>Results indicator:</w:t>
      </w:r>
      <w:r w:rsidR="00131842" w:rsidRPr="00781112">
        <w:rPr>
          <w:rFonts w:cs="Arial"/>
          <w:color w:val="000000" w:themeColor="text1"/>
          <w:szCs w:val="16"/>
        </w:rPr>
        <w:t xml:space="preserve"> </w:t>
      </w:r>
      <w:r w:rsidRPr="00781112">
        <w:rPr>
          <w:rFonts w:cs="Arial"/>
          <w:color w:val="000000" w:themeColor="text1"/>
          <w:szCs w:val="16"/>
        </w:rPr>
        <w:t>Percent of children</w:t>
      </w:r>
      <w:r w:rsidR="00BE028C" w:rsidRPr="00781112">
        <w:rPr>
          <w:rFonts w:cs="Arial"/>
          <w:color w:val="000000" w:themeColor="text1"/>
          <w:szCs w:val="16"/>
        </w:rPr>
        <w:t xml:space="preserve"> </w:t>
      </w:r>
      <w:r w:rsidRPr="00781112">
        <w:rPr>
          <w:rFonts w:cs="Arial"/>
          <w:color w:val="000000" w:themeColor="text1"/>
          <w:szCs w:val="16"/>
        </w:rPr>
        <w:t xml:space="preserve">with IEPs </w:t>
      </w:r>
      <w:r w:rsidR="000B1A1B" w:rsidRPr="00781112">
        <w:rPr>
          <w:rFonts w:cs="Arial"/>
          <w:color w:val="000000" w:themeColor="text1"/>
          <w:szCs w:val="16"/>
        </w:rPr>
        <w:t xml:space="preserve">aged 3, 4, and aged 5 who are enrolled in a preschool program </w:t>
      </w:r>
      <w:r w:rsidRPr="00781112">
        <w:rPr>
          <w:rFonts w:cs="Arial"/>
          <w:color w:val="000000" w:themeColor="text1"/>
          <w:szCs w:val="16"/>
        </w:rPr>
        <w:t>attending a:</w:t>
      </w:r>
    </w:p>
    <w:p w14:paraId="0FDA7062" w14:textId="4CA83104" w:rsidR="00CC634E" w:rsidRPr="00781112" w:rsidRDefault="005F3399" w:rsidP="006A01BD">
      <w:pPr>
        <w:ind w:left="720"/>
        <w:rPr>
          <w:rFonts w:cs="Arial"/>
          <w:color w:val="000000" w:themeColor="text1"/>
          <w:szCs w:val="16"/>
        </w:rPr>
      </w:pPr>
      <w:r w:rsidRPr="00781112">
        <w:rPr>
          <w:rFonts w:cs="Arial"/>
          <w:color w:val="000000" w:themeColor="text1"/>
          <w:szCs w:val="16"/>
        </w:rPr>
        <w:t>A. Regular early childhood program and receiving the majority of special education and related services in the regular early childhood program; and</w:t>
      </w:r>
    </w:p>
    <w:p w14:paraId="4A161793" w14:textId="6574C625" w:rsidR="00CC634E" w:rsidRPr="00781112" w:rsidRDefault="005F3399" w:rsidP="006A01BD">
      <w:pPr>
        <w:ind w:firstLine="720"/>
        <w:rPr>
          <w:rFonts w:cs="Arial"/>
          <w:color w:val="000000" w:themeColor="text1"/>
          <w:szCs w:val="16"/>
        </w:rPr>
      </w:pPr>
      <w:r w:rsidRPr="00781112">
        <w:rPr>
          <w:rFonts w:cs="Arial"/>
          <w:color w:val="000000" w:themeColor="text1"/>
          <w:szCs w:val="16"/>
        </w:rPr>
        <w:t>B. Separate special education class, separate school or residential facility.</w:t>
      </w:r>
    </w:p>
    <w:p w14:paraId="797114DB" w14:textId="5A0252FB" w:rsidR="003608F9" w:rsidRPr="00781112" w:rsidRDefault="003608F9" w:rsidP="00360DD6">
      <w:pPr>
        <w:ind w:left="360"/>
        <w:rPr>
          <w:rFonts w:cs="Arial"/>
          <w:szCs w:val="16"/>
        </w:rPr>
      </w:pPr>
      <w:r w:rsidRPr="00781112">
        <w:rPr>
          <w:rFonts w:cs="Arial"/>
          <w:color w:val="000000" w:themeColor="text1"/>
          <w:szCs w:val="16"/>
        </w:rPr>
        <w:tab/>
        <w:t xml:space="preserve">C. </w:t>
      </w:r>
      <w:r w:rsidRPr="00781112">
        <w:rPr>
          <w:rFonts w:cs="Arial"/>
          <w:szCs w:val="16"/>
        </w:rPr>
        <w:t>Receiving special education and related services in the home.</w:t>
      </w:r>
    </w:p>
    <w:p w14:paraId="1AC955CF" w14:textId="38EDB6BF" w:rsidR="0011074D" w:rsidRPr="00781112" w:rsidRDefault="0011074D" w:rsidP="0011074D">
      <w:pPr>
        <w:rPr>
          <w:rFonts w:cs="Arial"/>
          <w:color w:val="000000" w:themeColor="text1"/>
          <w:szCs w:val="16"/>
        </w:rPr>
      </w:pPr>
      <w:r w:rsidRPr="00781112">
        <w:rPr>
          <w:rFonts w:cs="Arial"/>
          <w:color w:val="000000" w:themeColor="text1"/>
          <w:szCs w:val="16"/>
        </w:rPr>
        <w:t>(20 U.S.C. 1416(a)(3)(A))</w:t>
      </w:r>
    </w:p>
    <w:p w14:paraId="47FA9AD7" w14:textId="77777777" w:rsidR="005322B8" w:rsidRPr="00781112" w:rsidRDefault="005322B8" w:rsidP="004369B2">
      <w:pPr>
        <w:rPr>
          <w:color w:val="000000" w:themeColor="text1"/>
        </w:rPr>
      </w:pPr>
      <w:r w:rsidRPr="00781112">
        <w:rPr>
          <w:b/>
          <w:color w:val="000000" w:themeColor="text1"/>
        </w:rPr>
        <w:t>Data Source</w:t>
      </w:r>
    </w:p>
    <w:p w14:paraId="7412FE19" w14:textId="736BCFC9" w:rsidR="005322B8" w:rsidRPr="00781112" w:rsidRDefault="005322B8" w:rsidP="00BB7BC9">
      <w:pPr>
        <w:rPr>
          <w:rFonts w:cs="Arial"/>
          <w:color w:val="000000" w:themeColor="text1"/>
          <w:szCs w:val="16"/>
        </w:rPr>
      </w:pPr>
      <w:r w:rsidRPr="00781112">
        <w:rPr>
          <w:rFonts w:cs="Arial"/>
          <w:color w:val="000000" w:themeColor="text1"/>
          <w:szCs w:val="16"/>
        </w:rPr>
        <w:t>S</w:t>
      </w:r>
      <w:r w:rsidRPr="00781112">
        <w:rPr>
          <w:rFonts w:cs="Arial"/>
          <w:color w:val="000000" w:themeColor="text1"/>
          <w:szCs w:val="16"/>
          <w:shd w:val="clear" w:color="auto" w:fill="FFFFFF"/>
        </w:rPr>
        <w:t xml:space="preserve">ame data as used for reporting to the Department under section 618 of the IDEA, using the definitions in </w:t>
      </w:r>
      <w:proofErr w:type="spellStart"/>
      <w:r w:rsidRPr="00781112">
        <w:rPr>
          <w:rFonts w:cs="Arial"/>
          <w:color w:val="000000" w:themeColor="text1"/>
          <w:szCs w:val="16"/>
          <w:shd w:val="clear" w:color="auto" w:fill="FFFFFF"/>
        </w:rPr>
        <w:t>ED</w:t>
      </w:r>
      <w:r w:rsidRPr="00BA3DBE">
        <w:rPr>
          <w:rFonts w:cs="Arial"/>
          <w:i/>
          <w:iCs/>
          <w:color w:val="000000" w:themeColor="text1"/>
          <w:szCs w:val="16"/>
          <w:shd w:val="clear" w:color="auto" w:fill="FFFFFF"/>
        </w:rPr>
        <w:t>Facts</w:t>
      </w:r>
      <w:proofErr w:type="spellEnd"/>
      <w:r w:rsidRPr="00781112">
        <w:rPr>
          <w:rFonts w:cs="Arial"/>
          <w:color w:val="000000" w:themeColor="text1"/>
          <w:szCs w:val="16"/>
          <w:shd w:val="clear" w:color="auto" w:fill="FFFFFF"/>
        </w:rPr>
        <w:t xml:space="preserve"> file specification </w:t>
      </w:r>
      <w:r w:rsidR="00A95280" w:rsidRPr="00781112">
        <w:rPr>
          <w:rFonts w:cs="Arial"/>
          <w:color w:val="000000" w:themeColor="text1"/>
          <w:szCs w:val="16"/>
          <w:shd w:val="clear" w:color="auto" w:fill="FFFFFF"/>
        </w:rPr>
        <w:t>FS</w:t>
      </w:r>
      <w:r w:rsidRPr="00781112">
        <w:rPr>
          <w:rFonts w:cs="Arial"/>
          <w:color w:val="000000" w:themeColor="text1"/>
          <w:szCs w:val="16"/>
          <w:shd w:val="clear" w:color="auto" w:fill="FFFFFF"/>
        </w:rPr>
        <w:t>089.</w:t>
      </w:r>
    </w:p>
    <w:p w14:paraId="17AAF6AD" w14:textId="77777777" w:rsidR="005322B8" w:rsidRPr="00781112" w:rsidRDefault="005322B8" w:rsidP="004369B2">
      <w:pPr>
        <w:rPr>
          <w:color w:val="000000" w:themeColor="text1"/>
        </w:rPr>
      </w:pPr>
      <w:r w:rsidRPr="00781112">
        <w:rPr>
          <w:b/>
          <w:color w:val="000000" w:themeColor="text1"/>
        </w:rPr>
        <w:t>Measurement</w:t>
      </w:r>
    </w:p>
    <w:p w14:paraId="14C60C6A" w14:textId="3C4928BE" w:rsidR="005322B8" w:rsidRPr="00781112" w:rsidRDefault="00724BCB" w:rsidP="00286BDF">
      <w:pPr>
        <w:rPr>
          <w:rFonts w:cs="Arial"/>
          <w:color w:val="000000" w:themeColor="text1"/>
          <w:szCs w:val="16"/>
        </w:rPr>
      </w:pPr>
      <w:r w:rsidRPr="00781112">
        <w:rPr>
          <w:rFonts w:cs="Arial"/>
          <w:color w:val="000000" w:themeColor="text1"/>
          <w:szCs w:val="16"/>
        </w:rPr>
        <w:tab/>
        <w:t>A. Percent</w:t>
      </w:r>
      <w:r w:rsidR="005322B8" w:rsidRPr="00781112">
        <w:rPr>
          <w:rFonts w:cs="Arial"/>
          <w:color w:val="000000" w:themeColor="text1"/>
          <w:szCs w:val="16"/>
          <w:shd w:val="clear" w:color="auto" w:fill="FFFFFF"/>
        </w:rPr>
        <w:t xml:space="preserve"> = </w:t>
      </w:r>
      <w:r w:rsidR="00B2497F" w:rsidRPr="00781112">
        <w:rPr>
          <w:rFonts w:cs="Arial"/>
          <w:color w:val="000000" w:themeColor="text1"/>
          <w:szCs w:val="16"/>
          <w:shd w:val="clear" w:color="auto" w:fill="FFFFFF"/>
        </w:rPr>
        <w:t xml:space="preserve">[(# </w:t>
      </w:r>
      <w:r w:rsidR="005322B8" w:rsidRPr="00781112">
        <w:rPr>
          <w:rFonts w:cs="Arial"/>
          <w:color w:val="000000" w:themeColor="text1"/>
          <w:szCs w:val="16"/>
          <w:shd w:val="clear" w:color="auto" w:fill="FFFFFF"/>
        </w:rPr>
        <w:t>of children age</w:t>
      </w:r>
      <w:r w:rsidRPr="00781112">
        <w:rPr>
          <w:rFonts w:cs="Arial"/>
          <w:color w:val="000000" w:themeColor="text1"/>
          <w:szCs w:val="16"/>
          <w:shd w:val="clear" w:color="auto" w:fill="FFFFFF"/>
        </w:rPr>
        <w:t>s</w:t>
      </w:r>
      <w:r w:rsidR="005322B8" w:rsidRPr="00781112">
        <w:rPr>
          <w:rFonts w:cs="Arial"/>
          <w:color w:val="000000" w:themeColor="text1"/>
          <w:szCs w:val="16"/>
          <w:shd w:val="clear" w:color="auto" w:fill="FFFFFF"/>
        </w:rPr>
        <w:t xml:space="preserve"> 3</w:t>
      </w:r>
      <w:r w:rsidRPr="00781112">
        <w:rPr>
          <w:rFonts w:cs="Arial"/>
          <w:color w:val="000000" w:themeColor="text1"/>
          <w:szCs w:val="16"/>
          <w:shd w:val="clear" w:color="auto" w:fill="FFFFFF"/>
        </w:rPr>
        <w:t>, 4, and</w:t>
      </w:r>
      <w:r w:rsidR="005322B8" w:rsidRPr="00781112">
        <w:rPr>
          <w:rFonts w:cs="Arial"/>
          <w:color w:val="000000" w:themeColor="text1"/>
          <w:szCs w:val="16"/>
          <w:shd w:val="clear" w:color="auto" w:fill="FFFFFF"/>
        </w:rPr>
        <w:t xml:space="preserve"> 5 with IEPs attending a regular early childhood program and receiving the majority of special </w:t>
      </w:r>
      <w:r w:rsidR="00774DE0" w:rsidRPr="00781112">
        <w:rPr>
          <w:rFonts w:cs="Arial"/>
          <w:color w:val="000000" w:themeColor="text1"/>
          <w:szCs w:val="16"/>
          <w:shd w:val="clear" w:color="auto" w:fill="FFFFFF"/>
        </w:rPr>
        <w:tab/>
      </w:r>
      <w:r w:rsidR="005322B8" w:rsidRPr="00781112">
        <w:rPr>
          <w:rFonts w:cs="Arial"/>
          <w:color w:val="000000" w:themeColor="text1"/>
          <w:szCs w:val="16"/>
          <w:shd w:val="clear" w:color="auto" w:fill="FFFFFF"/>
        </w:rPr>
        <w:t>education and related services in the regular early childhood program) divided by the (total # of children age</w:t>
      </w:r>
      <w:r w:rsidR="00774DE0" w:rsidRPr="00781112">
        <w:rPr>
          <w:rFonts w:cs="Arial"/>
          <w:color w:val="000000" w:themeColor="text1"/>
          <w:szCs w:val="16"/>
          <w:shd w:val="clear" w:color="auto" w:fill="FFFFFF"/>
        </w:rPr>
        <w:t>s</w:t>
      </w:r>
      <w:r w:rsidR="005322B8" w:rsidRPr="00781112">
        <w:rPr>
          <w:rFonts w:cs="Arial"/>
          <w:color w:val="000000" w:themeColor="text1"/>
          <w:szCs w:val="16"/>
          <w:shd w:val="clear" w:color="auto" w:fill="FFFFFF"/>
        </w:rPr>
        <w:t xml:space="preserve"> 3</w:t>
      </w:r>
      <w:r w:rsidR="00774DE0" w:rsidRPr="00781112">
        <w:rPr>
          <w:rFonts w:cs="Arial"/>
          <w:color w:val="000000" w:themeColor="text1"/>
          <w:szCs w:val="16"/>
          <w:shd w:val="clear" w:color="auto" w:fill="FFFFFF"/>
        </w:rPr>
        <w:t>, 4, and</w:t>
      </w:r>
      <w:r w:rsidR="005322B8" w:rsidRPr="00781112">
        <w:rPr>
          <w:rFonts w:cs="Arial"/>
          <w:color w:val="000000" w:themeColor="text1"/>
          <w:szCs w:val="16"/>
          <w:shd w:val="clear" w:color="auto" w:fill="FFFFFF"/>
        </w:rPr>
        <w:t xml:space="preserve"> 5 with IEPs)</w:t>
      </w:r>
      <w:r w:rsidR="00B2497F" w:rsidRPr="00781112">
        <w:rPr>
          <w:rFonts w:cs="Arial"/>
          <w:color w:val="000000" w:themeColor="text1"/>
          <w:szCs w:val="16"/>
          <w:shd w:val="clear" w:color="auto" w:fill="FFFFFF"/>
        </w:rPr>
        <w:t>]</w:t>
      </w:r>
      <w:r w:rsidR="005322B8" w:rsidRPr="00781112">
        <w:rPr>
          <w:rFonts w:cs="Arial"/>
          <w:color w:val="000000" w:themeColor="text1"/>
          <w:szCs w:val="16"/>
          <w:shd w:val="clear" w:color="auto" w:fill="FFFFFF"/>
        </w:rPr>
        <w:t xml:space="preserve"> times </w:t>
      </w:r>
      <w:r w:rsidR="00774DE0" w:rsidRPr="00781112">
        <w:rPr>
          <w:rFonts w:cs="Arial"/>
          <w:color w:val="000000" w:themeColor="text1"/>
          <w:szCs w:val="16"/>
          <w:shd w:val="clear" w:color="auto" w:fill="FFFFFF"/>
        </w:rPr>
        <w:tab/>
      </w:r>
      <w:r w:rsidR="005322B8" w:rsidRPr="00781112">
        <w:rPr>
          <w:rFonts w:cs="Arial"/>
          <w:color w:val="000000" w:themeColor="text1"/>
          <w:szCs w:val="16"/>
          <w:shd w:val="clear" w:color="auto" w:fill="FFFFFF"/>
        </w:rPr>
        <w:t>100.</w:t>
      </w:r>
    </w:p>
    <w:p w14:paraId="0CD6EF84" w14:textId="4020B61A" w:rsidR="005322B8" w:rsidRPr="00781112" w:rsidRDefault="00774DE0" w:rsidP="00286BDF">
      <w:pPr>
        <w:rPr>
          <w:rFonts w:cs="Arial"/>
          <w:color w:val="000000" w:themeColor="text1"/>
          <w:szCs w:val="16"/>
          <w:shd w:val="clear" w:color="auto" w:fill="FFFFFF"/>
        </w:rPr>
      </w:pPr>
      <w:r w:rsidRPr="00781112">
        <w:rPr>
          <w:rFonts w:cs="Arial"/>
          <w:color w:val="000000" w:themeColor="text1"/>
          <w:szCs w:val="16"/>
        </w:rPr>
        <w:tab/>
        <w:t xml:space="preserve">B. Percent </w:t>
      </w:r>
      <w:r w:rsidR="00DB1150" w:rsidRPr="00781112">
        <w:rPr>
          <w:rFonts w:cs="Arial"/>
          <w:color w:val="000000" w:themeColor="text1"/>
          <w:szCs w:val="16"/>
          <w:shd w:val="clear" w:color="auto" w:fill="FFFFFF"/>
        </w:rPr>
        <w:t>=</w:t>
      </w:r>
      <w:r w:rsidR="005322B8" w:rsidRPr="00781112">
        <w:rPr>
          <w:rFonts w:cs="Arial"/>
          <w:color w:val="000000" w:themeColor="text1"/>
          <w:szCs w:val="16"/>
          <w:shd w:val="clear" w:color="auto" w:fill="FFFFFF"/>
        </w:rPr>
        <w:t xml:space="preserve"> </w:t>
      </w:r>
      <w:r w:rsidR="00B2497F" w:rsidRPr="00781112">
        <w:rPr>
          <w:rFonts w:cs="Arial"/>
          <w:color w:val="000000" w:themeColor="text1"/>
          <w:szCs w:val="16"/>
          <w:shd w:val="clear" w:color="auto" w:fill="FFFFFF"/>
        </w:rPr>
        <w:t>[</w:t>
      </w:r>
      <w:r w:rsidR="005322B8" w:rsidRPr="00781112">
        <w:rPr>
          <w:rFonts w:cs="Arial"/>
          <w:color w:val="000000" w:themeColor="text1"/>
          <w:szCs w:val="16"/>
          <w:shd w:val="clear" w:color="auto" w:fill="FFFFFF"/>
        </w:rPr>
        <w:t>(# of children age</w:t>
      </w:r>
      <w:r w:rsidR="00633044" w:rsidRPr="00781112">
        <w:rPr>
          <w:rFonts w:cs="Arial"/>
          <w:color w:val="000000" w:themeColor="text1"/>
          <w:szCs w:val="16"/>
          <w:shd w:val="clear" w:color="auto" w:fill="FFFFFF"/>
        </w:rPr>
        <w:t>s</w:t>
      </w:r>
      <w:r w:rsidR="005322B8" w:rsidRPr="00781112">
        <w:rPr>
          <w:rFonts w:cs="Arial"/>
          <w:color w:val="000000" w:themeColor="text1"/>
          <w:szCs w:val="16"/>
          <w:shd w:val="clear" w:color="auto" w:fill="FFFFFF"/>
        </w:rPr>
        <w:t xml:space="preserve"> 3</w:t>
      </w:r>
      <w:r w:rsidR="00633044" w:rsidRPr="00781112">
        <w:rPr>
          <w:rFonts w:cs="Arial"/>
          <w:color w:val="000000" w:themeColor="text1"/>
          <w:szCs w:val="16"/>
          <w:shd w:val="clear" w:color="auto" w:fill="FFFFFF"/>
        </w:rPr>
        <w:t>, 4, and</w:t>
      </w:r>
      <w:r w:rsidR="005322B8" w:rsidRPr="00781112">
        <w:rPr>
          <w:rFonts w:cs="Arial"/>
          <w:color w:val="000000" w:themeColor="text1"/>
          <w:szCs w:val="16"/>
          <w:shd w:val="clear" w:color="auto" w:fill="FFFFFF"/>
        </w:rPr>
        <w:t xml:space="preserve"> 5 with IEPs attending a separate special education class, separate school or residential facility) </w:t>
      </w:r>
      <w:r w:rsidRPr="00781112">
        <w:rPr>
          <w:rFonts w:cs="Arial"/>
          <w:color w:val="000000" w:themeColor="text1"/>
          <w:szCs w:val="16"/>
          <w:shd w:val="clear" w:color="auto" w:fill="FFFFFF"/>
        </w:rPr>
        <w:tab/>
      </w:r>
      <w:r w:rsidR="005322B8" w:rsidRPr="00781112">
        <w:rPr>
          <w:rFonts w:cs="Arial"/>
          <w:color w:val="000000" w:themeColor="text1"/>
          <w:szCs w:val="16"/>
          <w:shd w:val="clear" w:color="auto" w:fill="FFFFFF"/>
        </w:rPr>
        <w:t>divided by the (total # of children age</w:t>
      </w:r>
      <w:r w:rsidR="00633044" w:rsidRPr="00781112">
        <w:rPr>
          <w:rFonts w:cs="Arial"/>
          <w:color w:val="000000" w:themeColor="text1"/>
          <w:szCs w:val="16"/>
          <w:shd w:val="clear" w:color="auto" w:fill="FFFFFF"/>
        </w:rPr>
        <w:t>s</w:t>
      </w:r>
      <w:r w:rsidR="005322B8" w:rsidRPr="00781112">
        <w:rPr>
          <w:rFonts w:cs="Arial"/>
          <w:color w:val="000000" w:themeColor="text1"/>
          <w:szCs w:val="16"/>
          <w:shd w:val="clear" w:color="auto" w:fill="FFFFFF"/>
        </w:rPr>
        <w:t xml:space="preserve"> 3</w:t>
      </w:r>
      <w:r w:rsidR="00633044" w:rsidRPr="00781112">
        <w:rPr>
          <w:rFonts w:cs="Arial"/>
          <w:color w:val="000000" w:themeColor="text1"/>
          <w:szCs w:val="16"/>
          <w:shd w:val="clear" w:color="auto" w:fill="FFFFFF"/>
        </w:rPr>
        <w:t>, 4, and</w:t>
      </w:r>
      <w:r w:rsidR="005322B8" w:rsidRPr="00781112">
        <w:rPr>
          <w:rFonts w:cs="Arial"/>
          <w:color w:val="000000" w:themeColor="text1"/>
          <w:szCs w:val="16"/>
          <w:shd w:val="clear" w:color="auto" w:fill="FFFFFF"/>
        </w:rPr>
        <w:t xml:space="preserve"> 5 with IEPs)</w:t>
      </w:r>
      <w:r w:rsidR="00B2497F" w:rsidRPr="00781112">
        <w:rPr>
          <w:rFonts w:cs="Arial"/>
          <w:color w:val="000000" w:themeColor="text1"/>
          <w:szCs w:val="16"/>
          <w:shd w:val="clear" w:color="auto" w:fill="FFFFFF"/>
        </w:rPr>
        <w:t>]</w:t>
      </w:r>
      <w:r w:rsidR="005322B8" w:rsidRPr="00781112">
        <w:rPr>
          <w:rFonts w:cs="Arial"/>
          <w:color w:val="000000" w:themeColor="text1"/>
          <w:szCs w:val="16"/>
          <w:shd w:val="clear" w:color="auto" w:fill="FFFFFF"/>
        </w:rPr>
        <w:t xml:space="preserve"> times 100.</w:t>
      </w:r>
    </w:p>
    <w:p w14:paraId="48F03EFA" w14:textId="54A1E7EC" w:rsidR="00774DE0" w:rsidRPr="00781112" w:rsidRDefault="002C5A1B" w:rsidP="00360DD6">
      <w:pPr>
        <w:ind w:left="360"/>
        <w:rPr>
          <w:rFonts w:cs="Arial"/>
          <w:szCs w:val="16"/>
        </w:rPr>
      </w:pPr>
      <w:r w:rsidRPr="00781112">
        <w:rPr>
          <w:rFonts w:cs="Arial"/>
          <w:color w:val="000000" w:themeColor="text1"/>
          <w:szCs w:val="16"/>
          <w:shd w:val="clear" w:color="auto" w:fill="FFFFFF"/>
        </w:rPr>
        <w:tab/>
      </w:r>
      <w:r w:rsidR="007E77D6" w:rsidRPr="00781112">
        <w:rPr>
          <w:rFonts w:cs="Arial"/>
          <w:color w:val="000000" w:themeColor="text1"/>
          <w:szCs w:val="16"/>
          <w:shd w:val="clear" w:color="auto" w:fill="FFFFFF"/>
        </w:rPr>
        <w:t xml:space="preserve">C. </w:t>
      </w:r>
      <w:r w:rsidRPr="00781112">
        <w:rPr>
          <w:rFonts w:cs="Arial"/>
          <w:szCs w:val="16"/>
        </w:rPr>
        <w:t xml:space="preserve">Percent = [(# of children ages 3, 4, and 5 with IEPs receiving special education and related services in the home) divided by the (total # of </w:t>
      </w:r>
      <w:r w:rsidRPr="00781112">
        <w:rPr>
          <w:rFonts w:cs="Arial"/>
          <w:szCs w:val="16"/>
        </w:rPr>
        <w:tab/>
        <w:t>children ages 3, 4, and 5 with IEPs)] times 100.</w:t>
      </w:r>
    </w:p>
    <w:p w14:paraId="2CAF467D" w14:textId="77777777" w:rsidR="005322B8" w:rsidRPr="00781112" w:rsidRDefault="005322B8" w:rsidP="004369B2">
      <w:pPr>
        <w:rPr>
          <w:color w:val="000000" w:themeColor="text1"/>
        </w:rPr>
      </w:pPr>
      <w:r w:rsidRPr="00781112">
        <w:rPr>
          <w:b/>
          <w:color w:val="000000" w:themeColor="text1"/>
        </w:rPr>
        <w:t>Instructions</w:t>
      </w:r>
    </w:p>
    <w:p w14:paraId="5B2FF157" w14:textId="6FABC6E7" w:rsidR="005322B8" w:rsidRPr="00781112" w:rsidRDefault="005322B8" w:rsidP="00BB7BC9">
      <w:pPr>
        <w:rPr>
          <w:rFonts w:cs="Arial"/>
          <w:i/>
          <w:iCs/>
          <w:color w:val="000000" w:themeColor="text1"/>
          <w:szCs w:val="16"/>
        </w:rPr>
      </w:pPr>
      <w:r w:rsidRPr="00781112">
        <w:rPr>
          <w:rFonts w:cs="Arial"/>
          <w:i/>
          <w:iCs/>
          <w:color w:val="000000" w:themeColor="text1"/>
          <w:szCs w:val="16"/>
        </w:rPr>
        <w:t>Sampling from the State’s 618 data is not allowed.</w:t>
      </w:r>
    </w:p>
    <w:p w14:paraId="4451A4DB" w14:textId="77777777" w:rsidR="00426EC6" w:rsidRPr="00781112" w:rsidRDefault="00426EC6" w:rsidP="00426EC6">
      <w:pPr>
        <w:rPr>
          <w:rFonts w:cs="Arial"/>
          <w:szCs w:val="16"/>
        </w:rPr>
      </w:pPr>
      <w:r w:rsidRPr="00781112">
        <w:rPr>
          <w:rFonts w:cs="Arial"/>
          <w:szCs w:val="16"/>
        </w:rPr>
        <w:t>States must report five-year-old children with disabilities who are enrolled in preschool programs in this indicator. Five-year-old children with disabilities who are enrolled in kindergarten are included in Indicator 5.</w:t>
      </w:r>
    </w:p>
    <w:p w14:paraId="0B2E3F2D" w14:textId="77777777" w:rsidR="00426EC6" w:rsidRPr="00781112" w:rsidRDefault="00426EC6" w:rsidP="00426EC6">
      <w:pPr>
        <w:rPr>
          <w:rFonts w:cs="Arial"/>
          <w:szCs w:val="16"/>
        </w:rPr>
      </w:pPr>
      <w:r w:rsidRPr="00781112">
        <w:rPr>
          <w:rFonts w:cs="Arial"/>
          <w:szCs w:val="16"/>
        </w:rPr>
        <w:t>States may choose to set one target that is inclusive of children ages 3, 4, and 5, or set individual targets for each age.</w:t>
      </w:r>
    </w:p>
    <w:p w14:paraId="7F82A520" w14:textId="77777777" w:rsidR="00633044" w:rsidRPr="00781112" w:rsidRDefault="00633044" w:rsidP="00633044">
      <w:pPr>
        <w:rPr>
          <w:rFonts w:cs="Arial"/>
          <w:szCs w:val="16"/>
        </w:rPr>
      </w:pPr>
      <w:r w:rsidRPr="00781112">
        <w:rPr>
          <w:rFonts w:cs="Arial"/>
          <w:szCs w:val="16"/>
        </w:rPr>
        <w:t>For Indicator 6C: States are not required to establish a baseline or targets if the number of children receiving special education and related services in the home is less than 10, regardless of whether the State chooses to set one target that is inclusive of children ages 3, 4, and 5, or set individual targets for each age. In a reporting period during which the number of children receiving special education and related services in the home reaches 10 or greater, States are required to develop baseline and targets and report on them in the corresponding SPP/APR.</w:t>
      </w:r>
    </w:p>
    <w:p w14:paraId="676DC96C" w14:textId="77777777" w:rsidR="00085D61" w:rsidRDefault="00633044" w:rsidP="00BB7BC9">
      <w:pPr>
        <w:rPr>
          <w:rFonts w:cs="Arial"/>
          <w:iCs/>
          <w:szCs w:val="16"/>
        </w:rPr>
      </w:pPr>
      <w:r w:rsidRPr="00781112">
        <w:rPr>
          <w:rFonts w:cs="Arial"/>
          <w:szCs w:val="16"/>
        </w:rPr>
        <w:t xml:space="preserve">For Indicator 6C: </w:t>
      </w:r>
      <w:r w:rsidRPr="00781112">
        <w:rPr>
          <w:rFonts w:cs="Arial"/>
          <w:iCs/>
          <w:szCs w:val="16"/>
        </w:rPr>
        <w:t>States may express their targets in a range (</w:t>
      </w:r>
      <w:r w:rsidRPr="00781112">
        <w:rPr>
          <w:rFonts w:cs="Arial"/>
          <w:i/>
          <w:iCs/>
          <w:szCs w:val="16"/>
        </w:rPr>
        <w:t>e.g.</w:t>
      </w:r>
      <w:r w:rsidRPr="00781112">
        <w:rPr>
          <w:rFonts w:cs="Arial"/>
          <w:iCs/>
          <w:szCs w:val="16"/>
        </w:rPr>
        <w:t>, 75-85%).</w:t>
      </w:r>
    </w:p>
    <w:p w14:paraId="594A7ED4" w14:textId="4CE4250A" w:rsidR="005322B8" w:rsidRPr="00781112" w:rsidRDefault="005322B8" w:rsidP="00BB7BC9">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19F07E42" w14:textId="35DC1378" w:rsidR="005322B8" w:rsidRPr="00781112" w:rsidRDefault="005322B8" w:rsidP="00BB7BC9">
      <w:pPr>
        <w:rPr>
          <w:rFonts w:cs="Arial"/>
          <w:color w:val="000000" w:themeColor="text1"/>
          <w:szCs w:val="16"/>
        </w:rPr>
      </w:pPr>
      <w:r w:rsidRPr="00781112">
        <w:rPr>
          <w:rFonts w:cs="Arial"/>
          <w:color w:val="000000" w:themeColor="text1"/>
          <w:szCs w:val="16"/>
        </w:rPr>
        <w:t>If the data reported in this indicator are not the same as the State’s data reported under IDEA section 618, explain.</w:t>
      </w:r>
    </w:p>
    <w:bookmarkEnd w:id="44"/>
    <w:p w14:paraId="1489816D" w14:textId="2F10D57A" w:rsidR="008D3484" w:rsidRPr="00781112" w:rsidRDefault="00C96236" w:rsidP="008645AD">
      <w:pPr>
        <w:pStyle w:val="Heading2"/>
      </w:pPr>
      <w:r w:rsidRPr="00781112">
        <w:t>6</w:t>
      </w:r>
      <w:r w:rsidR="00C91B94" w:rsidRPr="00781112">
        <w:t xml:space="preserve"> </w:t>
      </w:r>
      <w:r w:rsidRPr="00781112">
        <w:t xml:space="preserve">- </w:t>
      </w:r>
      <w:r w:rsidR="008D3484" w:rsidRPr="00781112">
        <w:t>Indicator Data</w:t>
      </w:r>
    </w:p>
    <w:p w14:paraId="625E607A" w14:textId="77777777" w:rsidR="0091098C" w:rsidRPr="00781112" w:rsidRDefault="0091098C" w:rsidP="004369B2">
      <w:pPr>
        <w:rPr>
          <w:color w:val="000000" w:themeColor="text1"/>
        </w:rPr>
      </w:pPr>
      <w:r w:rsidRPr="00781112">
        <w:rPr>
          <w:b/>
          <w:color w:val="000000" w:themeColor="text1"/>
        </w:rPr>
        <w:t>Not Applicable</w:t>
      </w:r>
    </w:p>
    <w:p w14:paraId="5333465D" w14:textId="3F1EC485" w:rsidR="004B75EC" w:rsidRPr="00781112" w:rsidRDefault="003229FA">
      <w:pPr>
        <w:rPr>
          <w:b/>
          <w:color w:val="000000" w:themeColor="text1"/>
        </w:rPr>
      </w:pPr>
      <w:r w:rsidRPr="00781112">
        <w:rPr>
          <w:b/>
          <w:color w:val="000000" w:themeColor="text1"/>
        </w:rPr>
        <w:t xml:space="preserve">Select yes if this indicator is not applicable. </w:t>
      </w:r>
    </w:p>
    <w:p w14:paraId="2FEE6491" w14:textId="58E763AD" w:rsidR="00043AC9" w:rsidRPr="00781112" w:rsidRDefault="00043AC9" w:rsidP="004369B2">
      <w:pPr>
        <w:rPr>
          <w:rFonts w:cs="Arial"/>
          <w:color w:val="000000" w:themeColor="text1"/>
          <w:szCs w:val="16"/>
        </w:rPr>
      </w:pPr>
      <w:r w:rsidRPr="00781112">
        <w:rPr>
          <w:rFonts w:cs="Arial"/>
          <w:color w:val="000000" w:themeColor="text1"/>
          <w:szCs w:val="16"/>
        </w:rPr>
        <w:t>NO</w:t>
      </w:r>
    </w:p>
    <w:p w14:paraId="1E57959E" w14:textId="77777777" w:rsidR="00AE3B11" w:rsidRPr="00781112" w:rsidRDefault="00AE3B11" w:rsidP="002441FF">
      <w:pPr>
        <w:rPr>
          <w:color w:val="000000" w:themeColor="text1"/>
        </w:rPr>
      </w:pPr>
    </w:p>
    <w:p w14:paraId="2DFC3658" w14:textId="63E75FBF" w:rsidR="006309D0" w:rsidRPr="00781112" w:rsidRDefault="006309D0" w:rsidP="006309D0">
      <w:pPr>
        <w:rPr>
          <w:b/>
          <w:color w:val="000000" w:themeColor="text1"/>
        </w:rPr>
      </w:pPr>
      <w:r w:rsidRPr="00781112">
        <w:rPr>
          <w:b/>
          <w:color w:val="000000" w:themeColor="text1"/>
        </w:rPr>
        <w:t>Historical Data (Inclusive) – 6A, 6B, 6C</w:t>
      </w:r>
    </w:p>
    <w:tbl>
      <w:tblPr>
        <w:tblW w:w="45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6HISTDATA"/>
      </w:tblPr>
      <w:tblGrid>
        <w:gridCol w:w="625"/>
        <w:gridCol w:w="1036"/>
        <w:gridCol w:w="1618"/>
        <w:gridCol w:w="1619"/>
        <w:gridCol w:w="1618"/>
        <w:gridCol w:w="1619"/>
        <w:gridCol w:w="1619"/>
      </w:tblGrid>
      <w:tr w:rsidR="001F2C34" w:rsidRPr="00781112" w14:paraId="10B8D4E0" w14:textId="65C4ABC5" w:rsidTr="005F5FE9">
        <w:trPr>
          <w:trHeight w:val="485"/>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D5DFCFC" w14:textId="199152DC"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Part</w:t>
            </w: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0195DB54" w14:textId="77777777"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FFY</w:t>
            </w:r>
          </w:p>
        </w:tc>
        <w:tc>
          <w:tcPr>
            <w:tcW w:w="1618" w:type="dxa"/>
            <w:tcBorders>
              <w:top w:val="single" w:sz="4" w:space="0" w:color="auto"/>
              <w:left w:val="single" w:sz="4" w:space="0" w:color="auto"/>
              <w:bottom w:val="single" w:sz="4" w:space="0" w:color="auto"/>
              <w:right w:val="single" w:sz="4" w:space="0" w:color="auto"/>
            </w:tcBorders>
            <w:shd w:val="clear" w:color="auto" w:fill="auto"/>
            <w:hideMark/>
          </w:tcPr>
          <w:p w14:paraId="6D0BD013" w14:textId="2E725702"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2017</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14:paraId="793A4955" w14:textId="7857A3E8"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2018</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C1C44EE" w14:textId="0FBA6B8E"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2019</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14:paraId="738D2C75" w14:textId="09B12609"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2020</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14:paraId="09EF8815" w14:textId="0E900FD9"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2021</w:t>
            </w:r>
          </w:p>
        </w:tc>
      </w:tr>
      <w:tr w:rsidR="001F2C34" w:rsidRPr="00781112" w14:paraId="12643853" w14:textId="714409A9" w:rsidTr="005F5FE9">
        <w:trPr>
          <w:trHeight w:val="357"/>
        </w:trPr>
        <w:tc>
          <w:tcPr>
            <w:tcW w:w="625" w:type="dxa"/>
            <w:tcBorders>
              <w:top w:val="single" w:sz="4" w:space="0" w:color="auto"/>
              <w:left w:val="single" w:sz="4" w:space="0" w:color="auto"/>
              <w:right w:val="single" w:sz="4" w:space="0" w:color="auto"/>
            </w:tcBorders>
            <w:shd w:val="clear" w:color="auto" w:fill="auto"/>
            <w:vAlign w:val="center"/>
          </w:tcPr>
          <w:p w14:paraId="1DCB50CC" w14:textId="77777777" w:rsidR="001F2C34" w:rsidRPr="00781112" w:rsidRDefault="001F2C34">
            <w:pPr>
              <w:spacing w:line="276" w:lineRule="auto"/>
              <w:jc w:val="center"/>
              <w:rPr>
                <w:rFonts w:cs="Arial"/>
                <w:b/>
                <w:bCs/>
                <w:color w:val="000000" w:themeColor="text1"/>
                <w:szCs w:val="16"/>
              </w:rPr>
            </w:pPr>
            <w:r w:rsidRPr="00781112">
              <w:rPr>
                <w:rFonts w:cs="Arial"/>
                <w:b/>
                <w:bCs/>
                <w:color w:val="000000" w:themeColor="text1"/>
                <w:szCs w:val="16"/>
              </w:rPr>
              <w:t>A</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78A73" w14:textId="4E273194" w:rsidR="001F2C34" w:rsidRPr="00781112" w:rsidRDefault="001F2C34" w:rsidP="00BA3DBE">
            <w:pPr>
              <w:spacing w:line="276" w:lineRule="auto"/>
              <w:jc w:val="center"/>
              <w:rPr>
                <w:rFonts w:cs="Arial"/>
                <w:color w:val="000000" w:themeColor="text1"/>
                <w:szCs w:val="16"/>
              </w:rPr>
            </w:pPr>
            <w:r w:rsidRPr="00781112">
              <w:rPr>
                <w:rFonts w:cs="Arial"/>
                <w:color w:val="000000" w:themeColor="text1"/>
                <w:szCs w:val="16"/>
              </w:rPr>
              <w:t>Target &gt;=</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5D572D5A" w14:textId="187A2156" w:rsidR="001F2C34" w:rsidRPr="00781112" w:rsidRDefault="001F2C34" w:rsidP="00A018D4">
            <w:pPr>
              <w:jc w:val="center"/>
              <w:rPr>
                <w:rFonts w:cs="Arial"/>
                <w:color w:val="000000" w:themeColor="text1"/>
                <w:szCs w:val="16"/>
              </w:rPr>
            </w:pPr>
            <w:r w:rsidRPr="00781112">
              <w:rPr>
                <w:rFonts w:cs="Arial"/>
                <w:color w:val="000000" w:themeColor="text1"/>
                <w:szCs w:val="16"/>
              </w:rPr>
              <w:t>52.00%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7473ABC9" w14:textId="69DF669C" w:rsidR="001F2C34" w:rsidRPr="00781112" w:rsidRDefault="001F2C34" w:rsidP="00A018D4">
            <w:pPr>
              <w:jc w:val="center"/>
              <w:rPr>
                <w:rFonts w:cs="Arial"/>
                <w:color w:val="000000" w:themeColor="text1"/>
                <w:szCs w:val="16"/>
              </w:rPr>
            </w:pPr>
            <w:r w:rsidRPr="00781112">
              <w:rPr>
                <w:rFonts w:cs="Arial"/>
                <w:color w:val="000000" w:themeColor="text1"/>
                <w:szCs w:val="16"/>
              </w:rPr>
              <w:t>52.00%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149232E9" w14:textId="6EBFCFBD" w:rsidR="001F2C34" w:rsidRPr="00781112" w:rsidRDefault="001F2C34" w:rsidP="00A018D4">
            <w:pPr>
              <w:jc w:val="center"/>
              <w:rPr>
                <w:rFonts w:cs="Arial"/>
                <w:color w:val="000000" w:themeColor="text1"/>
                <w:szCs w:val="16"/>
              </w:rPr>
            </w:pPr>
            <w:r w:rsidRPr="00781112">
              <w:rPr>
                <w:rFonts w:cs="Arial"/>
                <w:color w:val="000000" w:themeColor="text1"/>
                <w:szCs w:val="16"/>
              </w:rPr>
              <w:t>52.00%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7B7D5E8" w14:textId="6AF11356" w:rsidR="001F2C34" w:rsidRPr="00781112" w:rsidRDefault="001F2C34" w:rsidP="00A018D4">
            <w:pPr>
              <w:jc w:val="center"/>
              <w:rPr>
                <w:rFonts w:cs="Arial"/>
                <w:color w:val="000000" w:themeColor="text1"/>
                <w:szCs w:val="16"/>
              </w:rPr>
            </w:pPr>
            <w:r w:rsidRPr="00781112">
              <w:rPr>
                <w:rFonts w:cs="Arial"/>
                <w:color w:val="000000" w:themeColor="text1"/>
                <w:szCs w:val="16"/>
              </w:rPr>
              <w:t>52.58%</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72960723" w14:textId="6EE6EB41" w:rsidR="001F2C34" w:rsidRPr="00781112" w:rsidRDefault="001F2C34" w:rsidP="00A018D4">
            <w:pPr>
              <w:jc w:val="center"/>
              <w:rPr>
                <w:rFonts w:cs="Arial"/>
                <w:color w:val="000000" w:themeColor="text1"/>
                <w:szCs w:val="16"/>
              </w:rPr>
            </w:pPr>
            <w:r w:rsidRPr="00781112">
              <w:rPr>
                <w:rFonts w:cs="Arial"/>
                <w:color w:val="000000" w:themeColor="text1"/>
                <w:szCs w:val="16"/>
              </w:rPr>
              <w:t>53.08%</w:t>
            </w:r>
          </w:p>
        </w:tc>
      </w:tr>
      <w:tr w:rsidR="001F2C34" w:rsidRPr="00781112" w14:paraId="24AB409F" w14:textId="3963C8DA" w:rsidTr="005F5FE9">
        <w:trPr>
          <w:trHeight w:val="85"/>
        </w:trPr>
        <w:tc>
          <w:tcPr>
            <w:tcW w:w="625" w:type="dxa"/>
            <w:tcBorders>
              <w:left w:val="single" w:sz="4" w:space="0" w:color="auto"/>
              <w:right w:val="single" w:sz="4" w:space="0" w:color="auto"/>
            </w:tcBorders>
            <w:shd w:val="clear" w:color="auto" w:fill="auto"/>
            <w:vAlign w:val="center"/>
          </w:tcPr>
          <w:p w14:paraId="29D181B3" w14:textId="5F8E2E42" w:rsidR="001F2C34" w:rsidRPr="00781112" w:rsidRDefault="001F2C34" w:rsidP="004369B2">
            <w:pPr>
              <w:spacing w:line="276" w:lineRule="auto"/>
              <w:jc w:val="center"/>
              <w:rPr>
                <w:rFonts w:cs="Arial"/>
                <w:b/>
                <w:bCs/>
                <w:color w:val="000000" w:themeColor="text1"/>
                <w:szCs w:val="16"/>
              </w:rPr>
            </w:pPr>
            <w:r w:rsidRPr="00781112">
              <w:rPr>
                <w:rFonts w:cs="Arial"/>
                <w:b/>
                <w:bCs/>
                <w:color w:val="000000" w:themeColor="text1"/>
                <w:szCs w:val="16"/>
              </w:rPr>
              <w:t>A</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AFC6E" w14:textId="77777777" w:rsidR="001F2C34" w:rsidRPr="00781112" w:rsidRDefault="001F2C34" w:rsidP="00BA3DBE">
            <w:pPr>
              <w:spacing w:line="276" w:lineRule="auto"/>
              <w:jc w:val="center"/>
              <w:rPr>
                <w:rFonts w:cs="Arial"/>
                <w:color w:val="000000" w:themeColor="text1"/>
                <w:szCs w:val="16"/>
              </w:rPr>
            </w:pPr>
            <w:r w:rsidRPr="00781112">
              <w:rPr>
                <w:rFonts w:cs="Arial"/>
                <w:color w:val="000000" w:themeColor="text1"/>
                <w:szCs w:val="16"/>
              </w:rPr>
              <w:t>Data</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4CB2CE2B" w14:textId="24BBB7A6" w:rsidR="001F2C34" w:rsidRPr="00781112" w:rsidRDefault="001F2C34" w:rsidP="00A018D4">
            <w:pPr>
              <w:jc w:val="center"/>
              <w:rPr>
                <w:rFonts w:cs="Arial"/>
                <w:color w:val="000000" w:themeColor="text1"/>
                <w:szCs w:val="16"/>
              </w:rPr>
            </w:pPr>
            <w:r w:rsidRPr="00781112">
              <w:rPr>
                <w:rFonts w:cs="Arial"/>
                <w:color w:val="000000" w:themeColor="text1"/>
                <w:szCs w:val="16"/>
              </w:rPr>
              <w:t>44.12%</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029C2908" w14:textId="5081117A" w:rsidR="001F2C34" w:rsidRPr="00781112" w:rsidRDefault="001F2C34" w:rsidP="00A018D4">
            <w:pPr>
              <w:jc w:val="center"/>
              <w:rPr>
                <w:rFonts w:cs="Arial"/>
                <w:color w:val="000000" w:themeColor="text1"/>
                <w:szCs w:val="16"/>
              </w:rPr>
            </w:pPr>
            <w:r w:rsidRPr="00781112">
              <w:rPr>
                <w:rFonts w:cs="Arial"/>
                <w:color w:val="000000" w:themeColor="text1"/>
                <w:szCs w:val="16"/>
              </w:rPr>
              <w:t>46.13%</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3BDED07A" w14:textId="02885BAD" w:rsidR="001F2C34" w:rsidRPr="00781112" w:rsidRDefault="001F2C34" w:rsidP="00A018D4">
            <w:pPr>
              <w:jc w:val="center"/>
              <w:rPr>
                <w:rFonts w:cs="Arial"/>
                <w:color w:val="000000" w:themeColor="text1"/>
                <w:szCs w:val="16"/>
              </w:rPr>
            </w:pPr>
            <w:r w:rsidRPr="00781112">
              <w:rPr>
                <w:rFonts w:cs="Arial"/>
                <w:color w:val="000000" w:themeColor="text1"/>
                <w:szCs w:val="16"/>
              </w:rPr>
              <w:t>52.08%</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6DF0B77B" w14:textId="4431B3F8" w:rsidR="001F2C34" w:rsidRPr="00781112" w:rsidRDefault="001F2C34" w:rsidP="00A018D4">
            <w:pPr>
              <w:jc w:val="center"/>
              <w:rPr>
                <w:rFonts w:cs="Arial"/>
                <w:color w:val="000000" w:themeColor="text1"/>
                <w:szCs w:val="16"/>
              </w:rPr>
            </w:pPr>
            <w:r w:rsidRPr="00781112">
              <w:rPr>
                <w:rFonts w:cs="Arial"/>
                <w:color w:val="000000" w:themeColor="text1"/>
                <w:szCs w:val="16"/>
              </w:rPr>
              <w:t>53.38%</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6BBCE63" w14:textId="41D20CCF" w:rsidR="001F2C34" w:rsidRPr="00781112" w:rsidRDefault="001F2C34" w:rsidP="00A018D4">
            <w:pPr>
              <w:jc w:val="center"/>
              <w:rPr>
                <w:rFonts w:cs="Arial"/>
                <w:color w:val="000000" w:themeColor="text1"/>
                <w:szCs w:val="16"/>
              </w:rPr>
            </w:pPr>
            <w:r w:rsidRPr="00781112">
              <w:rPr>
                <w:rFonts w:cs="Arial"/>
                <w:color w:val="000000" w:themeColor="text1"/>
                <w:szCs w:val="16"/>
              </w:rPr>
              <w:t>51.71%</w:t>
            </w:r>
          </w:p>
        </w:tc>
      </w:tr>
      <w:tr w:rsidR="001F2C34" w:rsidRPr="00781112" w14:paraId="734556E7" w14:textId="7880148D" w:rsidTr="005F5FE9">
        <w:trPr>
          <w:trHeight w:val="357"/>
        </w:trPr>
        <w:tc>
          <w:tcPr>
            <w:tcW w:w="625" w:type="dxa"/>
            <w:tcBorders>
              <w:top w:val="single" w:sz="4" w:space="0" w:color="auto"/>
              <w:left w:val="single" w:sz="4" w:space="0" w:color="auto"/>
              <w:right w:val="single" w:sz="4" w:space="0" w:color="auto"/>
            </w:tcBorders>
            <w:shd w:val="clear" w:color="auto" w:fill="auto"/>
            <w:vAlign w:val="center"/>
          </w:tcPr>
          <w:p w14:paraId="58DAD373" w14:textId="77777777" w:rsidR="001F2C34" w:rsidRPr="00781112" w:rsidRDefault="001F2C34">
            <w:pPr>
              <w:spacing w:line="276" w:lineRule="auto"/>
              <w:jc w:val="center"/>
              <w:rPr>
                <w:rFonts w:cs="Arial"/>
                <w:b/>
                <w:bCs/>
                <w:color w:val="000000" w:themeColor="text1"/>
                <w:szCs w:val="16"/>
              </w:rPr>
            </w:pPr>
            <w:r w:rsidRPr="00781112">
              <w:rPr>
                <w:rFonts w:cs="Arial"/>
                <w:b/>
                <w:bCs/>
                <w:color w:val="000000" w:themeColor="text1"/>
                <w:szCs w:val="16"/>
              </w:rPr>
              <w:t>B</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B70F3" w14:textId="4BE0D72F" w:rsidR="001F2C34" w:rsidRPr="00781112" w:rsidRDefault="001F2C34" w:rsidP="00BA3DBE">
            <w:pPr>
              <w:spacing w:line="276" w:lineRule="auto"/>
              <w:jc w:val="center"/>
              <w:rPr>
                <w:rFonts w:cs="Arial"/>
                <w:color w:val="000000" w:themeColor="text1"/>
                <w:szCs w:val="16"/>
              </w:rPr>
            </w:pPr>
            <w:r w:rsidRPr="00781112">
              <w:rPr>
                <w:rFonts w:cs="Arial"/>
                <w:color w:val="000000" w:themeColor="text1"/>
                <w:szCs w:val="16"/>
              </w:rPr>
              <w:t>Target &lt;=</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2AF8D8D8" w14:textId="73E1A0AF" w:rsidR="001F2C34" w:rsidRPr="00781112" w:rsidRDefault="001F2C34" w:rsidP="00A018D4">
            <w:pPr>
              <w:jc w:val="center"/>
              <w:rPr>
                <w:rFonts w:cs="Arial"/>
                <w:color w:val="000000" w:themeColor="text1"/>
                <w:szCs w:val="16"/>
              </w:rPr>
            </w:pPr>
            <w:r w:rsidRPr="00781112">
              <w:rPr>
                <w:rFonts w:cs="Arial"/>
                <w:color w:val="000000" w:themeColor="text1"/>
                <w:szCs w:val="16"/>
              </w:rPr>
              <w:t>26.00%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27A3A3A6" w14:textId="38FA47E9" w:rsidR="001F2C34" w:rsidRPr="00781112" w:rsidRDefault="001F2C34" w:rsidP="00A018D4">
            <w:pPr>
              <w:jc w:val="center"/>
              <w:rPr>
                <w:rFonts w:cs="Arial"/>
                <w:color w:val="000000" w:themeColor="text1"/>
                <w:szCs w:val="16"/>
              </w:rPr>
            </w:pPr>
            <w:r w:rsidRPr="00781112">
              <w:rPr>
                <w:rFonts w:cs="Arial"/>
                <w:color w:val="000000" w:themeColor="text1"/>
                <w:szCs w:val="16"/>
              </w:rPr>
              <w:t>26.00%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4BC9CE3A" w14:textId="269EBDC7" w:rsidR="001F2C34" w:rsidRPr="00781112" w:rsidRDefault="001F2C34" w:rsidP="00A018D4">
            <w:pPr>
              <w:jc w:val="center"/>
              <w:rPr>
                <w:rFonts w:cs="Arial"/>
                <w:color w:val="000000" w:themeColor="text1"/>
                <w:szCs w:val="16"/>
              </w:rPr>
            </w:pPr>
            <w:r w:rsidRPr="00781112">
              <w:rPr>
                <w:rFonts w:cs="Arial"/>
                <w:color w:val="000000" w:themeColor="text1"/>
                <w:szCs w:val="16"/>
              </w:rPr>
              <w:t>26.00%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17F96662" w14:textId="3E673D09" w:rsidR="001F2C34" w:rsidRPr="00781112" w:rsidRDefault="001F2C34">
            <w:pPr>
              <w:jc w:val="center"/>
              <w:rPr>
                <w:color w:val="000000" w:themeColor="text1"/>
              </w:rPr>
            </w:pPr>
            <w:r w:rsidRPr="00781112">
              <w:rPr>
                <w:color w:val="000000" w:themeColor="text1"/>
              </w:rPr>
              <w:t>32.33%</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55D972E0" w14:textId="0A302924" w:rsidR="001F2C34" w:rsidRPr="00781112" w:rsidRDefault="001F2C34" w:rsidP="00A018D4">
            <w:pPr>
              <w:jc w:val="center"/>
              <w:rPr>
                <w:rFonts w:cs="Arial"/>
                <w:color w:val="000000" w:themeColor="text1"/>
                <w:szCs w:val="16"/>
              </w:rPr>
            </w:pPr>
            <w:r w:rsidRPr="00781112">
              <w:rPr>
                <w:rFonts w:cs="Arial"/>
                <w:color w:val="000000" w:themeColor="text1"/>
                <w:szCs w:val="16"/>
              </w:rPr>
              <w:t>31.83%</w:t>
            </w:r>
          </w:p>
        </w:tc>
      </w:tr>
      <w:tr w:rsidR="001F2C34" w:rsidRPr="00781112" w14:paraId="3B42BE2A" w14:textId="601B062F" w:rsidTr="005F5FE9">
        <w:trPr>
          <w:trHeight w:val="85"/>
        </w:trPr>
        <w:tc>
          <w:tcPr>
            <w:tcW w:w="625" w:type="dxa"/>
            <w:tcBorders>
              <w:left w:val="single" w:sz="4" w:space="0" w:color="auto"/>
              <w:right w:val="single" w:sz="4" w:space="0" w:color="auto"/>
            </w:tcBorders>
            <w:shd w:val="clear" w:color="auto" w:fill="auto"/>
            <w:vAlign w:val="center"/>
          </w:tcPr>
          <w:p w14:paraId="4623D633" w14:textId="276C317C" w:rsidR="001F2C34" w:rsidRPr="00781112" w:rsidRDefault="001F2C34" w:rsidP="004369B2">
            <w:pPr>
              <w:spacing w:line="276" w:lineRule="auto"/>
              <w:jc w:val="center"/>
              <w:rPr>
                <w:rFonts w:cs="Arial"/>
                <w:b/>
                <w:bCs/>
                <w:color w:val="000000" w:themeColor="text1"/>
                <w:szCs w:val="16"/>
              </w:rPr>
            </w:pPr>
            <w:r w:rsidRPr="00781112">
              <w:rPr>
                <w:rFonts w:cs="Arial"/>
                <w:b/>
                <w:bCs/>
                <w:color w:val="000000" w:themeColor="text1"/>
                <w:szCs w:val="16"/>
              </w:rPr>
              <w:t>B</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596DA" w14:textId="77777777" w:rsidR="001F2C34" w:rsidRPr="00781112" w:rsidRDefault="001F2C34" w:rsidP="00BA3DBE">
            <w:pPr>
              <w:spacing w:line="276" w:lineRule="auto"/>
              <w:jc w:val="center"/>
              <w:rPr>
                <w:rFonts w:cs="Arial"/>
                <w:color w:val="000000" w:themeColor="text1"/>
                <w:szCs w:val="16"/>
              </w:rPr>
            </w:pPr>
            <w:r w:rsidRPr="00781112">
              <w:rPr>
                <w:rFonts w:cs="Arial"/>
                <w:color w:val="000000" w:themeColor="text1"/>
                <w:szCs w:val="16"/>
              </w:rPr>
              <w:t>Data</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15D90031" w14:textId="3012CDE0" w:rsidR="001F2C34" w:rsidRPr="00781112" w:rsidRDefault="001F2C34" w:rsidP="00A018D4">
            <w:pPr>
              <w:jc w:val="center"/>
              <w:rPr>
                <w:rFonts w:cs="Arial"/>
                <w:color w:val="000000" w:themeColor="text1"/>
                <w:szCs w:val="16"/>
              </w:rPr>
            </w:pPr>
            <w:r w:rsidRPr="00781112">
              <w:rPr>
                <w:rFonts w:cs="Arial"/>
                <w:color w:val="000000" w:themeColor="text1"/>
                <w:szCs w:val="16"/>
              </w:rPr>
              <w:t>40.49%</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0E906DB" w14:textId="5C70E2DD" w:rsidR="001F2C34" w:rsidRPr="00781112" w:rsidRDefault="001F2C34" w:rsidP="00A018D4">
            <w:pPr>
              <w:jc w:val="center"/>
              <w:rPr>
                <w:rFonts w:cs="Arial"/>
                <w:color w:val="000000" w:themeColor="text1"/>
                <w:szCs w:val="16"/>
              </w:rPr>
            </w:pPr>
            <w:r w:rsidRPr="00781112">
              <w:rPr>
                <w:rFonts w:cs="Arial"/>
                <w:color w:val="000000" w:themeColor="text1"/>
                <w:szCs w:val="16"/>
              </w:rPr>
              <w:t>25.52%</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46B8DC18" w14:textId="71BC25FA" w:rsidR="001F2C34" w:rsidRPr="00781112" w:rsidRDefault="001F2C34" w:rsidP="00A018D4">
            <w:pPr>
              <w:jc w:val="center"/>
              <w:rPr>
                <w:rFonts w:cs="Arial"/>
                <w:color w:val="000000" w:themeColor="text1"/>
                <w:szCs w:val="16"/>
              </w:rPr>
            </w:pPr>
            <w:r w:rsidRPr="00781112">
              <w:rPr>
                <w:rFonts w:cs="Arial"/>
                <w:color w:val="000000" w:themeColor="text1"/>
                <w:szCs w:val="16"/>
              </w:rPr>
              <w:t>32.83%</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3CE06B12" w14:textId="5A09E506" w:rsidR="001F2C34" w:rsidRPr="00781112" w:rsidRDefault="001F2C34" w:rsidP="00A018D4">
            <w:pPr>
              <w:jc w:val="center"/>
              <w:rPr>
                <w:rFonts w:cs="Arial"/>
                <w:color w:val="000000" w:themeColor="text1"/>
                <w:szCs w:val="16"/>
              </w:rPr>
            </w:pPr>
            <w:r w:rsidRPr="00781112">
              <w:rPr>
                <w:rFonts w:cs="Arial"/>
                <w:color w:val="000000" w:themeColor="text1"/>
                <w:szCs w:val="16"/>
              </w:rPr>
              <w:t>30.19%</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08787007" w14:textId="48A40519" w:rsidR="001F2C34" w:rsidRPr="00781112" w:rsidRDefault="001F2C34" w:rsidP="00A018D4">
            <w:pPr>
              <w:jc w:val="center"/>
              <w:rPr>
                <w:rFonts w:cs="Arial"/>
                <w:color w:val="000000" w:themeColor="text1"/>
                <w:szCs w:val="16"/>
              </w:rPr>
            </w:pPr>
            <w:r w:rsidRPr="00781112">
              <w:rPr>
                <w:rFonts w:cs="Arial"/>
                <w:color w:val="000000" w:themeColor="text1"/>
                <w:szCs w:val="16"/>
              </w:rPr>
              <w:t>29.18%</w:t>
            </w:r>
          </w:p>
        </w:tc>
      </w:tr>
      <w:tr w:rsidR="001B1B03" w:rsidRPr="00781112" w14:paraId="44E5410D" w14:textId="77777777" w:rsidTr="005F5FE9">
        <w:trPr>
          <w:trHeight w:val="85"/>
        </w:trPr>
        <w:tc>
          <w:tcPr>
            <w:tcW w:w="625" w:type="dxa"/>
            <w:tcBorders>
              <w:left w:val="single" w:sz="4" w:space="0" w:color="auto"/>
              <w:right w:val="single" w:sz="4" w:space="0" w:color="auto"/>
            </w:tcBorders>
            <w:shd w:val="clear" w:color="auto" w:fill="auto"/>
            <w:vAlign w:val="center"/>
          </w:tcPr>
          <w:p w14:paraId="0EB03788" w14:textId="1AE2298F" w:rsidR="001B1B03" w:rsidRPr="00781112" w:rsidRDefault="001B1B03" w:rsidP="001B1B03">
            <w:pPr>
              <w:spacing w:line="276" w:lineRule="auto"/>
              <w:jc w:val="center"/>
              <w:rPr>
                <w:rFonts w:cs="Arial"/>
                <w:b/>
                <w:bCs/>
                <w:color w:val="000000" w:themeColor="text1"/>
                <w:szCs w:val="16"/>
              </w:rPr>
            </w:pPr>
            <w:r>
              <w:rPr>
                <w:rFonts w:cs="Arial"/>
                <w:b/>
                <w:bCs/>
                <w:color w:val="000000" w:themeColor="text1"/>
                <w:szCs w:val="16"/>
              </w:rPr>
              <w:t>C</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194F252A" w14:textId="3C17C94E" w:rsidR="001B1B03" w:rsidRPr="00781112" w:rsidRDefault="001B1B03" w:rsidP="00BA3DBE">
            <w:pPr>
              <w:spacing w:line="276" w:lineRule="auto"/>
              <w:jc w:val="center"/>
              <w:rPr>
                <w:rFonts w:cs="Arial"/>
                <w:color w:val="000000" w:themeColor="text1"/>
                <w:szCs w:val="16"/>
              </w:rPr>
            </w:pPr>
            <w:r w:rsidRPr="00781112">
              <w:rPr>
                <w:rFonts w:cs="Arial"/>
                <w:color w:val="000000" w:themeColor="text1"/>
                <w:szCs w:val="16"/>
              </w:rPr>
              <w:t>Target &lt;=</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0C517E0C" w14:textId="514D705D" w:rsidR="001B1B03" w:rsidRPr="00781112" w:rsidRDefault="001B1B03" w:rsidP="001B1B03">
            <w:pPr>
              <w:jc w:val="center"/>
              <w:rPr>
                <w:rFonts w:cs="Arial"/>
                <w:color w:val="000000" w:themeColor="text1"/>
                <w:szCs w:val="16"/>
              </w:rPr>
            </w:pPr>
            <w:r w:rsidRPr="00781112">
              <w:rPr>
                <w:rFonts w:cs="Arial"/>
                <w:color w:val="000000" w:themeColor="text1"/>
                <w:szCs w:val="16"/>
              </w:rPr>
              <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2D5D5845" w14:textId="1753D905" w:rsidR="001B1B03" w:rsidRPr="00781112" w:rsidRDefault="001B1B03" w:rsidP="001B1B03">
            <w:pPr>
              <w:jc w:val="center"/>
              <w:rPr>
                <w:rFonts w:cs="Arial"/>
                <w:color w:val="000000" w:themeColor="text1"/>
                <w:szCs w:val="16"/>
              </w:rPr>
            </w:pPr>
            <w:r w:rsidRPr="00781112">
              <w:rPr>
                <w:rFonts w:cs="Arial"/>
                <w:color w:val="000000" w:themeColor="text1"/>
                <w:szCs w:val="16"/>
              </w:rPr>
              <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71101499" w14:textId="5B7307FE" w:rsidR="001B1B03" w:rsidRPr="00781112" w:rsidRDefault="001B1B03" w:rsidP="001B1B03">
            <w:pPr>
              <w:jc w:val="center"/>
              <w:rPr>
                <w:rFonts w:cs="Arial"/>
                <w:color w:val="000000" w:themeColor="text1"/>
                <w:szCs w:val="16"/>
              </w:rPr>
            </w:pPr>
            <w:r w:rsidRPr="00781112">
              <w:rPr>
                <w:rFonts w:cs="Arial"/>
                <w:color w:val="000000" w:themeColor="text1"/>
                <w:szCs w:val="16"/>
              </w:rPr>
              <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10F32101" w14:textId="67E5358E" w:rsidR="001B1B03" w:rsidRPr="00781112" w:rsidRDefault="001B1B03" w:rsidP="001B1B03">
            <w:pPr>
              <w:jc w:val="center"/>
              <w:rPr>
                <w:rFonts w:cs="Arial"/>
                <w:color w:val="000000" w:themeColor="text1"/>
                <w:szCs w:val="16"/>
              </w:rPr>
            </w:pPr>
            <w:r w:rsidRPr="00781112">
              <w:rPr>
                <w:color w:val="000000" w:themeColor="text1"/>
              </w:rPr>
              <w:t>24.50%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5A45DABC" w14:textId="0D50AB3D" w:rsidR="001B1B03" w:rsidRPr="00781112" w:rsidRDefault="001B1B03" w:rsidP="001B1B03">
            <w:pPr>
              <w:jc w:val="center"/>
              <w:rPr>
                <w:rFonts w:cs="Arial"/>
                <w:color w:val="000000" w:themeColor="text1"/>
                <w:szCs w:val="16"/>
              </w:rPr>
            </w:pPr>
            <w:r w:rsidRPr="00781112">
              <w:rPr>
                <w:rFonts w:cs="Arial"/>
                <w:color w:val="000000" w:themeColor="text1"/>
                <w:szCs w:val="16"/>
              </w:rPr>
              <w:t>24.00%</w:t>
            </w:r>
          </w:p>
        </w:tc>
      </w:tr>
      <w:tr w:rsidR="001B1B03" w:rsidRPr="00781112" w14:paraId="66A9CDF0" w14:textId="77777777" w:rsidTr="005F5FE9">
        <w:trPr>
          <w:trHeight w:val="85"/>
        </w:trPr>
        <w:tc>
          <w:tcPr>
            <w:tcW w:w="625" w:type="dxa"/>
            <w:tcBorders>
              <w:left w:val="single" w:sz="4" w:space="0" w:color="auto"/>
              <w:right w:val="single" w:sz="4" w:space="0" w:color="auto"/>
            </w:tcBorders>
            <w:shd w:val="clear" w:color="auto" w:fill="auto"/>
            <w:vAlign w:val="center"/>
          </w:tcPr>
          <w:p w14:paraId="080D6AF5" w14:textId="1EBCBFA2" w:rsidR="001B1B03" w:rsidRPr="00781112" w:rsidRDefault="001B1B03" w:rsidP="001B1B03">
            <w:pPr>
              <w:spacing w:line="276" w:lineRule="auto"/>
              <w:jc w:val="center"/>
              <w:rPr>
                <w:rFonts w:cs="Arial"/>
                <w:b/>
                <w:bCs/>
                <w:color w:val="000000" w:themeColor="text1"/>
                <w:szCs w:val="16"/>
              </w:rPr>
            </w:pPr>
            <w:r>
              <w:rPr>
                <w:rFonts w:cs="Arial"/>
                <w:b/>
                <w:bCs/>
                <w:color w:val="000000" w:themeColor="text1"/>
                <w:szCs w:val="16"/>
              </w:rPr>
              <w:t>C</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05CCEB5C" w14:textId="1BE94F5B" w:rsidR="001B1B03" w:rsidRPr="00781112" w:rsidRDefault="001B1B03" w:rsidP="00BA3DBE">
            <w:pPr>
              <w:spacing w:line="276" w:lineRule="auto"/>
              <w:jc w:val="center"/>
              <w:rPr>
                <w:rFonts w:cs="Arial"/>
                <w:color w:val="000000" w:themeColor="text1"/>
                <w:szCs w:val="16"/>
              </w:rPr>
            </w:pPr>
            <w:r w:rsidRPr="00781112">
              <w:rPr>
                <w:rFonts w:cs="Arial"/>
                <w:color w:val="000000" w:themeColor="text1"/>
                <w:szCs w:val="16"/>
              </w:rPr>
              <w:t>Data</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216DDE4C" w14:textId="34636400" w:rsidR="001B1B03" w:rsidRPr="00781112" w:rsidRDefault="001B1B03" w:rsidP="001B1B03">
            <w:pPr>
              <w:jc w:val="center"/>
              <w:rPr>
                <w:rFonts w:cs="Arial"/>
                <w:color w:val="000000" w:themeColor="text1"/>
                <w:szCs w:val="16"/>
              </w:rPr>
            </w:pPr>
            <w:r w:rsidRPr="00781112">
              <w:rPr>
                <w:rFonts w:cs="Arial"/>
                <w:color w:val="000000" w:themeColor="text1"/>
                <w:szCs w:val="16"/>
              </w:rPr>
              <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0EF5D417" w14:textId="3D38DFCB" w:rsidR="001B1B03" w:rsidRPr="00781112" w:rsidRDefault="001B1B03" w:rsidP="001B1B03">
            <w:pPr>
              <w:jc w:val="center"/>
              <w:rPr>
                <w:rFonts w:cs="Arial"/>
                <w:color w:val="000000" w:themeColor="text1"/>
                <w:szCs w:val="16"/>
              </w:rPr>
            </w:pPr>
            <w:r w:rsidRPr="00781112">
              <w:rPr>
                <w:rFonts w:cs="Arial"/>
                <w:color w:val="000000" w:themeColor="text1"/>
                <w:szCs w:val="16"/>
              </w:rPr>
              <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07D63EF7" w14:textId="70B517E1" w:rsidR="001B1B03" w:rsidRPr="00781112" w:rsidRDefault="001B1B03" w:rsidP="001B1B03">
            <w:pPr>
              <w:jc w:val="center"/>
              <w:rPr>
                <w:rFonts w:cs="Arial"/>
                <w:color w:val="000000" w:themeColor="text1"/>
                <w:szCs w:val="16"/>
              </w:rPr>
            </w:pPr>
            <w:r w:rsidRPr="00781112">
              <w:rPr>
                <w:rFonts w:cs="Arial"/>
                <w:color w:val="000000" w:themeColor="text1"/>
                <w:szCs w:val="16"/>
              </w:rPr>
              <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13A3D95" w14:textId="4990597A" w:rsidR="001B1B03" w:rsidRPr="00781112" w:rsidRDefault="001B1B03" w:rsidP="001B1B03">
            <w:pPr>
              <w:jc w:val="center"/>
              <w:rPr>
                <w:rFonts w:cs="Arial"/>
                <w:color w:val="000000" w:themeColor="text1"/>
                <w:szCs w:val="16"/>
              </w:rPr>
            </w:pPr>
            <w:r w:rsidRPr="00781112">
              <w:rPr>
                <w:rFonts w:cs="Arial"/>
                <w:color w:val="000000" w:themeColor="text1"/>
                <w:szCs w:val="16"/>
              </w:rPr>
              <w:t>0.00%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72594B47" w14:textId="75BCBF55" w:rsidR="001B1B03" w:rsidRPr="00781112" w:rsidRDefault="001B1B03" w:rsidP="001B1B03">
            <w:pPr>
              <w:jc w:val="center"/>
              <w:rPr>
                <w:rFonts w:cs="Arial"/>
                <w:color w:val="000000" w:themeColor="text1"/>
                <w:szCs w:val="16"/>
              </w:rPr>
            </w:pPr>
            <w:r w:rsidRPr="00781112">
              <w:rPr>
                <w:rFonts w:cs="Arial"/>
                <w:color w:val="000000" w:themeColor="text1"/>
                <w:szCs w:val="16"/>
              </w:rPr>
              <w:t>0.41%</w:t>
            </w:r>
          </w:p>
        </w:tc>
      </w:tr>
    </w:tbl>
    <w:p w14:paraId="057E33A3" w14:textId="77777777" w:rsidR="00AE3B11" w:rsidRDefault="00AE3B11" w:rsidP="004369B2">
      <w:pPr>
        <w:rPr>
          <w:color w:val="000000" w:themeColor="text1"/>
        </w:rPr>
      </w:pPr>
    </w:p>
    <w:p w14:paraId="6FE45EEF" w14:textId="77777777" w:rsidR="00AE3B11" w:rsidRPr="00651552" w:rsidRDefault="00AE3B11" w:rsidP="0059735F">
      <w:pPr>
        <w:rPr>
          <w:bCs/>
          <w:color w:val="000000" w:themeColor="text1"/>
        </w:rPr>
      </w:pPr>
    </w:p>
    <w:p w14:paraId="34B0E047" w14:textId="080D5172" w:rsidR="0059735F" w:rsidRPr="00781112" w:rsidRDefault="0059735F" w:rsidP="0059735F">
      <w:pPr>
        <w:rPr>
          <w:b/>
          <w:color w:val="000000" w:themeColor="text1"/>
        </w:rPr>
      </w:pPr>
      <w:r w:rsidRPr="00781112">
        <w:rPr>
          <w:b/>
          <w:color w:val="000000" w:themeColor="text1"/>
        </w:rPr>
        <w:t xml:space="preserve">Targets: Description of Stakeholder Input </w:t>
      </w:r>
    </w:p>
    <w:p w14:paraId="02A3CB3A" w14:textId="77777777" w:rsidR="0059735F" w:rsidRPr="00781112" w:rsidRDefault="0059735F" w:rsidP="0059735F">
      <w:pPr>
        <w:rPr>
          <w:rFonts w:cs="Arial"/>
          <w:color w:val="000000" w:themeColor="text1"/>
          <w:szCs w:val="16"/>
        </w:rPr>
      </w:pPr>
      <w:r w:rsidRPr="00781112">
        <w:rPr>
          <w:rFonts w:cs="Arial"/>
          <w:color w:val="000000" w:themeColor="text1"/>
          <w:szCs w:val="16"/>
        </w:rPr>
        <w:t>Mechanism for Broad Stakeholder Input:</w:t>
        <w:br/>
        <w:t xml:space="preserve">During FFY2022, the State held stakeholder meetings as the mechanism for soliciting broad stakeholder input on the State’s targets in the SPP/APR and any subsequent revisions. The meetings were held in-person for the first time following the COVID-19 pandemic. An online option was available for stakeholders that were not able to meet in person. In the meetings, Stakeholder groups reviewed the FFY2021 data, and the baselines and targets established for FFY 2020-2025. The groups analyzed the data to determine if established baselines and targets established in the prior year, were still an accurate depiction of the state’s performance trajectory. The meetings also allowed time for stakeholders to provide input on improvement strategies and progress for the SPP/APR indicators. The State also revised its methodology for Indicators 4a and 4b in which the information was shared with stakeholders and input was sought. In addition, the State also proposed a revised LEA annual determination rubric to include target indicators. The revised rubric will be used with FFY2023 LEA annual determinations and is consistent with the information in the OSEP Question and Answer document QA 23-01. </w:t>
        <w:br/>
        <w:t/>
        <w:br/>
        <w:t xml:space="preserve">Stakeholder meeting information including meeting logistics and presentations are available on the Special Education Division (SED) website for the public and any interested individual to access. Flyers were created and LEAs were asked to disseminate the information to their staff, parents, and students. The Parent Training Centers (PTCs) were asked to share the meeting information with parents including through social media. Other groups such as tribes, IDEA panel members, the State Special Education Ombud, and other parent advocacy groups were sent invitations to each of the meetings. </w:t>
        <w:br/>
        <w:t/>
        <w:br/>
        <w:t>Any stakeholder that wanted to provide feedback but could not attend the meetings, had an opportunity to do so. On the State’s stakeholder page, individuals can click on the link and share their input with the state staff by completing an input form. The feedback received from the website is also considered when making revisions and establishing targets.</w:t>
        <w:br/>
        <w:t/>
        <w:br/>
        <w:t>Feedback Summary:</w:t>
        <w:br/>
        <w:t>For Indicators 4a and 4b, the State’s methodology was proposed to be changed to meet OSEP requirements as indicated in the FFY2021, SPP/APR OSEP Responses and Required Actions. Stakeholders were presented with the new proposed methodology in which the cell size of 10 requirement was removed, the N size was reduced to 10 and a rate ratio of 3.0 was introduced. In comparison to the previous methodology, where a cell size and N size of 10 were required as well as a risk ratio of 1 percentage point above the state rate. Stakeholders had no objections or concerns with the new methodology. The State will use the new methodology to apply to the Indicator 4 data reported in this FFY2022 State Performance Plan/Annual Performance Report (SPP/APR).</w:t>
        <w:br/>
        <w:t/>
        <w:br/>
        <w:t>Indicator 17, State Systemic Improvement Plan:</w:t>
        <w:br/>
        <w:t xml:space="preserve">1. ECLIPSE program coordinators presented data and program updates to the state IDEA Panel (members include parents, advocates, state staff, and educators) during the 2022-2023 school year. IDEA panel members were engaged in the ECLIPSE program presentation on Indicator 17 and updates. An ECLIPSE panel committee provided qualitative feedback via a Google Form survey. The panel members conveyed the program is making progress in improving literacy outcomes forward for students with disabilities. Recommendations included increasing parental involvement and increased awareness of the program's successes. </w:t>
        <w:br/>
        <w:t>2. A virtual ECLIPSE stakeholder meeting was held during the 2022-2023 school year. Stakeholders in attendance included the ECLIPSE staff, Regional Education Cooperative (REC) coordinators, Special Education Directors, and ECLIPSE school principals. Stakeholders in attendance were provided with ECLIPSE program details for the upcoming school year and verbal feedback about the ECLIPSE Program at the end of the meeting.</w:t>
        <w:br/>
        <w:t xml:space="preserve">3. Parent engagement stakeholder meetings were held in-person and through online platforms where they were provided direct literacy training via hands-on activities. If the meeting was online, materials were provided to the schools prior to the meeting. The Regional Education Cooperative (REC) contractors provided materials, activities, and training to parents in-person. The REC initiated Google Pre and Post surveys following the trainings and it indicated that the level of understanding to support reading at home increased. Parental understanding of what the predicator of reading success was increased dramatically between pre and post surveys. A summary of parent comments included that the engagement sessions provided a lot of great information, it was a fun learning experience, and they looked forward to future meetings. </w:t>
        <w:br/>
        <w:t xml:space="preserve">4. The ECLIPSE staff initiated surveys during 2022-2023 to principals and teachers through Google Forms survey. Teachers showed dramatic increases in their knowledge of the incorporation of engagement strategies with their students due to their coaches. In a pre-survey, administrators listed that professional development on literacy is one of the greatest needs of the teachers they support. They also stated that time and equitable feedback were areas of administrative need. </w:t>
        <w:br/>
        <w:t>5. An online end of year survey was sent to all ECLIPSE stakeholders as the 2022-2023 school year ended. The main consensus from the survey supported the ongoing development of the program to illustrate its impact so adjustments can be made to better inform ourselves and our stakeholders of progress.</w:t>
      </w:r>
    </w:p>
    <w:p w14:paraId="137AAC0F" w14:textId="77777777" w:rsidR="0059735F" w:rsidRPr="00781112" w:rsidRDefault="0059735F" w:rsidP="0059735F">
      <w:pPr>
        <w:rPr>
          <w:rFonts w:cs="Arial"/>
          <w:color w:val="000000" w:themeColor="text1"/>
          <w:szCs w:val="16"/>
        </w:rPr>
      </w:pPr>
      <w:r w:rsidRPr="00781112">
        <w:rPr>
          <w:rFonts w:cs="Arial"/>
          <w:color w:val="000000" w:themeColor="text1"/>
          <w:szCs w:val="16"/>
        </w:rPr>
        <w:t/>
      </w:r>
    </w:p>
    <w:p w14:paraId="0B88D679" w14:textId="77777777" w:rsidR="0059735F" w:rsidRPr="00781112" w:rsidRDefault="0059735F" w:rsidP="004369B2">
      <w:pPr>
        <w:rPr>
          <w:color w:val="000000" w:themeColor="text1"/>
        </w:rPr>
      </w:pPr>
    </w:p>
    <w:p w14:paraId="5CC249BC" w14:textId="12B8F79F" w:rsidR="00AA04BD" w:rsidRPr="00781112" w:rsidRDefault="00AA04BD" w:rsidP="004369B2">
      <w:pPr>
        <w:rPr>
          <w:b/>
          <w:color w:val="000000" w:themeColor="text1"/>
        </w:rPr>
      </w:pPr>
      <w:r w:rsidRPr="00781112">
        <w:rPr>
          <w:b/>
          <w:color w:val="000000" w:themeColor="text1"/>
        </w:rPr>
        <w:t>Targets</w:t>
      </w:r>
    </w:p>
    <w:p w14:paraId="1C259A9C" w14:textId="233315C1" w:rsidR="001C2B29" w:rsidRPr="001C443D" w:rsidRDefault="007F67C7" w:rsidP="001C443D">
      <w:pPr>
        <w:rPr>
          <w:b/>
          <w:bCs/>
        </w:rPr>
      </w:pPr>
      <w:r w:rsidRPr="001C443D">
        <w:rPr>
          <w:b/>
          <w:bCs/>
        </w:rPr>
        <w:t xml:space="preserve">Please select if the State wants to set baseline and targets based on individual age ranges (i.e. separate baseline and targets for each age), or inclusive of all children ages 3, 4, and 5. </w:t>
      </w:r>
    </w:p>
    <w:p w14:paraId="0237921B" w14:textId="17150ECF" w:rsidR="00794672" w:rsidRPr="00781112" w:rsidRDefault="00794672" w:rsidP="00794672">
      <w:pPr>
        <w:rPr>
          <w:color w:val="000000" w:themeColor="text1"/>
        </w:rPr>
      </w:pPr>
      <w:r w:rsidRPr="00781112">
        <w:rPr>
          <w:rFonts w:cs="Arial"/>
          <w:color w:val="000000" w:themeColor="text1"/>
          <w:szCs w:val="16"/>
        </w:rPr>
        <w:t>Inclusive Targets</w:t>
      </w:r>
    </w:p>
    <w:p w14:paraId="647A8A68" w14:textId="7712D124" w:rsidR="00794672" w:rsidRPr="001C443D" w:rsidRDefault="00E20E93" w:rsidP="001C443D">
      <w:pPr>
        <w:rPr>
          <w:b/>
          <w:bCs/>
        </w:rPr>
      </w:pPr>
      <w:r w:rsidRPr="001C443D">
        <w:rPr>
          <w:b/>
          <w:bCs/>
        </w:rPr>
        <w:t>Please select if the State wants to use target ranges for 6C.</w:t>
      </w:r>
    </w:p>
    <w:p w14:paraId="4C1CAE3E" w14:textId="29D1D533" w:rsidR="00794672" w:rsidRDefault="00794672" w:rsidP="00794672">
      <w:pPr>
        <w:rPr>
          <w:rFonts w:cs="Arial"/>
          <w:color w:val="000000" w:themeColor="text1"/>
          <w:szCs w:val="16"/>
        </w:rPr>
      </w:pPr>
      <w:r w:rsidRPr="00781112">
        <w:rPr>
          <w:rFonts w:cs="Arial"/>
          <w:color w:val="000000" w:themeColor="text1"/>
          <w:szCs w:val="16"/>
        </w:rPr>
        <w:t>Target Range not used</w:t>
      </w:r>
    </w:p>
    <w:p w14:paraId="5C7F1365" w14:textId="570192EE" w:rsidR="0073461B" w:rsidRDefault="0073461B" w:rsidP="0073461B">
      <w:pPr>
        <w:pStyle w:val="Subhed"/>
        <w:rPr>
          <w:b w:val="0"/>
          <w:bCs/>
          <w:color w:val="C00000"/>
        </w:rPr>
      </w:pPr>
    </w:p>
    <w:p w14:paraId="770D6443" w14:textId="39B3F3FD" w:rsidR="004D796B" w:rsidRPr="00781112" w:rsidRDefault="004D796B" w:rsidP="004369B2">
      <w:pPr>
        <w:rPr>
          <w:color w:val="000000" w:themeColor="text1"/>
        </w:rPr>
      </w:pPr>
    </w:p>
    <w:p w14:paraId="7D77C5FC" w14:textId="77777777" w:rsidR="008C34A2" w:rsidRPr="0075451F" w:rsidRDefault="008C34A2" w:rsidP="008C34A2">
      <w:pPr>
        <w:pStyle w:val="Subhed"/>
        <w:rPr>
          <w:b w:val="0"/>
        </w:rPr>
      </w:pPr>
      <w:r>
        <w:t>Baselines for Inclusive Targets option (A, B, C)</w:t>
      </w:r>
    </w:p>
    <w:tbl>
      <w:tblPr>
        <w:tblW w:w="25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6BASELINEDATAINCL"/>
      </w:tblPr>
      <w:tblGrid>
        <w:gridCol w:w="1436"/>
        <w:gridCol w:w="2025"/>
        <w:gridCol w:w="2025"/>
      </w:tblGrid>
      <w:tr w:rsidR="008C34A2" w:rsidRPr="00781112" w14:paraId="76A746DF" w14:textId="77777777" w:rsidTr="00DF5DC9">
        <w:trPr>
          <w:trHeight w:val="485"/>
          <w:tblHeader/>
        </w:trPr>
        <w:tc>
          <w:tcPr>
            <w:tcW w:w="1436" w:type="dxa"/>
            <w:tcBorders>
              <w:top w:val="single" w:sz="4" w:space="0" w:color="auto"/>
              <w:left w:val="single" w:sz="4" w:space="0" w:color="auto"/>
              <w:bottom w:val="single" w:sz="4" w:space="0" w:color="auto"/>
              <w:right w:val="single" w:sz="4" w:space="0" w:color="auto"/>
            </w:tcBorders>
            <w:shd w:val="clear" w:color="auto" w:fill="auto"/>
          </w:tcPr>
          <w:p w14:paraId="76F354AC" w14:textId="77777777" w:rsidR="008C34A2" w:rsidRPr="00781112" w:rsidRDefault="008C34A2" w:rsidP="00DF5DC9">
            <w:pPr>
              <w:spacing w:line="276" w:lineRule="auto"/>
              <w:jc w:val="center"/>
              <w:rPr>
                <w:rFonts w:cs="Arial"/>
                <w:b/>
                <w:color w:val="000000" w:themeColor="text1"/>
                <w:szCs w:val="16"/>
              </w:rPr>
            </w:pPr>
            <w:r w:rsidRPr="00781112">
              <w:rPr>
                <w:rFonts w:cs="Arial"/>
                <w:b/>
                <w:color w:val="000000" w:themeColor="text1"/>
                <w:szCs w:val="16"/>
              </w:rPr>
              <w:t>Part</w:t>
            </w:r>
          </w:p>
        </w:tc>
        <w:tc>
          <w:tcPr>
            <w:tcW w:w="2025" w:type="dxa"/>
            <w:tcBorders>
              <w:top w:val="single" w:sz="4" w:space="0" w:color="auto"/>
              <w:left w:val="single" w:sz="4" w:space="0" w:color="auto"/>
              <w:bottom w:val="single" w:sz="4" w:space="0" w:color="auto"/>
              <w:right w:val="single" w:sz="4" w:space="0" w:color="auto"/>
            </w:tcBorders>
            <w:shd w:val="clear" w:color="auto" w:fill="auto"/>
          </w:tcPr>
          <w:p w14:paraId="70043BB3" w14:textId="77777777" w:rsidR="008C34A2" w:rsidRPr="00781112" w:rsidRDefault="008C34A2" w:rsidP="00DF5DC9">
            <w:pPr>
              <w:spacing w:line="276" w:lineRule="auto"/>
              <w:jc w:val="center"/>
              <w:rPr>
                <w:rFonts w:cs="Arial"/>
                <w:b/>
                <w:color w:val="000000" w:themeColor="text1"/>
                <w:szCs w:val="16"/>
              </w:rPr>
            </w:pPr>
            <w:r w:rsidRPr="00781112">
              <w:rPr>
                <w:rFonts w:cs="Arial"/>
                <w:b/>
                <w:color w:val="000000" w:themeColor="text1"/>
                <w:szCs w:val="16"/>
              </w:rPr>
              <w:t>Baseline  Year</w:t>
            </w:r>
          </w:p>
        </w:tc>
        <w:tc>
          <w:tcPr>
            <w:tcW w:w="2025" w:type="dxa"/>
            <w:tcBorders>
              <w:top w:val="single" w:sz="4" w:space="0" w:color="auto"/>
              <w:left w:val="single" w:sz="4" w:space="0" w:color="auto"/>
              <w:bottom w:val="single" w:sz="4" w:space="0" w:color="auto"/>
              <w:right w:val="single" w:sz="4" w:space="0" w:color="auto"/>
            </w:tcBorders>
          </w:tcPr>
          <w:p w14:paraId="6D732D8C" w14:textId="77777777" w:rsidR="008C34A2" w:rsidRPr="00781112" w:rsidRDefault="008C34A2" w:rsidP="00DF5DC9">
            <w:pPr>
              <w:spacing w:line="276" w:lineRule="auto"/>
              <w:jc w:val="center"/>
              <w:rPr>
                <w:rFonts w:cs="Arial"/>
                <w:b/>
                <w:color w:val="000000" w:themeColor="text1"/>
                <w:szCs w:val="16"/>
              </w:rPr>
            </w:pPr>
            <w:r w:rsidRPr="00781112">
              <w:rPr>
                <w:rFonts w:cs="Arial"/>
                <w:b/>
                <w:color w:val="000000" w:themeColor="text1"/>
                <w:szCs w:val="16"/>
              </w:rPr>
              <w:t>Baseline Data</w:t>
            </w:r>
          </w:p>
        </w:tc>
      </w:tr>
      <w:tr w:rsidR="008C34A2" w:rsidRPr="00781112" w14:paraId="3EC108E9" w14:textId="77777777" w:rsidTr="00DF5DC9">
        <w:trPr>
          <w:trHeight w:val="357"/>
        </w:trPr>
        <w:tc>
          <w:tcPr>
            <w:tcW w:w="1436" w:type="dxa"/>
            <w:tcBorders>
              <w:top w:val="single" w:sz="4" w:space="0" w:color="auto"/>
              <w:left w:val="single" w:sz="4" w:space="0" w:color="auto"/>
              <w:right w:val="single" w:sz="4" w:space="0" w:color="auto"/>
            </w:tcBorders>
            <w:shd w:val="clear" w:color="auto" w:fill="auto"/>
            <w:vAlign w:val="center"/>
          </w:tcPr>
          <w:p w14:paraId="0A56D253" w14:textId="77777777" w:rsidR="008C34A2" w:rsidRPr="00781112" w:rsidRDefault="008C34A2" w:rsidP="00DF5DC9">
            <w:pPr>
              <w:spacing w:line="276" w:lineRule="auto"/>
              <w:jc w:val="center"/>
              <w:rPr>
                <w:rFonts w:cs="Arial"/>
                <w:b/>
                <w:bCs/>
                <w:color w:val="000000" w:themeColor="text1"/>
                <w:szCs w:val="16"/>
              </w:rPr>
            </w:pPr>
            <w:r w:rsidRPr="00781112">
              <w:rPr>
                <w:rFonts w:cs="Arial"/>
                <w:b/>
                <w:bCs/>
                <w:color w:val="000000" w:themeColor="text1"/>
                <w:szCs w:val="16"/>
              </w:rPr>
              <w:t>A</w:t>
            </w:r>
          </w:p>
        </w:tc>
        <w:tc>
          <w:tcPr>
            <w:tcW w:w="2025" w:type="dxa"/>
            <w:tcBorders>
              <w:top w:val="single" w:sz="4" w:space="0" w:color="auto"/>
              <w:left w:val="single" w:sz="4" w:space="0" w:color="auto"/>
              <w:right w:val="single" w:sz="4" w:space="0" w:color="auto"/>
            </w:tcBorders>
            <w:shd w:val="clear" w:color="auto" w:fill="auto"/>
          </w:tcPr>
          <w:p w14:paraId="3FCF70A0"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2019</w:t>
            </w:r>
          </w:p>
        </w:tc>
        <w:tc>
          <w:tcPr>
            <w:tcW w:w="2025" w:type="dxa"/>
            <w:tcBorders>
              <w:top w:val="single" w:sz="4" w:space="0" w:color="auto"/>
              <w:left w:val="single" w:sz="4" w:space="0" w:color="auto"/>
              <w:right w:val="single" w:sz="4" w:space="0" w:color="auto"/>
            </w:tcBorders>
          </w:tcPr>
          <w:p w14:paraId="142085FD"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52.08%</w:t>
            </w:r>
          </w:p>
        </w:tc>
      </w:tr>
      <w:tr w:rsidR="008C34A2" w:rsidRPr="00781112" w14:paraId="6C0A9325" w14:textId="77777777" w:rsidTr="00DF5DC9">
        <w:trPr>
          <w:trHeight w:val="357"/>
        </w:trPr>
        <w:tc>
          <w:tcPr>
            <w:tcW w:w="1436" w:type="dxa"/>
            <w:tcBorders>
              <w:top w:val="single" w:sz="4" w:space="0" w:color="auto"/>
              <w:left w:val="single" w:sz="4" w:space="0" w:color="auto"/>
              <w:right w:val="single" w:sz="4" w:space="0" w:color="auto"/>
            </w:tcBorders>
            <w:shd w:val="clear" w:color="auto" w:fill="auto"/>
            <w:vAlign w:val="center"/>
          </w:tcPr>
          <w:p w14:paraId="0E7FAFDC" w14:textId="77777777" w:rsidR="008C34A2" w:rsidRPr="00781112" w:rsidRDefault="008C34A2" w:rsidP="00DF5DC9">
            <w:pPr>
              <w:spacing w:line="276" w:lineRule="auto"/>
              <w:jc w:val="center"/>
              <w:rPr>
                <w:rFonts w:cs="Arial"/>
                <w:b/>
                <w:bCs/>
                <w:color w:val="000000" w:themeColor="text1"/>
                <w:szCs w:val="16"/>
              </w:rPr>
            </w:pPr>
            <w:r w:rsidRPr="00781112">
              <w:rPr>
                <w:rFonts w:cs="Arial"/>
                <w:b/>
                <w:bCs/>
                <w:color w:val="000000" w:themeColor="text1"/>
                <w:szCs w:val="16"/>
              </w:rPr>
              <w:t>B</w:t>
            </w:r>
          </w:p>
        </w:tc>
        <w:tc>
          <w:tcPr>
            <w:tcW w:w="2025" w:type="dxa"/>
            <w:tcBorders>
              <w:top w:val="single" w:sz="4" w:space="0" w:color="auto"/>
              <w:left w:val="single" w:sz="4" w:space="0" w:color="auto"/>
              <w:right w:val="single" w:sz="4" w:space="0" w:color="auto"/>
            </w:tcBorders>
            <w:shd w:val="clear" w:color="auto" w:fill="auto"/>
          </w:tcPr>
          <w:p w14:paraId="538A3CE6"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2019</w:t>
            </w:r>
          </w:p>
        </w:tc>
        <w:tc>
          <w:tcPr>
            <w:tcW w:w="2025" w:type="dxa"/>
            <w:tcBorders>
              <w:top w:val="single" w:sz="4" w:space="0" w:color="auto"/>
              <w:left w:val="single" w:sz="4" w:space="0" w:color="auto"/>
              <w:right w:val="single" w:sz="4" w:space="0" w:color="auto"/>
            </w:tcBorders>
          </w:tcPr>
          <w:p w14:paraId="794F234F"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32.83%</w:t>
            </w:r>
          </w:p>
        </w:tc>
      </w:tr>
      <w:tr w:rsidR="008C34A2" w:rsidRPr="00781112" w14:paraId="2DFA9728" w14:textId="77777777" w:rsidTr="00DF5DC9">
        <w:trPr>
          <w:trHeight w:val="85"/>
        </w:trPr>
        <w:tc>
          <w:tcPr>
            <w:tcW w:w="1436" w:type="dxa"/>
            <w:tcBorders>
              <w:left w:val="single" w:sz="4" w:space="0" w:color="auto"/>
              <w:right w:val="single" w:sz="4" w:space="0" w:color="auto"/>
            </w:tcBorders>
            <w:shd w:val="clear" w:color="auto" w:fill="auto"/>
            <w:vAlign w:val="center"/>
          </w:tcPr>
          <w:p w14:paraId="6CBBDF9C" w14:textId="77777777" w:rsidR="008C34A2" w:rsidRPr="00781112" w:rsidRDefault="008C34A2" w:rsidP="00DF5DC9">
            <w:pPr>
              <w:spacing w:line="276" w:lineRule="auto"/>
              <w:jc w:val="center"/>
              <w:rPr>
                <w:rFonts w:cs="Arial"/>
                <w:b/>
                <w:bCs/>
                <w:color w:val="000000" w:themeColor="text1"/>
                <w:szCs w:val="16"/>
              </w:rPr>
            </w:pPr>
            <w:r w:rsidRPr="00781112">
              <w:rPr>
                <w:rFonts w:cs="Arial"/>
                <w:b/>
                <w:bCs/>
                <w:color w:val="000000" w:themeColor="text1"/>
                <w:szCs w:val="16"/>
              </w:rPr>
              <w:t>C</w:t>
            </w:r>
          </w:p>
        </w:tc>
        <w:tc>
          <w:tcPr>
            <w:tcW w:w="2025" w:type="dxa"/>
            <w:tcBorders>
              <w:left w:val="single" w:sz="4" w:space="0" w:color="auto"/>
              <w:right w:val="single" w:sz="4" w:space="0" w:color="auto"/>
            </w:tcBorders>
            <w:shd w:val="clear" w:color="auto" w:fill="auto"/>
          </w:tcPr>
          <w:p w14:paraId="7E7E5689"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2020</w:t>
            </w:r>
          </w:p>
        </w:tc>
        <w:tc>
          <w:tcPr>
            <w:tcW w:w="2025" w:type="dxa"/>
            <w:tcBorders>
              <w:left w:val="single" w:sz="4" w:space="0" w:color="auto"/>
              <w:right w:val="single" w:sz="4" w:space="0" w:color="auto"/>
            </w:tcBorders>
          </w:tcPr>
          <w:p w14:paraId="4FCAB124"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25.00%</w:t>
            </w:r>
          </w:p>
        </w:tc>
      </w:tr>
    </w:tbl>
    <w:p w14:paraId="3CB9A2A8" w14:textId="77777777" w:rsidR="008C34A2" w:rsidRPr="00992ACE" w:rsidRDefault="008C34A2" w:rsidP="00992ACE">
      <w:pPr>
        <w:rPr>
          <w:rFonts w:cs="Arial"/>
          <w:color w:val="000000" w:themeColor="text1"/>
          <w:szCs w:val="16"/>
        </w:rPr>
      </w:pPr>
    </w:p>
    <w:p w14:paraId="47A40AAD" w14:textId="088A53BD" w:rsidR="0059735F" w:rsidRPr="00781112" w:rsidRDefault="0059735F" w:rsidP="0059735F">
      <w:pPr>
        <w:rPr>
          <w:b/>
          <w:bCs/>
          <w:color w:val="000000" w:themeColor="text1"/>
        </w:rPr>
      </w:pPr>
      <w:r w:rsidRPr="00781112">
        <w:rPr>
          <w:b/>
          <w:bCs/>
        </w:rPr>
        <w:t>Inclusive Targets – 6A, 6B</w:t>
      </w:r>
    </w:p>
    <w:tbl>
      <w:tblPr>
        <w:tblW w:w="34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6ABTARGETSINCL"/>
      </w:tblPr>
      <w:tblGrid>
        <w:gridCol w:w="1078"/>
        <w:gridCol w:w="1617"/>
        <w:gridCol w:w="1617"/>
        <w:gridCol w:w="1622"/>
        <w:gridCol w:w="1617"/>
      </w:tblGrid>
      <w:tr w:rsidR="00B67FCE" w:rsidRPr="00781112" w14:paraId="502A05CF" w14:textId="31F34C5E" w:rsidTr="00845B9B">
        <w:trPr>
          <w:trHeight w:val="297"/>
        </w:trPr>
        <w:tc>
          <w:tcPr>
            <w:tcW w:w="713" w:type="pct"/>
            <w:tcBorders>
              <w:bottom w:val="single" w:sz="4" w:space="0" w:color="auto"/>
            </w:tcBorders>
            <w:shd w:val="clear" w:color="auto" w:fill="auto"/>
          </w:tcPr>
          <w:p w14:paraId="24938C30" w14:textId="77777777" w:rsidR="00B67FCE" w:rsidRPr="00781112" w:rsidRDefault="00B67FCE" w:rsidP="00D62058">
            <w:pPr>
              <w:jc w:val="center"/>
              <w:rPr>
                <w:b/>
                <w:color w:val="000000" w:themeColor="text1"/>
              </w:rPr>
            </w:pPr>
            <w:r w:rsidRPr="00781112">
              <w:rPr>
                <w:b/>
                <w:color w:val="000000" w:themeColor="text1"/>
              </w:rPr>
              <w:t>FFY</w:t>
            </w:r>
          </w:p>
        </w:tc>
        <w:tc>
          <w:tcPr>
            <w:tcW w:w="1071" w:type="pct"/>
            <w:shd w:val="clear" w:color="auto" w:fill="auto"/>
          </w:tcPr>
          <w:p w14:paraId="4B75D90A" w14:textId="04FBCB48" w:rsidR="00B67FCE" w:rsidRPr="00781112" w:rsidRDefault="00B67FCE" w:rsidP="00D62058">
            <w:pPr>
              <w:jc w:val="center"/>
              <w:rPr>
                <w:b/>
                <w:color w:val="000000" w:themeColor="text1"/>
              </w:rPr>
            </w:pPr>
            <w:r w:rsidRPr="00781112">
              <w:rPr>
                <w:b/>
                <w:color w:val="000000" w:themeColor="text1"/>
              </w:rPr>
              <w:t>2022</w:t>
            </w:r>
          </w:p>
        </w:tc>
        <w:tc>
          <w:tcPr>
            <w:tcW w:w="1071" w:type="pct"/>
          </w:tcPr>
          <w:p w14:paraId="5DC58FF5" w14:textId="7CBB0832" w:rsidR="00B67FCE" w:rsidRPr="00781112" w:rsidRDefault="00B67FCE" w:rsidP="00360DD6">
            <w:pPr>
              <w:jc w:val="center"/>
              <w:rPr>
                <w:b/>
                <w:color w:val="000000" w:themeColor="text1"/>
              </w:rPr>
            </w:pPr>
            <w:r w:rsidRPr="00781112">
              <w:rPr>
                <w:b/>
                <w:color w:val="000000" w:themeColor="text1"/>
              </w:rPr>
              <w:t>2023</w:t>
            </w:r>
          </w:p>
        </w:tc>
        <w:tc>
          <w:tcPr>
            <w:tcW w:w="1074" w:type="pct"/>
          </w:tcPr>
          <w:p w14:paraId="7F3093B9" w14:textId="2E366C4A" w:rsidR="00B67FCE" w:rsidRPr="00781112" w:rsidRDefault="00B67FCE" w:rsidP="00360DD6">
            <w:pPr>
              <w:jc w:val="center"/>
              <w:rPr>
                <w:b/>
                <w:color w:val="000000" w:themeColor="text1"/>
              </w:rPr>
            </w:pPr>
            <w:r w:rsidRPr="00781112">
              <w:rPr>
                <w:b/>
                <w:color w:val="000000" w:themeColor="text1"/>
              </w:rPr>
              <w:t>2024</w:t>
            </w:r>
          </w:p>
        </w:tc>
        <w:tc>
          <w:tcPr>
            <w:tcW w:w="1072" w:type="pct"/>
          </w:tcPr>
          <w:p w14:paraId="05A02BBA" w14:textId="78E50BC0" w:rsidR="00B67FCE" w:rsidRPr="00781112" w:rsidRDefault="00B67FCE" w:rsidP="00360DD6">
            <w:pPr>
              <w:jc w:val="center"/>
              <w:rPr>
                <w:b/>
                <w:color w:val="000000" w:themeColor="text1"/>
              </w:rPr>
            </w:pPr>
            <w:r w:rsidRPr="00781112">
              <w:rPr>
                <w:b/>
                <w:color w:val="000000" w:themeColor="text1"/>
              </w:rPr>
              <w:t>2025</w:t>
            </w:r>
          </w:p>
        </w:tc>
      </w:tr>
      <w:tr w:rsidR="00B67FCE" w:rsidRPr="00781112" w14:paraId="19DCE246" w14:textId="1AEE89BD" w:rsidTr="00845B9B">
        <w:trPr>
          <w:trHeight w:val="303"/>
        </w:trPr>
        <w:tc>
          <w:tcPr>
            <w:tcW w:w="713" w:type="pct"/>
            <w:shd w:val="clear" w:color="auto" w:fill="auto"/>
            <w:vAlign w:val="center"/>
          </w:tcPr>
          <w:p w14:paraId="772DAD56" w14:textId="1540F97B" w:rsidR="00B67FCE" w:rsidRPr="00781112" w:rsidRDefault="00B67FCE" w:rsidP="00BA3DBE">
            <w:pPr>
              <w:jc w:val="center"/>
              <w:rPr>
                <w:rFonts w:cs="Arial"/>
                <w:color w:val="000000" w:themeColor="text1"/>
                <w:szCs w:val="16"/>
              </w:rPr>
            </w:pPr>
            <w:r w:rsidRPr="00781112">
              <w:rPr>
                <w:rFonts w:cs="Arial"/>
                <w:color w:val="000000" w:themeColor="text1"/>
                <w:szCs w:val="16"/>
              </w:rPr>
              <w:t>Target A &gt;=</w:t>
            </w:r>
          </w:p>
        </w:tc>
        <w:tc>
          <w:tcPr>
            <w:tcW w:w="1071" w:type="pct"/>
            <w:shd w:val="clear" w:color="auto" w:fill="auto"/>
            <w:vAlign w:val="center"/>
          </w:tcPr>
          <w:p w14:paraId="2E5FC5F6" w14:textId="4C6B8E64" w:rsidR="00B67FCE" w:rsidRPr="00781112" w:rsidRDefault="00B67FCE" w:rsidP="00D62058">
            <w:pPr>
              <w:jc w:val="center"/>
              <w:rPr>
                <w:rFonts w:cs="Arial"/>
                <w:color w:val="000000" w:themeColor="text1"/>
                <w:szCs w:val="16"/>
              </w:rPr>
            </w:pPr>
            <w:r w:rsidRPr="00781112">
              <w:rPr>
                <w:rFonts w:cs="Arial"/>
                <w:color w:val="000000" w:themeColor="text1"/>
                <w:szCs w:val="16"/>
              </w:rPr>
              <w:t>54.08%</w:t>
            </w:r>
          </w:p>
        </w:tc>
        <w:tc>
          <w:tcPr>
            <w:tcW w:w="1071" w:type="pct"/>
          </w:tcPr>
          <w:p w14:paraId="4C26EA28" w14:textId="691A218F" w:rsidR="00B67FCE" w:rsidRPr="00781112" w:rsidRDefault="00B67FCE" w:rsidP="00360DD6">
            <w:pPr>
              <w:jc w:val="center"/>
              <w:rPr>
                <w:rFonts w:cs="Arial"/>
                <w:color w:val="000000" w:themeColor="text1"/>
                <w:szCs w:val="16"/>
              </w:rPr>
            </w:pPr>
            <w:r w:rsidRPr="00781112">
              <w:rPr>
                <w:rFonts w:cs="Arial"/>
                <w:color w:val="000000" w:themeColor="text1"/>
                <w:szCs w:val="16"/>
              </w:rPr>
              <w:t>55.58%</w:t>
            </w:r>
          </w:p>
        </w:tc>
        <w:tc>
          <w:tcPr>
            <w:tcW w:w="1074" w:type="pct"/>
          </w:tcPr>
          <w:p w14:paraId="0BF1D9D9" w14:textId="482D9F05" w:rsidR="00B67FCE" w:rsidRPr="00781112" w:rsidRDefault="00B67FCE" w:rsidP="00360DD6">
            <w:pPr>
              <w:jc w:val="center"/>
              <w:rPr>
                <w:rFonts w:cs="Arial"/>
                <w:color w:val="000000" w:themeColor="text1"/>
                <w:szCs w:val="16"/>
              </w:rPr>
            </w:pPr>
            <w:r w:rsidRPr="00781112">
              <w:rPr>
                <w:rFonts w:cs="Arial"/>
                <w:color w:val="000000" w:themeColor="text1"/>
                <w:szCs w:val="16"/>
              </w:rPr>
              <w:t>57.58%</w:t>
            </w:r>
          </w:p>
        </w:tc>
        <w:tc>
          <w:tcPr>
            <w:tcW w:w="1072" w:type="pct"/>
          </w:tcPr>
          <w:p w14:paraId="583F2116" w14:textId="7106D36C" w:rsidR="00B67FCE" w:rsidRPr="00781112" w:rsidRDefault="00B67FCE" w:rsidP="00360DD6">
            <w:pPr>
              <w:jc w:val="center"/>
              <w:rPr>
                <w:rFonts w:cs="Arial"/>
                <w:color w:val="000000" w:themeColor="text1"/>
                <w:szCs w:val="16"/>
              </w:rPr>
            </w:pPr>
            <w:r w:rsidRPr="00781112">
              <w:rPr>
                <w:rFonts w:cs="Arial"/>
                <w:color w:val="000000" w:themeColor="text1"/>
                <w:szCs w:val="16"/>
              </w:rPr>
              <w:t>60.08%</w:t>
            </w:r>
          </w:p>
        </w:tc>
      </w:tr>
      <w:tr w:rsidR="00B67FCE" w:rsidRPr="00781112" w14:paraId="3AA5E8F7" w14:textId="085D0F95" w:rsidTr="00845B9B">
        <w:trPr>
          <w:trHeight w:val="303"/>
        </w:trPr>
        <w:tc>
          <w:tcPr>
            <w:tcW w:w="713" w:type="pct"/>
            <w:shd w:val="clear" w:color="auto" w:fill="auto"/>
            <w:vAlign w:val="center"/>
          </w:tcPr>
          <w:p w14:paraId="49E152B3" w14:textId="4DC08CD2" w:rsidR="00B67FCE" w:rsidRPr="00781112" w:rsidRDefault="00B67FCE" w:rsidP="00BA3DBE">
            <w:pPr>
              <w:jc w:val="center"/>
              <w:rPr>
                <w:rFonts w:cs="Arial"/>
                <w:color w:val="000000" w:themeColor="text1"/>
                <w:szCs w:val="16"/>
              </w:rPr>
            </w:pPr>
            <w:r w:rsidRPr="00781112">
              <w:rPr>
                <w:rFonts w:cs="Arial"/>
                <w:color w:val="000000" w:themeColor="text1"/>
                <w:szCs w:val="16"/>
              </w:rPr>
              <w:t>Target B &lt;=</w:t>
            </w:r>
          </w:p>
        </w:tc>
        <w:tc>
          <w:tcPr>
            <w:tcW w:w="1071" w:type="pct"/>
            <w:shd w:val="clear" w:color="auto" w:fill="auto"/>
            <w:vAlign w:val="center"/>
          </w:tcPr>
          <w:p w14:paraId="642E6A80" w14:textId="7A6AF652" w:rsidR="00B67FCE" w:rsidRPr="00781112" w:rsidRDefault="00B67FCE" w:rsidP="00D62058">
            <w:pPr>
              <w:jc w:val="center"/>
              <w:rPr>
                <w:rFonts w:cs="Arial"/>
                <w:color w:val="000000" w:themeColor="text1"/>
                <w:szCs w:val="16"/>
              </w:rPr>
            </w:pPr>
            <w:r w:rsidRPr="00781112">
              <w:rPr>
                <w:rFonts w:cs="Arial"/>
                <w:color w:val="000000" w:themeColor="text1"/>
                <w:szCs w:val="16"/>
              </w:rPr>
              <w:t>30.83%</w:t>
            </w:r>
          </w:p>
        </w:tc>
        <w:tc>
          <w:tcPr>
            <w:tcW w:w="1071" w:type="pct"/>
          </w:tcPr>
          <w:p w14:paraId="752B6B9E" w14:textId="3979D870" w:rsidR="00B67FCE" w:rsidRPr="00781112" w:rsidRDefault="00B67FCE" w:rsidP="00360DD6">
            <w:pPr>
              <w:jc w:val="center"/>
              <w:rPr>
                <w:rFonts w:cs="Arial"/>
                <w:color w:val="000000" w:themeColor="text1"/>
                <w:szCs w:val="16"/>
              </w:rPr>
            </w:pPr>
            <w:r w:rsidRPr="00781112">
              <w:rPr>
                <w:rFonts w:cs="Arial"/>
                <w:color w:val="000000" w:themeColor="text1"/>
                <w:szCs w:val="16"/>
              </w:rPr>
              <w:t>29.33%</w:t>
            </w:r>
          </w:p>
        </w:tc>
        <w:tc>
          <w:tcPr>
            <w:tcW w:w="1074" w:type="pct"/>
          </w:tcPr>
          <w:p w14:paraId="1DCC77D9" w14:textId="4B30FDBE" w:rsidR="00B67FCE" w:rsidRPr="00781112" w:rsidRDefault="00B67FCE" w:rsidP="00360DD6">
            <w:pPr>
              <w:jc w:val="center"/>
              <w:rPr>
                <w:rFonts w:cs="Arial"/>
                <w:color w:val="000000" w:themeColor="text1"/>
                <w:szCs w:val="16"/>
              </w:rPr>
            </w:pPr>
            <w:r w:rsidRPr="00781112">
              <w:rPr>
                <w:rFonts w:cs="Arial"/>
                <w:color w:val="000000" w:themeColor="text1"/>
                <w:szCs w:val="16"/>
              </w:rPr>
              <w:t>27.33%</w:t>
            </w:r>
          </w:p>
        </w:tc>
        <w:tc>
          <w:tcPr>
            <w:tcW w:w="1072" w:type="pct"/>
          </w:tcPr>
          <w:p w14:paraId="481E8597" w14:textId="10A83577" w:rsidR="00B67FCE" w:rsidRPr="00781112" w:rsidRDefault="00B67FCE" w:rsidP="00360DD6">
            <w:pPr>
              <w:jc w:val="center"/>
              <w:rPr>
                <w:rFonts w:cs="Arial"/>
                <w:color w:val="000000" w:themeColor="text1"/>
                <w:szCs w:val="16"/>
              </w:rPr>
            </w:pPr>
            <w:r w:rsidRPr="00781112">
              <w:rPr>
                <w:rFonts w:cs="Arial"/>
                <w:color w:val="000000" w:themeColor="text1"/>
                <w:szCs w:val="16"/>
              </w:rPr>
              <w:t>24.83%</w:t>
            </w:r>
          </w:p>
        </w:tc>
      </w:tr>
    </w:tbl>
    <w:p w14:paraId="27170CED" w14:textId="772C81FC" w:rsidR="00E428BD" w:rsidRDefault="00E428BD" w:rsidP="004369B2">
      <w:pPr>
        <w:rPr>
          <w:color w:val="000000" w:themeColor="text1"/>
        </w:rPr>
      </w:pPr>
      <w:bookmarkStart w:id="46" w:name="_Toc382082378"/>
      <w:bookmarkStart w:id="47" w:name="_Toc392159302"/>
    </w:p>
    <w:p w14:paraId="38AC4E98" w14:textId="77777777" w:rsidR="0040181B" w:rsidRPr="00781112" w:rsidRDefault="0040181B" w:rsidP="0040181B">
      <w:pPr>
        <w:rPr>
          <w:b/>
          <w:bCs/>
          <w:color w:val="000000" w:themeColor="text1"/>
        </w:rPr>
      </w:pPr>
      <w:r w:rsidRPr="00781112">
        <w:rPr>
          <w:b/>
          <w:bCs/>
        </w:rPr>
        <w:t>Inclusive Targets – 6C</w:t>
      </w:r>
    </w:p>
    <w:tbl>
      <w:tblPr>
        <w:tblW w:w="34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6CTARGETSINCL"/>
      </w:tblPr>
      <w:tblGrid>
        <w:gridCol w:w="1078"/>
        <w:gridCol w:w="1617"/>
        <w:gridCol w:w="1617"/>
        <w:gridCol w:w="1622"/>
        <w:gridCol w:w="1617"/>
      </w:tblGrid>
      <w:tr w:rsidR="00B67FCE" w:rsidRPr="00781112" w14:paraId="6B43903F" w14:textId="77777777" w:rsidTr="00845B9B">
        <w:trPr>
          <w:trHeight w:val="297"/>
        </w:trPr>
        <w:tc>
          <w:tcPr>
            <w:tcW w:w="713" w:type="pct"/>
            <w:tcBorders>
              <w:bottom w:val="single" w:sz="4" w:space="0" w:color="auto"/>
            </w:tcBorders>
            <w:shd w:val="clear" w:color="auto" w:fill="auto"/>
          </w:tcPr>
          <w:p w14:paraId="454FDD0F" w14:textId="77777777" w:rsidR="00B67FCE" w:rsidRPr="00781112" w:rsidRDefault="00B67FCE" w:rsidP="00992ACE">
            <w:pPr>
              <w:jc w:val="center"/>
              <w:rPr>
                <w:b/>
                <w:color w:val="000000" w:themeColor="text1"/>
              </w:rPr>
            </w:pPr>
            <w:r w:rsidRPr="00781112">
              <w:rPr>
                <w:b/>
                <w:color w:val="000000" w:themeColor="text1"/>
              </w:rPr>
              <w:t>FFY</w:t>
            </w:r>
          </w:p>
        </w:tc>
        <w:tc>
          <w:tcPr>
            <w:tcW w:w="1071" w:type="pct"/>
            <w:shd w:val="clear" w:color="auto" w:fill="auto"/>
          </w:tcPr>
          <w:p w14:paraId="23E06477" w14:textId="77777777" w:rsidR="00B67FCE" w:rsidRPr="00781112" w:rsidRDefault="00B67FCE" w:rsidP="00992ACE">
            <w:pPr>
              <w:jc w:val="center"/>
              <w:rPr>
                <w:b/>
                <w:color w:val="000000" w:themeColor="text1"/>
              </w:rPr>
            </w:pPr>
            <w:r w:rsidRPr="00781112">
              <w:rPr>
                <w:b/>
                <w:color w:val="000000" w:themeColor="text1"/>
              </w:rPr>
              <w:t>2022</w:t>
            </w:r>
          </w:p>
        </w:tc>
        <w:tc>
          <w:tcPr>
            <w:tcW w:w="1071" w:type="pct"/>
          </w:tcPr>
          <w:p w14:paraId="727ADECD" w14:textId="77777777" w:rsidR="00B67FCE" w:rsidRPr="00781112" w:rsidRDefault="00B67FCE" w:rsidP="00992ACE">
            <w:pPr>
              <w:jc w:val="center"/>
              <w:rPr>
                <w:b/>
                <w:color w:val="000000" w:themeColor="text1"/>
              </w:rPr>
            </w:pPr>
            <w:r w:rsidRPr="00781112">
              <w:rPr>
                <w:b/>
                <w:color w:val="000000" w:themeColor="text1"/>
              </w:rPr>
              <w:t>2023</w:t>
            </w:r>
          </w:p>
        </w:tc>
        <w:tc>
          <w:tcPr>
            <w:tcW w:w="1074" w:type="pct"/>
          </w:tcPr>
          <w:p w14:paraId="6EC259CD" w14:textId="77777777" w:rsidR="00B67FCE" w:rsidRPr="00781112" w:rsidRDefault="00B67FCE" w:rsidP="00992ACE">
            <w:pPr>
              <w:jc w:val="center"/>
              <w:rPr>
                <w:b/>
                <w:color w:val="000000" w:themeColor="text1"/>
              </w:rPr>
            </w:pPr>
            <w:r w:rsidRPr="00781112">
              <w:rPr>
                <w:b/>
                <w:color w:val="000000" w:themeColor="text1"/>
              </w:rPr>
              <w:t>2024</w:t>
            </w:r>
          </w:p>
        </w:tc>
        <w:tc>
          <w:tcPr>
            <w:tcW w:w="1072" w:type="pct"/>
          </w:tcPr>
          <w:p w14:paraId="30FC0D14" w14:textId="77777777" w:rsidR="00B67FCE" w:rsidRPr="00781112" w:rsidRDefault="00B67FCE" w:rsidP="00992ACE">
            <w:pPr>
              <w:jc w:val="center"/>
              <w:rPr>
                <w:b/>
                <w:color w:val="000000" w:themeColor="text1"/>
              </w:rPr>
            </w:pPr>
            <w:r w:rsidRPr="00781112">
              <w:rPr>
                <w:b/>
                <w:color w:val="000000" w:themeColor="text1"/>
              </w:rPr>
              <w:t>2025</w:t>
            </w:r>
          </w:p>
        </w:tc>
      </w:tr>
      <w:tr w:rsidR="00B67FCE" w:rsidRPr="00781112" w14:paraId="38A2A2D3" w14:textId="77777777" w:rsidTr="00845B9B">
        <w:trPr>
          <w:trHeight w:val="303"/>
        </w:trPr>
        <w:tc>
          <w:tcPr>
            <w:tcW w:w="713" w:type="pct"/>
            <w:shd w:val="clear" w:color="auto" w:fill="auto"/>
            <w:vAlign w:val="center"/>
          </w:tcPr>
          <w:p w14:paraId="1A01A931" w14:textId="77777777" w:rsidR="00B67FCE" w:rsidRPr="00781112" w:rsidRDefault="00B67FCE" w:rsidP="00BA3DBE">
            <w:pPr>
              <w:jc w:val="center"/>
              <w:rPr>
                <w:rFonts w:cs="Arial"/>
                <w:color w:val="000000" w:themeColor="text1"/>
                <w:szCs w:val="16"/>
              </w:rPr>
            </w:pPr>
            <w:r w:rsidRPr="00781112">
              <w:rPr>
                <w:rFonts w:cs="Arial"/>
                <w:color w:val="000000" w:themeColor="text1"/>
                <w:szCs w:val="16"/>
              </w:rPr>
              <w:t>Target C &lt;=</w:t>
            </w:r>
          </w:p>
        </w:tc>
        <w:tc>
          <w:tcPr>
            <w:tcW w:w="1071" w:type="pct"/>
            <w:shd w:val="clear" w:color="auto" w:fill="auto"/>
            <w:vAlign w:val="center"/>
          </w:tcPr>
          <w:p w14:paraId="4CC46A48" w14:textId="77777777" w:rsidR="00B67FCE" w:rsidRPr="00781112" w:rsidRDefault="00B67FCE" w:rsidP="00992ACE">
            <w:pPr>
              <w:jc w:val="center"/>
              <w:rPr>
                <w:rFonts w:cs="Arial"/>
                <w:color w:val="000000" w:themeColor="text1"/>
                <w:szCs w:val="16"/>
              </w:rPr>
            </w:pPr>
            <w:r w:rsidRPr="00781112">
              <w:rPr>
                <w:rFonts w:cs="Arial"/>
                <w:color w:val="000000" w:themeColor="text1"/>
                <w:szCs w:val="16"/>
              </w:rPr>
              <w:t>23.00%</w:t>
            </w:r>
          </w:p>
        </w:tc>
        <w:tc>
          <w:tcPr>
            <w:tcW w:w="1071" w:type="pct"/>
          </w:tcPr>
          <w:p w14:paraId="262E2FD0" w14:textId="77777777" w:rsidR="00B67FCE" w:rsidRPr="00781112" w:rsidRDefault="00B67FCE" w:rsidP="00992ACE">
            <w:pPr>
              <w:jc w:val="center"/>
              <w:rPr>
                <w:rFonts w:cs="Arial"/>
                <w:color w:val="000000" w:themeColor="text1"/>
                <w:szCs w:val="16"/>
              </w:rPr>
            </w:pPr>
            <w:r w:rsidRPr="00781112">
              <w:rPr>
                <w:rFonts w:cs="Arial"/>
                <w:color w:val="000000" w:themeColor="text1"/>
                <w:szCs w:val="16"/>
              </w:rPr>
              <w:t>21.50%</w:t>
            </w:r>
          </w:p>
        </w:tc>
        <w:tc>
          <w:tcPr>
            <w:tcW w:w="1074" w:type="pct"/>
          </w:tcPr>
          <w:p w14:paraId="54ED085E" w14:textId="77777777" w:rsidR="00B67FCE" w:rsidRPr="00781112" w:rsidRDefault="00B67FCE" w:rsidP="00992ACE">
            <w:pPr>
              <w:jc w:val="center"/>
              <w:rPr>
                <w:rFonts w:cs="Arial"/>
                <w:color w:val="000000" w:themeColor="text1"/>
                <w:szCs w:val="16"/>
              </w:rPr>
            </w:pPr>
            <w:r w:rsidRPr="00781112">
              <w:rPr>
                <w:rFonts w:cs="Arial"/>
                <w:color w:val="000000" w:themeColor="text1"/>
                <w:szCs w:val="16"/>
              </w:rPr>
              <w:t>19.50%</w:t>
            </w:r>
          </w:p>
        </w:tc>
        <w:tc>
          <w:tcPr>
            <w:tcW w:w="1072" w:type="pct"/>
          </w:tcPr>
          <w:p w14:paraId="2466D4C4" w14:textId="77777777" w:rsidR="00B67FCE" w:rsidRPr="00781112" w:rsidRDefault="00B67FCE" w:rsidP="00992ACE">
            <w:pPr>
              <w:jc w:val="center"/>
              <w:rPr>
                <w:rFonts w:cs="Arial"/>
                <w:color w:val="000000" w:themeColor="text1"/>
                <w:szCs w:val="16"/>
              </w:rPr>
            </w:pPr>
            <w:r w:rsidRPr="00781112">
              <w:rPr>
                <w:rFonts w:cs="Arial"/>
                <w:color w:val="000000" w:themeColor="text1"/>
                <w:szCs w:val="16"/>
              </w:rPr>
              <w:t>17.00%</w:t>
            </w:r>
          </w:p>
        </w:tc>
      </w:tr>
    </w:tbl>
    <w:p w14:paraId="6F4455E5" w14:textId="77777777" w:rsidR="0040181B" w:rsidRPr="00781112" w:rsidRDefault="0040181B" w:rsidP="0040181B">
      <w:pPr>
        <w:rPr>
          <w:color w:val="000000" w:themeColor="text1"/>
        </w:rPr>
      </w:pPr>
    </w:p>
    <w:p w14:paraId="50508AD8" w14:textId="0C71BBD3" w:rsidR="008751D3" w:rsidRPr="00781112" w:rsidRDefault="008751D3" w:rsidP="004369B2">
      <w:pPr>
        <w:rPr>
          <w:b/>
          <w:color w:val="000000" w:themeColor="text1"/>
        </w:rPr>
      </w:pPr>
      <w:r w:rsidRPr="00781112">
        <w:rPr>
          <w:b/>
          <w:color w:val="000000" w:themeColor="text1"/>
        </w:rPr>
        <w:t>Prepopulated Data</w:t>
      </w:r>
    </w:p>
    <w:p w14:paraId="4FE8FE34" w14:textId="77777777" w:rsidR="004F4564" w:rsidRPr="00781112" w:rsidRDefault="004F4564" w:rsidP="004F4564">
      <w:pPr>
        <w:rPr>
          <w:rFonts w:cs="Arial"/>
          <w:b/>
          <w:color w:val="000000" w:themeColor="text1"/>
          <w:szCs w:val="16"/>
        </w:rPr>
      </w:pPr>
      <w:r w:rsidRPr="00781112">
        <w:rPr>
          <w:rFonts w:cs="Arial"/>
          <w:b/>
          <w:color w:val="000000" w:themeColor="text1"/>
          <w:szCs w:val="16"/>
        </w:rPr>
        <w:t xml:space="preserve">Data Source:  </w:t>
      </w:r>
    </w:p>
    <w:p w14:paraId="386CE8B6" w14:textId="365EFD16" w:rsidR="004F4564" w:rsidRPr="00781112" w:rsidRDefault="004F4564" w:rsidP="004F4564">
      <w:pPr>
        <w:rPr>
          <w:rFonts w:cs="Arial"/>
          <w:color w:val="000000" w:themeColor="text1"/>
          <w:szCs w:val="16"/>
        </w:rPr>
      </w:pPr>
      <w:r w:rsidRPr="00781112">
        <w:rPr>
          <w:rFonts w:cs="Arial"/>
          <w:color w:val="000000" w:themeColor="text1"/>
          <w:szCs w:val="16"/>
        </w:rPr>
        <w:t>SY 2022-23 Child Count/Educational Environment Data Groups (EDFacts file spec FS089; Data group 613)</w:t>
      </w:r>
    </w:p>
    <w:p w14:paraId="4528541A" w14:textId="77777777" w:rsidR="004F4564" w:rsidRPr="00781112" w:rsidRDefault="004F4564" w:rsidP="004F4564">
      <w:pPr>
        <w:rPr>
          <w:rFonts w:cs="Arial"/>
          <w:b/>
          <w:color w:val="000000" w:themeColor="text1"/>
          <w:szCs w:val="16"/>
        </w:rPr>
      </w:pPr>
      <w:r w:rsidRPr="00781112">
        <w:rPr>
          <w:rFonts w:cs="Arial"/>
          <w:b/>
          <w:color w:val="000000" w:themeColor="text1"/>
          <w:szCs w:val="16"/>
        </w:rPr>
        <w:t xml:space="preserve">Date: </w:t>
      </w:r>
    </w:p>
    <w:p w14:paraId="372F35F3" w14:textId="3C0B439F" w:rsidR="004F4564" w:rsidRPr="00781112" w:rsidRDefault="004F4564" w:rsidP="004F4564">
      <w:pPr>
        <w:rPr>
          <w:rFonts w:cs="Arial"/>
          <w:color w:val="000000" w:themeColor="text1"/>
          <w:szCs w:val="16"/>
        </w:rPr>
      </w:pPr>
      <w:r w:rsidRPr="00781112">
        <w:rPr>
          <w:rFonts w:cs="Arial"/>
          <w:color w:val="000000" w:themeColor="text1"/>
          <w:szCs w:val="16"/>
        </w:rPr>
        <w:t>08/30/2023</w:t>
      </w:r>
    </w:p>
    <w:p w14:paraId="023F428E" w14:textId="77777777" w:rsidR="004F4564" w:rsidRPr="00781112" w:rsidRDefault="004F4564"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B06PREPOPDATA"/>
      </w:tblPr>
      <w:tblGrid>
        <w:gridCol w:w="3348"/>
        <w:gridCol w:w="1862"/>
        <w:gridCol w:w="1862"/>
        <w:gridCol w:w="1862"/>
        <w:gridCol w:w="1856"/>
      </w:tblGrid>
      <w:tr w:rsidR="00E25159" w:rsidRPr="00781112" w14:paraId="08E6335C" w14:textId="3E29B965" w:rsidTr="00360DD6">
        <w:trPr>
          <w:cantSplit/>
          <w:tblHeader/>
        </w:trPr>
        <w:tc>
          <w:tcPr>
            <w:tcW w:w="1551" w:type="pct"/>
            <w:shd w:val="clear" w:color="auto" w:fill="auto"/>
          </w:tcPr>
          <w:p w14:paraId="47ECA16E" w14:textId="77777777" w:rsidR="00E25159" w:rsidRPr="00781112" w:rsidRDefault="00E25159" w:rsidP="009C613A">
            <w:pPr>
              <w:spacing w:after="0"/>
              <w:jc w:val="center"/>
              <w:rPr>
                <w:rFonts w:cs="Arial"/>
                <w:b/>
                <w:color w:val="000000" w:themeColor="text1"/>
                <w:szCs w:val="16"/>
              </w:rPr>
            </w:pPr>
            <w:r w:rsidRPr="00781112">
              <w:rPr>
                <w:rFonts w:cs="Arial"/>
                <w:b/>
                <w:color w:val="000000" w:themeColor="text1"/>
                <w:szCs w:val="16"/>
              </w:rPr>
              <w:t>Description</w:t>
            </w:r>
          </w:p>
        </w:tc>
        <w:tc>
          <w:tcPr>
            <w:tcW w:w="863" w:type="pct"/>
          </w:tcPr>
          <w:p w14:paraId="06AF5DE5" w14:textId="64A96718" w:rsidR="00E25159" w:rsidRPr="00781112" w:rsidRDefault="002E763A" w:rsidP="009C613A">
            <w:pPr>
              <w:spacing w:after="0"/>
              <w:jc w:val="center"/>
              <w:rPr>
                <w:rFonts w:cs="Arial"/>
                <w:b/>
                <w:color w:val="000000" w:themeColor="text1"/>
                <w:szCs w:val="16"/>
              </w:rPr>
            </w:pPr>
            <w:r w:rsidRPr="00781112">
              <w:rPr>
                <w:rFonts w:cs="Arial"/>
                <w:b/>
                <w:color w:val="000000" w:themeColor="text1"/>
                <w:szCs w:val="16"/>
              </w:rPr>
              <w:t>3</w:t>
            </w:r>
          </w:p>
        </w:tc>
        <w:tc>
          <w:tcPr>
            <w:tcW w:w="863" w:type="pct"/>
          </w:tcPr>
          <w:p w14:paraId="43D1389C" w14:textId="51E4E6FF" w:rsidR="00E25159" w:rsidRPr="00781112" w:rsidRDefault="002E763A" w:rsidP="009C613A">
            <w:pPr>
              <w:spacing w:after="0"/>
              <w:jc w:val="center"/>
              <w:rPr>
                <w:rFonts w:cs="Arial"/>
                <w:b/>
                <w:color w:val="000000" w:themeColor="text1"/>
                <w:szCs w:val="16"/>
              </w:rPr>
            </w:pPr>
            <w:r w:rsidRPr="00781112">
              <w:rPr>
                <w:rFonts w:cs="Arial"/>
                <w:b/>
                <w:color w:val="000000" w:themeColor="text1"/>
                <w:szCs w:val="16"/>
              </w:rPr>
              <w:t>4</w:t>
            </w:r>
          </w:p>
        </w:tc>
        <w:tc>
          <w:tcPr>
            <w:tcW w:w="863" w:type="pct"/>
            <w:shd w:val="clear" w:color="auto" w:fill="auto"/>
          </w:tcPr>
          <w:p w14:paraId="5BF9C35D" w14:textId="53AE3D4B" w:rsidR="00E25159" w:rsidRPr="00781112" w:rsidRDefault="002E763A" w:rsidP="009C613A">
            <w:pPr>
              <w:spacing w:after="0"/>
              <w:jc w:val="center"/>
              <w:rPr>
                <w:rFonts w:cs="Arial"/>
                <w:b/>
                <w:color w:val="000000" w:themeColor="text1"/>
                <w:szCs w:val="16"/>
              </w:rPr>
            </w:pPr>
            <w:r w:rsidRPr="00781112">
              <w:rPr>
                <w:rFonts w:cs="Arial"/>
                <w:b/>
                <w:color w:val="000000" w:themeColor="text1"/>
                <w:szCs w:val="16"/>
              </w:rPr>
              <w:t>5</w:t>
            </w:r>
          </w:p>
        </w:tc>
        <w:tc>
          <w:tcPr>
            <w:tcW w:w="860" w:type="pct"/>
          </w:tcPr>
          <w:p w14:paraId="61BA1D5F" w14:textId="4D953D5F" w:rsidR="00E25159" w:rsidRPr="00781112" w:rsidRDefault="00BB48E9" w:rsidP="009C613A">
            <w:pPr>
              <w:spacing w:after="0"/>
              <w:jc w:val="center"/>
              <w:rPr>
                <w:rFonts w:cs="Arial"/>
                <w:b/>
                <w:color w:val="000000" w:themeColor="text1"/>
                <w:szCs w:val="16"/>
              </w:rPr>
            </w:pPr>
            <w:r w:rsidRPr="00781112">
              <w:rPr>
                <w:rFonts w:cs="Arial"/>
                <w:b/>
                <w:szCs w:val="16"/>
              </w:rPr>
              <w:t>3 through 5 - Total</w:t>
            </w:r>
          </w:p>
        </w:tc>
      </w:tr>
      <w:tr w:rsidR="00DC09CA" w:rsidRPr="00781112" w14:paraId="4FFA6181" w14:textId="716A2CB6" w:rsidTr="00360DD6">
        <w:trPr>
          <w:cantSplit/>
        </w:trPr>
        <w:tc>
          <w:tcPr>
            <w:tcW w:w="1551" w:type="pct"/>
            <w:shd w:val="clear" w:color="auto" w:fill="auto"/>
            <w:vAlign w:val="bottom"/>
          </w:tcPr>
          <w:p w14:paraId="0C7ED212" w14:textId="5E72519E" w:rsidR="00DC09CA" w:rsidRPr="00781112" w:rsidRDefault="00DC09CA" w:rsidP="00DC09CA">
            <w:pPr>
              <w:rPr>
                <w:rFonts w:cs="Arial"/>
                <w:color w:val="000000" w:themeColor="text1"/>
                <w:szCs w:val="16"/>
              </w:rPr>
            </w:pPr>
            <w:r w:rsidRPr="00781112">
              <w:rPr>
                <w:rFonts w:cs="Arial"/>
                <w:color w:val="000000" w:themeColor="text1"/>
                <w:szCs w:val="16"/>
              </w:rPr>
              <w:t>Total number of children with IEPs</w:t>
            </w:r>
          </w:p>
        </w:tc>
        <w:tc>
          <w:tcPr>
            <w:tcW w:w="863" w:type="pct"/>
            <w:vAlign w:val="bottom"/>
          </w:tcPr>
          <w:p w14:paraId="20DD7859" w14:textId="2613E52D" w:rsidR="00DC09CA" w:rsidRPr="00781112" w:rsidRDefault="00DC09CA" w:rsidP="00DC09CA">
            <w:pPr>
              <w:jc w:val="center"/>
              <w:rPr>
                <w:rFonts w:cs="Arial"/>
                <w:color w:val="000000" w:themeColor="text1"/>
                <w:szCs w:val="16"/>
              </w:rPr>
            </w:pPr>
            <w:r w:rsidRPr="00781112">
              <w:rPr>
                <w:rFonts w:cs="Arial"/>
                <w:color w:val="000000" w:themeColor="text1"/>
                <w:szCs w:val="16"/>
              </w:rPr>
              <w:t>1,365</w:t>
            </w:r>
          </w:p>
        </w:tc>
        <w:tc>
          <w:tcPr>
            <w:tcW w:w="863" w:type="pct"/>
          </w:tcPr>
          <w:p w14:paraId="05D687A1" w14:textId="615962C4" w:rsidR="00DC09CA" w:rsidRPr="00781112" w:rsidRDefault="00DC09CA" w:rsidP="00DC09CA">
            <w:pPr>
              <w:jc w:val="center"/>
              <w:rPr>
                <w:rFonts w:cs="Arial"/>
                <w:color w:val="000000" w:themeColor="text1"/>
                <w:szCs w:val="16"/>
              </w:rPr>
            </w:pPr>
            <w:r w:rsidRPr="00781112">
              <w:rPr>
                <w:rFonts w:cs="Arial"/>
                <w:color w:val="000000" w:themeColor="text1"/>
                <w:szCs w:val="16"/>
              </w:rPr>
              <w:t>1,743</w:t>
            </w:r>
          </w:p>
        </w:tc>
        <w:tc>
          <w:tcPr>
            <w:tcW w:w="863" w:type="pct"/>
            <w:shd w:val="clear" w:color="auto" w:fill="auto"/>
          </w:tcPr>
          <w:p w14:paraId="784DA572" w14:textId="619FE690" w:rsidR="00DC09CA" w:rsidRPr="00781112" w:rsidRDefault="00DC09CA" w:rsidP="00DC09CA">
            <w:pPr>
              <w:jc w:val="center"/>
              <w:rPr>
                <w:rFonts w:cs="Arial"/>
                <w:color w:val="000000" w:themeColor="text1"/>
                <w:szCs w:val="16"/>
              </w:rPr>
            </w:pPr>
            <w:r w:rsidRPr="00781112">
              <w:rPr>
                <w:rFonts w:cs="Arial"/>
                <w:color w:val="000000" w:themeColor="text1"/>
                <w:szCs w:val="16"/>
              </w:rPr>
              <w:t>239</w:t>
            </w:r>
          </w:p>
        </w:tc>
        <w:tc>
          <w:tcPr>
            <w:tcW w:w="860" w:type="pct"/>
            <w:vAlign w:val="bottom"/>
          </w:tcPr>
          <w:p w14:paraId="11422879" w14:textId="0ABA0049" w:rsidR="00DC09CA" w:rsidRPr="00781112" w:rsidRDefault="00DC09CA" w:rsidP="00DC09CA">
            <w:pPr>
              <w:jc w:val="center"/>
              <w:rPr>
                <w:rFonts w:cs="Arial"/>
                <w:color w:val="000000" w:themeColor="text1"/>
                <w:szCs w:val="16"/>
              </w:rPr>
            </w:pPr>
            <w:r w:rsidRPr="00781112">
              <w:rPr>
                <w:rFonts w:cs="Arial"/>
                <w:color w:val="000000" w:themeColor="text1"/>
                <w:szCs w:val="16"/>
              </w:rPr>
              <w:t>3,347</w:t>
            </w:r>
          </w:p>
        </w:tc>
      </w:tr>
      <w:tr w:rsidR="00AA6D68" w:rsidRPr="00781112" w14:paraId="60B80599" w14:textId="5C935507" w:rsidTr="00360DD6">
        <w:trPr>
          <w:cantSplit/>
        </w:trPr>
        <w:tc>
          <w:tcPr>
            <w:tcW w:w="1551" w:type="pct"/>
            <w:shd w:val="clear" w:color="auto" w:fill="auto"/>
            <w:vAlign w:val="bottom"/>
          </w:tcPr>
          <w:p w14:paraId="143C4F1B" w14:textId="07512ED2" w:rsidR="00AA6D68" w:rsidRPr="00781112" w:rsidRDefault="00AA6D68" w:rsidP="00AA6D68">
            <w:pPr>
              <w:rPr>
                <w:rFonts w:cs="Arial"/>
                <w:color w:val="000000" w:themeColor="text1"/>
                <w:szCs w:val="16"/>
              </w:rPr>
            </w:pPr>
            <w:r w:rsidRPr="00781112">
              <w:rPr>
                <w:rFonts w:cs="Arial"/>
                <w:color w:val="000000" w:themeColor="text1"/>
                <w:szCs w:val="16"/>
              </w:rPr>
              <w:t>a1. Number of children attending a regular early childhood program and receiving the majority of special education and related services in the regular early childhood program</w:t>
            </w:r>
          </w:p>
        </w:tc>
        <w:tc>
          <w:tcPr>
            <w:tcW w:w="863" w:type="pct"/>
            <w:vAlign w:val="bottom"/>
          </w:tcPr>
          <w:p w14:paraId="659D2B47" w14:textId="4A180B03" w:rsidR="00AA6D68" w:rsidRPr="00781112" w:rsidRDefault="00AA6D68" w:rsidP="00AA6D68">
            <w:pPr>
              <w:jc w:val="center"/>
              <w:rPr>
                <w:rFonts w:cs="Arial"/>
                <w:color w:val="000000" w:themeColor="text1"/>
                <w:szCs w:val="16"/>
              </w:rPr>
            </w:pPr>
            <w:r w:rsidRPr="00781112">
              <w:rPr>
                <w:rFonts w:cs="Arial"/>
                <w:color w:val="000000" w:themeColor="text1"/>
                <w:szCs w:val="16"/>
              </w:rPr>
              <w:t>537</w:t>
            </w:r>
          </w:p>
        </w:tc>
        <w:tc>
          <w:tcPr>
            <w:tcW w:w="863" w:type="pct"/>
            <w:vAlign w:val="bottom"/>
          </w:tcPr>
          <w:p w14:paraId="2D2F33A9" w14:textId="09F0EE8B" w:rsidR="00AA6D68" w:rsidRPr="00781112" w:rsidRDefault="00AA6D68" w:rsidP="00AA6D68">
            <w:pPr>
              <w:jc w:val="center"/>
              <w:rPr>
                <w:rFonts w:cs="Arial"/>
                <w:color w:val="000000" w:themeColor="text1"/>
                <w:szCs w:val="16"/>
              </w:rPr>
            </w:pPr>
            <w:r w:rsidRPr="00781112">
              <w:rPr>
                <w:rFonts w:cs="Arial"/>
                <w:color w:val="000000" w:themeColor="text1"/>
                <w:szCs w:val="16"/>
              </w:rPr>
              <w:t>880</w:t>
            </w:r>
          </w:p>
        </w:tc>
        <w:tc>
          <w:tcPr>
            <w:tcW w:w="863" w:type="pct"/>
            <w:shd w:val="clear" w:color="auto" w:fill="auto"/>
            <w:vAlign w:val="bottom"/>
          </w:tcPr>
          <w:p w14:paraId="68B37A39" w14:textId="60285701" w:rsidR="00AA6D68" w:rsidRPr="00781112" w:rsidRDefault="00AA6D68" w:rsidP="00AA6D68">
            <w:pPr>
              <w:jc w:val="center"/>
              <w:rPr>
                <w:rFonts w:cs="Arial"/>
                <w:color w:val="000000" w:themeColor="text1"/>
                <w:szCs w:val="16"/>
              </w:rPr>
            </w:pPr>
            <w:r w:rsidRPr="00781112">
              <w:rPr>
                <w:rFonts w:cs="Arial"/>
                <w:color w:val="000000" w:themeColor="text1"/>
                <w:szCs w:val="16"/>
              </w:rPr>
              <w:t>130</w:t>
            </w:r>
          </w:p>
        </w:tc>
        <w:tc>
          <w:tcPr>
            <w:tcW w:w="860" w:type="pct"/>
            <w:vAlign w:val="bottom"/>
          </w:tcPr>
          <w:p w14:paraId="1B31D3BF" w14:textId="343E52C8" w:rsidR="00AA6D68" w:rsidRPr="00781112" w:rsidRDefault="00AA6D68" w:rsidP="00AA6D68">
            <w:pPr>
              <w:jc w:val="center"/>
              <w:rPr>
                <w:rFonts w:cs="Arial"/>
                <w:color w:val="000000" w:themeColor="text1"/>
                <w:szCs w:val="16"/>
              </w:rPr>
            </w:pPr>
            <w:r w:rsidRPr="00781112">
              <w:rPr>
                <w:rFonts w:cs="Arial"/>
                <w:color w:val="000000" w:themeColor="text1"/>
                <w:szCs w:val="16"/>
              </w:rPr>
              <w:t>1,547</w:t>
            </w:r>
          </w:p>
        </w:tc>
      </w:tr>
      <w:tr w:rsidR="00AA6D68" w:rsidRPr="00781112" w14:paraId="582B62E7" w14:textId="4FE061F8" w:rsidTr="00360DD6">
        <w:trPr>
          <w:cantSplit/>
        </w:trPr>
        <w:tc>
          <w:tcPr>
            <w:tcW w:w="1551" w:type="pct"/>
            <w:shd w:val="clear" w:color="auto" w:fill="auto"/>
            <w:vAlign w:val="bottom"/>
          </w:tcPr>
          <w:p w14:paraId="446012AB" w14:textId="507DD720" w:rsidR="00AA6D68" w:rsidRPr="00781112" w:rsidRDefault="00AA6D68" w:rsidP="00AA6D68">
            <w:pPr>
              <w:rPr>
                <w:rFonts w:cs="Arial"/>
                <w:color w:val="000000" w:themeColor="text1"/>
                <w:szCs w:val="16"/>
              </w:rPr>
            </w:pPr>
            <w:r w:rsidRPr="00781112">
              <w:rPr>
                <w:rFonts w:cs="Arial"/>
                <w:color w:val="000000" w:themeColor="text1"/>
                <w:szCs w:val="16"/>
              </w:rPr>
              <w:t>b1. Number of children attending separate special education class</w:t>
            </w:r>
          </w:p>
        </w:tc>
        <w:tc>
          <w:tcPr>
            <w:tcW w:w="863" w:type="pct"/>
            <w:vAlign w:val="bottom"/>
          </w:tcPr>
          <w:p w14:paraId="5B37B0B3" w14:textId="176B3EE5" w:rsidR="00AA6D68" w:rsidRPr="00781112" w:rsidRDefault="00AA6D68" w:rsidP="00AA6D68">
            <w:pPr>
              <w:jc w:val="center"/>
              <w:rPr>
                <w:rFonts w:cs="Arial"/>
                <w:color w:val="000000" w:themeColor="text1"/>
                <w:szCs w:val="16"/>
              </w:rPr>
            </w:pPr>
            <w:r w:rsidRPr="00781112">
              <w:rPr>
                <w:rFonts w:cs="Arial"/>
                <w:color w:val="000000" w:themeColor="text1"/>
                <w:szCs w:val="16"/>
              </w:rPr>
              <w:t>544</w:t>
            </w:r>
          </w:p>
        </w:tc>
        <w:tc>
          <w:tcPr>
            <w:tcW w:w="863" w:type="pct"/>
            <w:vAlign w:val="bottom"/>
          </w:tcPr>
          <w:p w14:paraId="649C86D1" w14:textId="317BBD6C" w:rsidR="00AA6D68" w:rsidRPr="00781112" w:rsidRDefault="00AA6D68" w:rsidP="00AA6D68">
            <w:pPr>
              <w:jc w:val="center"/>
              <w:rPr>
                <w:rFonts w:cs="Arial"/>
                <w:color w:val="000000" w:themeColor="text1"/>
                <w:szCs w:val="16"/>
              </w:rPr>
            </w:pPr>
            <w:r w:rsidRPr="00781112">
              <w:rPr>
                <w:rFonts w:cs="Arial"/>
                <w:color w:val="000000" w:themeColor="text1"/>
                <w:szCs w:val="16"/>
              </w:rPr>
              <w:t>423</w:t>
            </w:r>
          </w:p>
        </w:tc>
        <w:tc>
          <w:tcPr>
            <w:tcW w:w="863" w:type="pct"/>
            <w:shd w:val="clear" w:color="auto" w:fill="auto"/>
            <w:vAlign w:val="bottom"/>
          </w:tcPr>
          <w:p w14:paraId="34B911BF" w14:textId="069E997C" w:rsidR="00AA6D68" w:rsidRPr="00781112" w:rsidRDefault="00AA6D68" w:rsidP="00AA6D68">
            <w:pPr>
              <w:jc w:val="center"/>
              <w:rPr>
                <w:rFonts w:cs="Arial"/>
                <w:color w:val="000000" w:themeColor="text1"/>
                <w:szCs w:val="16"/>
              </w:rPr>
            </w:pPr>
            <w:r w:rsidRPr="00781112">
              <w:rPr>
                <w:rFonts w:cs="Arial"/>
                <w:color w:val="000000" w:themeColor="text1"/>
                <w:szCs w:val="16"/>
              </w:rPr>
              <w:t>46</w:t>
            </w:r>
          </w:p>
        </w:tc>
        <w:tc>
          <w:tcPr>
            <w:tcW w:w="860" w:type="pct"/>
            <w:vAlign w:val="bottom"/>
          </w:tcPr>
          <w:p w14:paraId="6E1B5396" w14:textId="55FA87AA" w:rsidR="00AA6D68" w:rsidRPr="00781112" w:rsidRDefault="00AA6D68" w:rsidP="00AA6D68">
            <w:pPr>
              <w:jc w:val="center"/>
              <w:rPr>
                <w:rFonts w:cs="Arial"/>
                <w:color w:val="000000" w:themeColor="text1"/>
                <w:szCs w:val="16"/>
              </w:rPr>
            </w:pPr>
            <w:r w:rsidRPr="00781112">
              <w:rPr>
                <w:rFonts w:cs="Arial"/>
                <w:color w:val="000000" w:themeColor="text1"/>
                <w:szCs w:val="16"/>
              </w:rPr>
              <w:t>1,013</w:t>
            </w:r>
          </w:p>
        </w:tc>
      </w:tr>
      <w:tr w:rsidR="00AA6D68" w:rsidRPr="00781112" w14:paraId="5F08FCEF" w14:textId="35AA1AA1" w:rsidTr="00360DD6">
        <w:trPr>
          <w:cantSplit/>
        </w:trPr>
        <w:tc>
          <w:tcPr>
            <w:tcW w:w="1551" w:type="pct"/>
            <w:shd w:val="clear" w:color="auto" w:fill="auto"/>
            <w:vAlign w:val="bottom"/>
          </w:tcPr>
          <w:p w14:paraId="3C415E88" w14:textId="06B2C03E" w:rsidR="00AA6D68" w:rsidRPr="00781112" w:rsidRDefault="00AA6D68" w:rsidP="00AA6D68">
            <w:pPr>
              <w:rPr>
                <w:rFonts w:cs="Arial"/>
                <w:color w:val="000000" w:themeColor="text1"/>
                <w:szCs w:val="16"/>
              </w:rPr>
            </w:pPr>
            <w:r w:rsidRPr="00781112">
              <w:rPr>
                <w:rFonts w:cs="Arial"/>
                <w:color w:val="000000" w:themeColor="text1"/>
                <w:szCs w:val="16"/>
              </w:rPr>
              <w:lastRenderedPageBreak/>
              <w:t>b2. Number of children attending separate school</w:t>
            </w:r>
          </w:p>
        </w:tc>
        <w:tc>
          <w:tcPr>
            <w:tcW w:w="863" w:type="pct"/>
            <w:vAlign w:val="bottom"/>
          </w:tcPr>
          <w:p w14:paraId="0B0C493F" w14:textId="085891A4" w:rsidR="00AA6D68" w:rsidRPr="00781112" w:rsidRDefault="00AA6D68" w:rsidP="00AA6D68">
            <w:pPr>
              <w:jc w:val="center"/>
              <w:rPr>
                <w:rFonts w:cs="Arial"/>
                <w:color w:val="000000" w:themeColor="text1"/>
                <w:szCs w:val="16"/>
              </w:rPr>
            </w:pPr>
            <w:r w:rsidRPr="00781112">
              <w:rPr>
                <w:rFonts w:cs="Arial"/>
                <w:color w:val="000000" w:themeColor="text1"/>
                <w:szCs w:val="16"/>
              </w:rPr>
              <w:t>25</w:t>
            </w:r>
          </w:p>
        </w:tc>
        <w:tc>
          <w:tcPr>
            <w:tcW w:w="863" w:type="pct"/>
            <w:vAlign w:val="bottom"/>
          </w:tcPr>
          <w:p w14:paraId="7F83F331" w14:textId="1A8FD76D" w:rsidR="00AA6D68" w:rsidRPr="00781112" w:rsidRDefault="00AA6D68" w:rsidP="00AA6D68">
            <w:pPr>
              <w:jc w:val="center"/>
              <w:rPr>
                <w:rFonts w:cs="Arial"/>
                <w:color w:val="000000" w:themeColor="text1"/>
                <w:szCs w:val="16"/>
              </w:rPr>
            </w:pPr>
            <w:r w:rsidRPr="00781112">
              <w:rPr>
                <w:rFonts w:cs="Arial"/>
                <w:color w:val="000000" w:themeColor="text1"/>
                <w:szCs w:val="16"/>
              </w:rPr>
              <w:t>37</w:t>
            </w:r>
          </w:p>
        </w:tc>
        <w:tc>
          <w:tcPr>
            <w:tcW w:w="863" w:type="pct"/>
            <w:shd w:val="clear" w:color="auto" w:fill="auto"/>
            <w:vAlign w:val="bottom"/>
          </w:tcPr>
          <w:p w14:paraId="32D467B1" w14:textId="0D72CE8A" w:rsidR="00AA6D68" w:rsidRPr="00781112" w:rsidRDefault="00AA6D68" w:rsidP="00AA6D68">
            <w:pPr>
              <w:jc w:val="center"/>
              <w:rPr>
                <w:rFonts w:cs="Arial"/>
                <w:color w:val="000000" w:themeColor="text1"/>
                <w:szCs w:val="16"/>
              </w:rPr>
            </w:pPr>
            <w:r w:rsidRPr="00781112">
              <w:rPr>
                <w:rFonts w:cs="Arial"/>
                <w:color w:val="000000" w:themeColor="text1"/>
                <w:szCs w:val="16"/>
              </w:rPr>
              <w:t>4</w:t>
            </w:r>
          </w:p>
        </w:tc>
        <w:tc>
          <w:tcPr>
            <w:tcW w:w="860" w:type="pct"/>
            <w:vAlign w:val="bottom"/>
          </w:tcPr>
          <w:p w14:paraId="59CC5F97" w14:textId="073369C4" w:rsidR="00AA6D68" w:rsidRPr="00781112" w:rsidRDefault="00AA6D68" w:rsidP="00AA6D68">
            <w:pPr>
              <w:jc w:val="center"/>
              <w:rPr>
                <w:rFonts w:cs="Arial"/>
                <w:color w:val="000000" w:themeColor="text1"/>
                <w:szCs w:val="16"/>
              </w:rPr>
            </w:pPr>
            <w:r w:rsidRPr="00781112">
              <w:rPr>
                <w:rFonts w:cs="Arial"/>
                <w:color w:val="000000" w:themeColor="text1"/>
                <w:szCs w:val="16"/>
              </w:rPr>
              <w:t>66</w:t>
            </w:r>
          </w:p>
        </w:tc>
      </w:tr>
      <w:tr w:rsidR="00AA6D68" w:rsidRPr="00781112" w14:paraId="285801C1" w14:textId="545BB6C5" w:rsidTr="00360DD6">
        <w:trPr>
          <w:cantSplit/>
        </w:trPr>
        <w:tc>
          <w:tcPr>
            <w:tcW w:w="1551" w:type="pct"/>
            <w:shd w:val="clear" w:color="auto" w:fill="auto"/>
            <w:vAlign w:val="bottom"/>
          </w:tcPr>
          <w:p w14:paraId="4D90BA5B" w14:textId="1285C74B" w:rsidR="00AA6D68" w:rsidRPr="00781112" w:rsidRDefault="00AA6D68" w:rsidP="00AA6D68">
            <w:pPr>
              <w:rPr>
                <w:rFonts w:cs="Arial"/>
                <w:color w:val="000000" w:themeColor="text1"/>
                <w:szCs w:val="16"/>
              </w:rPr>
            </w:pPr>
            <w:r w:rsidRPr="00781112">
              <w:rPr>
                <w:rFonts w:cs="Arial"/>
                <w:color w:val="000000" w:themeColor="text1"/>
                <w:szCs w:val="16"/>
              </w:rPr>
              <w:t>b3. Number of children attending residential facility</w:t>
            </w:r>
          </w:p>
        </w:tc>
        <w:tc>
          <w:tcPr>
            <w:tcW w:w="863" w:type="pct"/>
            <w:vAlign w:val="bottom"/>
          </w:tcPr>
          <w:p w14:paraId="10FA71B8" w14:textId="48D7E7C4" w:rsidR="00AA6D68" w:rsidRPr="00781112" w:rsidRDefault="00AA6D68" w:rsidP="00AA6D68">
            <w:pPr>
              <w:jc w:val="center"/>
              <w:rPr>
                <w:rFonts w:cs="Arial"/>
                <w:color w:val="000000" w:themeColor="text1"/>
                <w:szCs w:val="16"/>
              </w:rPr>
            </w:pPr>
            <w:r w:rsidRPr="00781112">
              <w:rPr>
                <w:rFonts w:cs="Arial"/>
                <w:color w:val="000000" w:themeColor="text1"/>
                <w:szCs w:val="16"/>
              </w:rPr>
              <w:t>0</w:t>
            </w:r>
          </w:p>
        </w:tc>
        <w:tc>
          <w:tcPr>
            <w:tcW w:w="863" w:type="pct"/>
            <w:vAlign w:val="bottom"/>
          </w:tcPr>
          <w:p w14:paraId="3DF044A6" w14:textId="3BE72431" w:rsidR="00AA6D68" w:rsidRPr="00781112" w:rsidRDefault="00AA6D68" w:rsidP="00AA6D68">
            <w:pPr>
              <w:jc w:val="center"/>
              <w:rPr>
                <w:rFonts w:cs="Arial"/>
                <w:color w:val="000000" w:themeColor="text1"/>
                <w:szCs w:val="16"/>
              </w:rPr>
            </w:pPr>
            <w:r w:rsidRPr="00781112">
              <w:rPr>
                <w:rFonts w:cs="Arial"/>
                <w:color w:val="000000" w:themeColor="text1"/>
                <w:szCs w:val="16"/>
              </w:rPr>
              <w:t>0</w:t>
            </w:r>
          </w:p>
        </w:tc>
        <w:tc>
          <w:tcPr>
            <w:tcW w:w="863" w:type="pct"/>
            <w:shd w:val="clear" w:color="auto" w:fill="auto"/>
            <w:vAlign w:val="bottom"/>
          </w:tcPr>
          <w:p w14:paraId="444A24A0" w14:textId="086A4938" w:rsidR="00AA6D68" w:rsidRPr="00781112" w:rsidRDefault="00AA6D68" w:rsidP="00AA6D68">
            <w:pPr>
              <w:jc w:val="center"/>
              <w:rPr>
                <w:rFonts w:cs="Arial"/>
                <w:color w:val="000000" w:themeColor="text1"/>
                <w:szCs w:val="16"/>
              </w:rPr>
            </w:pPr>
            <w:r w:rsidRPr="00781112">
              <w:rPr>
                <w:rFonts w:cs="Arial"/>
                <w:color w:val="000000" w:themeColor="text1"/>
                <w:szCs w:val="16"/>
              </w:rPr>
              <w:t>0</w:t>
            </w:r>
          </w:p>
        </w:tc>
        <w:tc>
          <w:tcPr>
            <w:tcW w:w="860" w:type="pct"/>
            <w:vAlign w:val="bottom"/>
          </w:tcPr>
          <w:p w14:paraId="5D7F86B2" w14:textId="5A6D31FC" w:rsidR="00AA6D68" w:rsidRPr="00781112" w:rsidRDefault="00AA6D68" w:rsidP="00AA6D68">
            <w:pPr>
              <w:jc w:val="center"/>
              <w:rPr>
                <w:rFonts w:cs="Arial"/>
                <w:color w:val="000000" w:themeColor="text1"/>
                <w:szCs w:val="16"/>
              </w:rPr>
            </w:pPr>
            <w:r w:rsidRPr="00781112">
              <w:rPr>
                <w:rFonts w:cs="Arial"/>
                <w:color w:val="000000" w:themeColor="text1"/>
                <w:szCs w:val="16"/>
              </w:rPr>
              <w:t>0</w:t>
            </w:r>
          </w:p>
        </w:tc>
      </w:tr>
      <w:tr w:rsidR="00AA6D68" w:rsidRPr="00781112" w14:paraId="162FD575" w14:textId="77777777" w:rsidTr="00360DD6">
        <w:trPr>
          <w:cantSplit/>
        </w:trPr>
        <w:tc>
          <w:tcPr>
            <w:tcW w:w="1551" w:type="pct"/>
            <w:shd w:val="clear" w:color="auto" w:fill="auto"/>
          </w:tcPr>
          <w:p w14:paraId="469B81A7" w14:textId="048681D7" w:rsidR="00AA6D68" w:rsidRPr="00781112" w:rsidRDefault="00AA6D68" w:rsidP="00AA6D68">
            <w:pPr>
              <w:rPr>
                <w:rFonts w:cs="Arial"/>
                <w:color w:val="000000" w:themeColor="text1"/>
                <w:szCs w:val="16"/>
              </w:rPr>
            </w:pPr>
            <w:r w:rsidRPr="00781112">
              <w:rPr>
                <w:rFonts w:cs="Arial"/>
                <w:color w:val="000000"/>
                <w:szCs w:val="16"/>
              </w:rPr>
              <w:t>c1</w:t>
            </w:r>
            <w:r w:rsidRPr="00781112">
              <w:rPr>
                <w:rFonts w:cs="Arial"/>
                <w:b/>
                <w:bCs/>
                <w:color w:val="000000"/>
                <w:szCs w:val="16"/>
              </w:rPr>
              <w:t xml:space="preserve">. </w:t>
            </w:r>
            <w:r w:rsidRPr="00781112">
              <w:rPr>
                <w:rFonts w:cs="Arial"/>
                <w:color w:val="000000"/>
                <w:szCs w:val="16"/>
              </w:rPr>
              <w:t>Number</w:t>
            </w:r>
            <w:r w:rsidRPr="00781112">
              <w:rPr>
                <w:rFonts w:cs="Arial"/>
                <w:b/>
                <w:bCs/>
                <w:color w:val="000000"/>
                <w:szCs w:val="16"/>
              </w:rPr>
              <w:t xml:space="preserve"> </w:t>
            </w:r>
            <w:r w:rsidRPr="00781112">
              <w:rPr>
                <w:rFonts w:cs="Arial"/>
                <w:color w:val="000000"/>
                <w:szCs w:val="16"/>
              </w:rPr>
              <w:t xml:space="preserve">of children receiving </w:t>
            </w:r>
            <w:r w:rsidRPr="00781112">
              <w:rPr>
                <w:rFonts w:cs="Arial"/>
                <w:szCs w:val="16"/>
              </w:rPr>
              <w:t>special education and related services in the home</w:t>
            </w:r>
          </w:p>
        </w:tc>
        <w:tc>
          <w:tcPr>
            <w:tcW w:w="863" w:type="pct"/>
            <w:vAlign w:val="bottom"/>
          </w:tcPr>
          <w:p w14:paraId="56C9B5B7" w14:textId="065E27FB" w:rsidR="00AA6D68" w:rsidRPr="00781112" w:rsidRDefault="00AA6D68" w:rsidP="00AA6D68">
            <w:pPr>
              <w:jc w:val="center"/>
              <w:rPr>
                <w:rFonts w:cs="Arial"/>
                <w:color w:val="000000" w:themeColor="text1"/>
                <w:szCs w:val="16"/>
              </w:rPr>
            </w:pPr>
            <w:r w:rsidRPr="00781112">
              <w:rPr>
                <w:rFonts w:cs="Arial"/>
                <w:color w:val="000000" w:themeColor="text1"/>
                <w:szCs w:val="16"/>
              </w:rPr>
              <w:t>5</w:t>
            </w:r>
          </w:p>
        </w:tc>
        <w:tc>
          <w:tcPr>
            <w:tcW w:w="863" w:type="pct"/>
            <w:vAlign w:val="bottom"/>
          </w:tcPr>
          <w:p w14:paraId="134D035A" w14:textId="14186034" w:rsidR="00AA6D68" w:rsidRPr="00781112" w:rsidRDefault="00AA6D68" w:rsidP="00AA6D68">
            <w:pPr>
              <w:jc w:val="center"/>
              <w:rPr>
                <w:rFonts w:cs="Arial"/>
                <w:color w:val="000000" w:themeColor="text1"/>
                <w:szCs w:val="16"/>
              </w:rPr>
            </w:pPr>
            <w:r w:rsidRPr="00781112">
              <w:rPr>
                <w:rFonts w:cs="Arial"/>
                <w:color w:val="000000" w:themeColor="text1"/>
                <w:szCs w:val="16"/>
              </w:rPr>
              <w:t>4</w:t>
            </w:r>
          </w:p>
        </w:tc>
        <w:tc>
          <w:tcPr>
            <w:tcW w:w="863" w:type="pct"/>
            <w:shd w:val="clear" w:color="auto" w:fill="auto"/>
            <w:vAlign w:val="bottom"/>
          </w:tcPr>
          <w:p w14:paraId="0C864D52" w14:textId="38992EC2" w:rsidR="00AA6D68" w:rsidRPr="00781112" w:rsidDel="00E25159" w:rsidRDefault="00AA6D68" w:rsidP="00AA6D68">
            <w:pPr>
              <w:jc w:val="center"/>
              <w:rPr>
                <w:rFonts w:cs="Arial"/>
                <w:color w:val="000000" w:themeColor="text1"/>
                <w:szCs w:val="16"/>
              </w:rPr>
            </w:pPr>
            <w:r w:rsidRPr="00781112">
              <w:rPr>
                <w:rFonts w:cs="Arial"/>
                <w:color w:val="000000" w:themeColor="text1"/>
                <w:szCs w:val="16"/>
              </w:rPr>
              <w:t>1</w:t>
            </w:r>
          </w:p>
        </w:tc>
        <w:tc>
          <w:tcPr>
            <w:tcW w:w="860" w:type="pct"/>
            <w:vAlign w:val="bottom"/>
          </w:tcPr>
          <w:p w14:paraId="1750EA0E" w14:textId="2B34BC50" w:rsidR="00AA6D68" w:rsidRPr="00781112" w:rsidRDefault="00AA6D68" w:rsidP="00AA6D68">
            <w:pPr>
              <w:jc w:val="center"/>
              <w:rPr>
                <w:rFonts w:cs="Arial"/>
                <w:color w:val="000000" w:themeColor="text1"/>
                <w:szCs w:val="16"/>
              </w:rPr>
            </w:pPr>
            <w:r w:rsidRPr="00781112">
              <w:rPr>
                <w:rFonts w:cs="Arial"/>
                <w:color w:val="000000" w:themeColor="text1"/>
                <w:szCs w:val="16"/>
              </w:rPr>
              <w:t>10</w:t>
            </w:r>
          </w:p>
        </w:tc>
      </w:tr>
    </w:tbl>
    <w:p w14:paraId="68A2C8C5" w14:textId="4EBE62FD" w:rsidR="00AB2A39" w:rsidRPr="00781112" w:rsidRDefault="00AB2A39" w:rsidP="004369B2">
      <w:pPr>
        <w:rPr>
          <w:color w:val="000000" w:themeColor="text1"/>
        </w:rPr>
      </w:pPr>
    </w:p>
    <w:p w14:paraId="051F4366" w14:textId="77777777" w:rsidR="00C910BC" w:rsidRPr="00781112" w:rsidRDefault="00C910BC" w:rsidP="00C910BC">
      <w:pPr>
        <w:rPr>
          <w:b/>
          <w:color w:val="000000" w:themeColor="text1"/>
        </w:rPr>
      </w:pPr>
      <w:r w:rsidRPr="00781112">
        <w:rPr>
          <w:b/>
          <w:color w:val="000000" w:themeColor="text1"/>
        </w:rPr>
        <w:t>Select yes if the data reported in this indicator are not the same as the State’s data reported under section 618 of the IDEA.</w:t>
      </w:r>
    </w:p>
    <w:p w14:paraId="1B696537" w14:textId="29C6B4ED" w:rsidR="00C910BC" w:rsidRPr="00781112" w:rsidRDefault="00C910BC" w:rsidP="00C910BC">
      <w:pPr>
        <w:rPr>
          <w:color w:val="000000" w:themeColor="text1"/>
        </w:rPr>
      </w:pPr>
      <w:r w:rsidRPr="00781112">
        <w:rPr>
          <w:color w:val="000000" w:themeColor="text1"/>
        </w:rPr>
        <w:t>NO</w:t>
      </w:r>
    </w:p>
    <w:p w14:paraId="42C69847" w14:textId="2CAC8037" w:rsidR="002D5ED8" w:rsidRDefault="002D5ED8" w:rsidP="00D16730">
      <w:pPr>
        <w:rPr>
          <w:b/>
          <w:color w:val="000000" w:themeColor="text1"/>
        </w:rPr>
      </w:pPr>
    </w:p>
    <w:p w14:paraId="6C024B4D" w14:textId="77777777" w:rsidR="00D16730" w:rsidRPr="00781112" w:rsidRDefault="00D16730" w:rsidP="007D100A">
      <w:pPr>
        <w:rPr>
          <w:rFonts w:cs="Arial"/>
          <w:color w:val="000000" w:themeColor="text1"/>
          <w:szCs w:val="16"/>
        </w:rPr>
      </w:pPr>
    </w:p>
    <w:p w14:paraId="318E60C6" w14:textId="77777777" w:rsidR="007D100A" w:rsidRPr="00781112" w:rsidRDefault="007D100A" w:rsidP="004369B2">
      <w:pPr>
        <w:rPr>
          <w:b/>
          <w:color w:val="000000" w:themeColor="text1"/>
        </w:rPr>
      </w:pPr>
    </w:p>
    <w:p w14:paraId="0F42B2F6" w14:textId="3F5D228A" w:rsidR="00E60622" w:rsidRPr="00781112" w:rsidRDefault="0047313F" w:rsidP="004369B2">
      <w:pPr>
        <w:rPr>
          <w:b/>
          <w:bCs/>
          <w:color w:val="000000" w:themeColor="text1"/>
        </w:rPr>
      </w:pPr>
      <w:r>
        <w:rPr>
          <w:b/>
          <w:bCs/>
          <w:color w:val="000000" w:themeColor="text1"/>
        </w:rPr>
        <w:t xml:space="preserve">FFY 2022 SPP/APR Data - </w:t>
      </w:r>
      <w:r w:rsidR="00A6295C" w:rsidRPr="00781112">
        <w:rPr>
          <w:rFonts w:cs="Arial"/>
          <w:b/>
          <w:color w:val="000000" w:themeColor="text1"/>
          <w:szCs w:val="16"/>
        </w:rPr>
        <w:t>Aged 3 through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6AGE3TO5CFFYAPRDATA618"/>
      </w:tblPr>
      <w:tblGrid>
        <w:gridCol w:w="2964"/>
        <w:gridCol w:w="1118"/>
        <w:gridCol w:w="1118"/>
        <w:gridCol w:w="1118"/>
        <w:gridCol w:w="1118"/>
        <w:gridCol w:w="1118"/>
        <w:gridCol w:w="1118"/>
        <w:gridCol w:w="1118"/>
      </w:tblGrid>
      <w:tr w:rsidR="00CC1061" w:rsidRPr="00781112" w14:paraId="38300B51" w14:textId="77777777" w:rsidTr="007239EC">
        <w:trPr>
          <w:trHeight w:val="354"/>
          <w:tblHeader/>
        </w:trPr>
        <w:tc>
          <w:tcPr>
            <w:tcW w:w="1373" w:type="pct"/>
            <w:shd w:val="clear" w:color="auto" w:fill="auto"/>
            <w:vAlign w:val="bottom"/>
          </w:tcPr>
          <w:p w14:paraId="0F38A3C5" w14:textId="3D46820E" w:rsidR="00CC1061" w:rsidRPr="00781112" w:rsidRDefault="00CC1061" w:rsidP="00CC1061">
            <w:pPr>
              <w:jc w:val="center"/>
              <w:rPr>
                <w:rFonts w:cs="Arial"/>
                <w:b/>
                <w:color w:val="000000" w:themeColor="text1"/>
                <w:szCs w:val="16"/>
              </w:rPr>
            </w:pPr>
            <w:r w:rsidRPr="00781112">
              <w:rPr>
                <w:rFonts w:cs="Arial"/>
                <w:b/>
                <w:color w:val="000000" w:themeColor="text1"/>
                <w:szCs w:val="16"/>
              </w:rPr>
              <w:t>Preschool Environments</w:t>
            </w:r>
          </w:p>
        </w:tc>
        <w:tc>
          <w:tcPr>
            <w:tcW w:w="518" w:type="pct"/>
            <w:shd w:val="clear" w:color="auto" w:fill="auto"/>
            <w:vAlign w:val="bottom"/>
          </w:tcPr>
          <w:p w14:paraId="0AEF809B" w14:textId="4D8F18F7" w:rsidR="00CC1061" w:rsidRPr="00781112" w:rsidRDefault="00CC1061" w:rsidP="00CC1061">
            <w:pPr>
              <w:jc w:val="center"/>
              <w:rPr>
                <w:rFonts w:cs="Arial"/>
                <w:b/>
                <w:color w:val="000000" w:themeColor="text1"/>
                <w:szCs w:val="16"/>
              </w:rPr>
            </w:pPr>
            <w:r w:rsidRPr="00781112">
              <w:rPr>
                <w:rFonts w:cs="Arial"/>
                <w:b/>
                <w:color w:val="000000" w:themeColor="text1"/>
                <w:szCs w:val="16"/>
              </w:rPr>
              <w:t>Number of children with IEPs aged 3 through 5 served</w:t>
            </w:r>
          </w:p>
        </w:tc>
        <w:tc>
          <w:tcPr>
            <w:tcW w:w="518" w:type="pct"/>
            <w:shd w:val="clear" w:color="auto" w:fill="auto"/>
            <w:vAlign w:val="bottom"/>
          </w:tcPr>
          <w:p w14:paraId="21256B17" w14:textId="12840CBA" w:rsidR="00CC1061" w:rsidRPr="00781112" w:rsidRDefault="00CC1061" w:rsidP="00CC1061">
            <w:pPr>
              <w:jc w:val="center"/>
              <w:rPr>
                <w:rFonts w:cs="Arial"/>
                <w:b/>
                <w:color w:val="000000" w:themeColor="text1"/>
                <w:szCs w:val="16"/>
              </w:rPr>
            </w:pPr>
            <w:r w:rsidRPr="00781112">
              <w:rPr>
                <w:rFonts w:cs="Arial"/>
                <w:b/>
                <w:color w:val="000000" w:themeColor="text1"/>
                <w:szCs w:val="16"/>
              </w:rPr>
              <w:t>Total number of children with IEPs aged 3 through 5</w:t>
            </w:r>
          </w:p>
        </w:tc>
        <w:tc>
          <w:tcPr>
            <w:tcW w:w="518" w:type="pct"/>
            <w:shd w:val="clear" w:color="auto" w:fill="auto"/>
            <w:vAlign w:val="bottom"/>
          </w:tcPr>
          <w:p w14:paraId="338A0E59" w14:textId="7302E797" w:rsidR="00CC1061" w:rsidRPr="00781112" w:rsidRDefault="00CC1061" w:rsidP="00CC1061">
            <w:pPr>
              <w:jc w:val="center"/>
              <w:rPr>
                <w:rFonts w:cs="Arial"/>
                <w:b/>
                <w:color w:val="000000" w:themeColor="text1"/>
                <w:szCs w:val="16"/>
              </w:rPr>
            </w:pPr>
            <w:r w:rsidRPr="00073BD7">
              <w:rPr>
                <w:b/>
                <w:bCs/>
              </w:rPr>
              <w:t>FFY 2021 Data</w:t>
            </w:r>
          </w:p>
        </w:tc>
        <w:tc>
          <w:tcPr>
            <w:tcW w:w="518" w:type="pct"/>
            <w:shd w:val="clear" w:color="auto" w:fill="auto"/>
            <w:vAlign w:val="bottom"/>
          </w:tcPr>
          <w:p w14:paraId="525540A0" w14:textId="517B756E" w:rsidR="00CC1061" w:rsidRPr="00781112" w:rsidRDefault="00CC1061" w:rsidP="00CC1061">
            <w:pPr>
              <w:jc w:val="center"/>
              <w:rPr>
                <w:rFonts w:cs="Arial"/>
                <w:b/>
                <w:color w:val="000000" w:themeColor="text1"/>
                <w:szCs w:val="16"/>
              </w:rPr>
            </w:pPr>
            <w:r w:rsidRPr="00073BD7">
              <w:rPr>
                <w:b/>
                <w:bCs/>
              </w:rPr>
              <w:t>FFY 2022 Target</w:t>
            </w:r>
          </w:p>
        </w:tc>
        <w:tc>
          <w:tcPr>
            <w:tcW w:w="518" w:type="pct"/>
            <w:shd w:val="clear" w:color="auto" w:fill="auto"/>
            <w:vAlign w:val="bottom"/>
          </w:tcPr>
          <w:p w14:paraId="2B9D213A" w14:textId="0854D442" w:rsidR="00CC1061" w:rsidRPr="00781112" w:rsidRDefault="00CC1061" w:rsidP="00CC1061">
            <w:pPr>
              <w:jc w:val="center"/>
              <w:rPr>
                <w:rFonts w:cs="Arial"/>
                <w:b/>
                <w:color w:val="000000" w:themeColor="text1"/>
                <w:szCs w:val="16"/>
              </w:rPr>
            </w:pPr>
            <w:r w:rsidRPr="00073BD7">
              <w:rPr>
                <w:b/>
                <w:bCs/>
              </w:rPr>
              <w:t>FFY 2022 Data</w:t>
            </w:r>
          </w:p>
        </w:tc>
        <w:tc>
          <w:tcPr>
            <w:tcW w:w="518" w:type="pct"/>
            <w:shd w:val="clear" w:color="auto" w:fill="auto"/>
            <w:vAlign w:val="bottom"/>
          </w:tcPr>
          <w:p w14:paraId="46108583" w14:textId="77777777" w:rsidR="00CC1061" w:rsidRPr="00781112" w:rsidRDefault="00CC1061" w:rsidP="00CC1061">
            <w:pPr>
              <w:jc w:val="center"/>
              <w:rPr>
                <w:rFonts w:cs="Arial"/>
                <w:b/>
                <w:color w:val="000000" w:themeColor="text1"/>
                <w:szCs w:val="16"/>
              </w:rPr>
            </w:pPr>
            <w:r w:rsidRPr="00781112">
              <w:rPr>
                <w:rFonts w:cs="Arial"/>
                <w:b/>
                <w:color w:val="000000" w:themeColor="text1"/>
                <w:szCs w:val="16"/>
              </w:rPr>
              <w:t>Status</w:t>
            </w:r>
          </w:p>
        </w:tc>
        <w:tc>
          <w:tcPr>
            <w:tcW w:w="518" w:type="pct"/>
            <w:shd w:val="clear" w:color="auto" w:fill="auto"/>
            <w:vAlign w:val="bottom"/>
          </w:tcPr>
          <w:p w14:paraId="02DECB75" w14:textId="77777777" w:rsidR="00CC1061" w:rsidRPr="00781112" w:rsidRDefault="00CC1061" w:rsidP="00CC1061">
            <w:pPr>
              <w:jc w:val="center"/>
              <w:rPr>
                <w:rFonts w:cs="Arial"/>
                <w:b/>
                <w:color w:val="000000" w:themeColor="text1"/>
                <w:szCs w:val="16"/>
              </w:rPr>
            </w:pPr>
            <w:r w:rsidRPr="00781112">
              <w:rPr>
                <w:rFonts w:cs="Arial"/>
                <w:b/>
                <w:color w:val="000000" w:themeColor="text1"/>
                <w:szCs w:val="16"/>
              </w:rPr>
              <w:t>Slippage</w:t>
            </w:r>
          </w:p>
        </w:tc>
      </w:tr>
      <w:tr w:rsidR="005C29F8" w:rsidRPr="00781112" w14:paraId="57F8AB2C" w14:textId="77777777" w:rsidTr="007239EC">
        <w:trPr>
          <w:trHeight w:val="917"/>
        </w:trPr>
        <w:tc>
          <w:tcPr>
            <w:tcW w:w="1373" w:type="pct"/>
            <w:shd w:val="clear" w:color="auto" w:fill="auto"/>
            <w:vAlign w:val="center"/>
          </w:tcPr>
          <w:p w14:paraId="262EE4AB" w14:textId="15267873" w:rsidR="00CF6742" w:rsidRPr="00781112" w:rsidRDefault="00CF6742" w:rsidP="00CF6742">
            <w:pPr>
              <w:rPr>
                <w:rFonts w:cs="Arial"/>
                <w:color w:val="000000" w:themeColor="text1"/>
                <w:szCs w:val="16"/>
              </w:rPr>
            </w:pPr>
            <w:r w:rsidRPr="00781112">
              <w:rPr>
                <w:rFonts w:cs="Arial"/>
                <w:color w:val="000000" w:themeColor="text1"/>
                <w:szCs w:val="16"/>
                <w:shd w:val="clear" w:color="auto" w:fill="FFFFFF"/>
              </w:rPr>
              <w:t>A. A regular early childhood program and receiving the majority of special education and related services in the regular early childhood program</w:t>
            </w:r>
          </w:p>
        </w:tc>
        <w:tc>
          <w:tcPr>
            <w:tcW w:w="518" w:type="pct"/>
            <w:shd w:val="clear" w:color="auto" w:fill="auto"/>
            <w:vAlign w:val="center"/>
          </w:tcPr>
          <w:p w14:paraId="251726D2" w14:textId="038B4D14" w:rsidR="00CF6742" w:rsidRPr="00781112" w:rsidRDefault="002B7490" w:rsidP="00A018D4">
            <w:pPr>
              <w:jc w:val="center"/>
              <w:rPr>
                <w:rFonts w:cs="Arial"/>
                <w:color w:val="000000" w:themeColor="text1"/>
                <w:szCs w:val="16"/>
              </w:rPr>
            </w:pPr>
            <w:r w:rsidRPr="00781112">
              <w:rPr>
                <w:rFonts w:cs="Arial"/>
                <w:color w:val="000000" w:themeColor="text1"/>
                <w:szCs w:val="16"/>
              </w:rPr>
              <w:t>1,547</w:t>
            </w:r>
          </w:p>
          <w:p w14:paraId="70072E1D" w14:textId="45212F0F" w:rsidR="00CC3A85" w:rsidRPr="00781112" w:rsidRDefault="00CC3A85" w:rsidP="00A018D4">
            <w:pPr>
              <w:jc w:val="center"/>
              <w:rPr>
                <w:rFonts w:cs="Arial"/>
                <w:color w:val="000000" w:themeColor="text1"/>
                <w:szCs w:val="16"/>
              </w:rPr>
            </w:pPr>
          </w:p>
        </w:tc>
        <w:tc>
          <w:tcPr>
            <w:tcW w:w="518" w:type="pct"/>
            <w:shd w:val="clear" w:color="auto" w:fill="auto"/>
            <w:vAlign w:val="center"/>
          </w:tcPr>
          <w:p w14:paraId="5E80FF00" w14:textId="1218B9E8" w:rsidR="00CF6742" w:rsidRPr="00781112" w:rsidRDefault="002B7490" w:rsidP="00A018D4">
            <w:pPr>
              <w:jc w:val="center"/>
              <w:rPr>
                <w:rFonts w:cs="Arial"/>
                <w:color w:val="000000" w:themeColor="text1"/>
                <w:szCs w:val="16"/>
              </w:rPr>
            </w:pPr>
            <w:r w:rsidRPr="00781112">
              <w:rPr>
                <w:rFonts w:cs="Arial"/>
                <w:color w:val="000000" w:themeColor="text1"/>
                <w:szCs w:val="16"/>
              </w:rPr>
              <w:t>3,347</w:t>
            </w:r>
          </w:p>
        </w:tc>
        <w:tc>
          <w:tcPr>
            <w:tcW w:w="518" w:type="pct"/>
            <w:shd w:val="clear" w:color="auto" w:fill="auto"/>
            <w:vAlign w:val="center"/>
          </w:tcPr>
          <w:p w14:paraId="15C39591" w14:textId="59A0B140" w:rsidR="00CF6742" w:rsidRPr="00781112" w:rsidRDefault="002B7490" w:rsidP="00A018D4">
            <w:pPr>
              <w:jc w:val="center"/>
              <w:rPr>
                <w:rFonts w:cs="Arial"/>
                <w:color w:val="000000" w:themeColor="text1"/>
                <w:szCs w:val="16"/>
              </w:rPr>
            </w:pPr>
            <w:r w:rsidRPr="00781112">
              <w:rPr>
                <w:rFonts w:cs="Arial"/>
                <w:color w:val="000000" w:themeColor="text1"/>
                <w:szCs w:val="16"/>
              </w:rPr>
              <w:t>51.71%</w:t>
            </w:r>
          </w:p>
        </w:tc>
        <w:tc>
          <w:tcPr>
            <w:tcW w:w="518" w:type="pct"/>
            <w:shd w:val="clear" w:color="auto" w:fill="auto"/>
            <w:vAlign w:val="center"/>
          </w:tcPr>
          <w:p w14:paraId="0B4DAB1A" w14:textId="6A306EF5" w:rsidR="00CF6742" w:rsidRPr="00781112" w:rsidRDefault="002B7490" w:rsidP="00A018D4">
            <w:pPr>
              <w:jc w:val="center"/>
              <w:rPr>
                <w:rFonts w:cs="Arial"/>
                <w:color w:val="000000" w:themeColor="text1"/>
                <w:szCs w:val="16"/>
              </w:rPr>
            </w:pPr>
            <w:r w:rsidRPr="00781112">
              <w:rPr>
                <w:rFonts w:cs="Arial"/>
                <w:color w:val="000000" w:themeColor="text1"/>
                <w:szCs w:val="16"/>
              </w:rPr>
              <w:t>54.08%</w:t>
            </w:r>
          </w:p>
        </w:tc>
        <w:tc>
          <w:tcPr>
            <w:tcW w:w="518" w:type="pct"/>
            <w:shd w:val="clear" w:color="auto" w:fill="auto"/>
            <w:vAlign w:val="center"/>
          </w:tcPr>
          <w:p w14:paraId="3DA9CC9A" w14:textId="5BC63CA2" w:rsidR="00CF6742" w:rsidRPr="00781112" w:rsidRDefault="002B7490" w:rsidP="00A018D4">
            <w:pPr>
              <w:jc w:val="center"/>
              <w:rPr>
                <w:rFonts w:cs="Arial"/>
                <w:color w:val="000000" w:themeColor="text1"/>
                <w:szCs w:val="16"/>
              </w:rPr>
            </w:pPr>
            <w:r w:rsidRPr="00781112">
              <w:rPr>
                <w:rFonts w:cs="Arial"/>
                <w:color w:val="000000" w:themeColor="text1"/>
                <w:szCs w:val="16"/>
              </w:rPr>
              <w:t>46.22%</w:t>
            </w:r>
          </w:p>
        </w:tc>
        <w:tc>
          <w:tcPr>
            <w:tcW w:w="518" w:type="pct"/>
            <w:shd w:val="clear" w:color="auto" w:fill="auto"/>
            <w:vAlign w:val="center"/>
          </w:tcPr>
          <w:p w14:paraId="361B06B7" w14:textId="5F10F78E" w:rsidR="00CF6742"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518" w:type="pct"/>
            <w:shd w:val="clear" w:color="auto" w:fill="auto"/>
            <w:vAlign w:val="center"/>
          </w:tcPr>
          <w:p w14:paraId="45DD5AFE" w14:textId="28F5E139" w:rsidR="00CF6742" w:rsidRPr="00781112" w:rsidRDefault="002B7490" w:rsidP="00A018D4">
            <w:pPr>
              <w:jc w:val="center"/>
              <w:rPr>
                <w:rFonts w:cs="Arial"/>
                <w:color w:val="000000" w:themeColor="text1"/>
                <w:szCs w:val="16"/>
              </w:rPr>
            </w:pPr>
            <w:r w:rsidRPr="00781112">
              <w:rPr>
                <w:rFonts w:cs="Arial"/>
                <w:color w:val="000000" w:themeColor="text1"/>
                <w:szCs w:val="16"/>
              </w:rPr>
              <w:t>Slippage</w:t>
            </w:r>
          </w:p>
        </w:tc>
      </w:tr>
      <w:tr w:rsidR="005C29F8" w:rsidRPr="00781112" w14:paraId="203C22FB" w14:textId="77777777" w:rsidTr="007239EC">
        <w:trPr>
          <w:trHeight w:val="361"/>
        </w:trPr>
        <w:tc>
          <w:tcPr>
            <w:tcW w:w="1373" w:type="pct"/>
            <w:shd w:val="clear" w:color="auto" w:fill="auto"/>
            <w:vAlign w:val="center"/>
          </w:tcPr>
          <w:p w14:paraId="79CB9C36" w14:textId="6C0925E8" w:rsidR="00CF6742" w:rsidRPr="00781112" w:rsidRDefault="00CF6742" w:rsidP="00CF6742">
            <w:pPr>
              <w:rPr>
                <w:rFonts w:cs="Arial"/>
                <w:color w:val="000000" w:themeColor="text1"/>
                <w:szCs w:val="16"/>
              </w:rPr>
            </w:pPr>
            <w:r w:rsidRPr="00781112">
              <w:rPr>
                <w:rFonts w:cs="Arial"/>
                <w:color w:val="000000" w:themeColor="text1"/>
                <w:szCs w:val="16"/>
                <w:shd w:val="clear" w:color="auto" w:fill="FFFFFF"/>
              </w:rPr>
              <w:t>B. Separate special education class, separate school or residential facility</w:t>
            </w:r>
          </w:p>
        </w:tc>
        <w:tc>
          <w:tcPr>
            <w:tcW w:w="518" w:type="pct"/>
            <w:shd w:val="clear" w:color="auto" w:fill="auto"/>
            <w:vAlign w:val="center"/>
          </w:tcPr>
          <w:p w14:paraId="1334ACAB" w14:textId="7BCE0AFD" w:rsidR="00CF6742" w:rsidRPr="00781112" w:rsidRDefault="002B7490" w:rsidP="00A018D4">
            <w:pPr>
              <w:jc w:val="center"/>
              <w:rPr>
                <w:rFonts w:cs="Arial"/>
                <w:color w:val="000000" w:themeColor="text1"/>
                <w:szCs w:val="16"/>
              </w:rPr>
            </w:pPr>
            <w:r w:rsidRPr="00781112">
              <w:rPr>
                <w:rFonts w:cs="Arial"/>
                <w:color w:val="000000" w:themeColor="text1"/>
                <w:szCs w:val="16"/>
              </w:rPr>
              <w:t>1,079</w:t>
            </w:r>
          </w:p>
        </w:tc>
        <w:tc>
          <w:tcPr>
            <w:tcW w:w="518" w:type="pct"/>
            <w:shd w:val="clear" w:color="auto" w:fill="auto"/>
            <w:vAlign w:val="center"/>
          </w:tcPr>
          <w:p w14:paraId="66D0E912" w14:textId="2A889076" w:rsidR="00CF6742" w:rsidRPr="00781112" w:rsidRDefault="002B7490" w:rsidP="00A018D4">
            <w:pPr>
              <w:jc w:val="center"/>
              <w:rPr>
                <w:rFonts w:cs="Arial"/>
                <w:color w:val="000000" w:themeColor="text1"/>
                <w:szCs w:val="16"/>
              </w:rPr>
            </w:pPr>
            <w:r w:rsidRPr="00781112">
              <w:rPr>
                <w:rFonts w:cs="Arial"/>
                <w:color w:val="000000" w:themeColor="text1"/>
                <w:szCs w:val="16"/>
              </w:rPr>
              <w:t>3,347</w:t>
            </w:r>
          </w:p>
        </w:tc>
        <w:tc>
          <w:tcPr>
            <w:tcW w:w="518" w:type="pct"/>
            <w:shd w:val="clear" w:color="auto" w:fill="auto"/>
            <w:vAlign w:val="center"/>
          </w:tcPr>
          <w:p w14:paraId="778A4648" w14:textId="541ABEC8" w:rsidR="00CF6742" w:rsidRPr="00781112" w:rsidRDefault="002B7490" w:rsidP="00A018D4">
            <w:pPr>
              <w:jc w:val="center"/>
              <w:rPr>
                <w:rFonts w:cs="Arial"/>
                <w:color w:val="000000" w:themeColor="text1"/>
                <w:szCs w:val="16"/>
              </w:rPr>
            </w:pPr>
            <w:r w:rsidRPr="00781112">
              <w:rPr>
                <w:rFonts w:cs="Arial"/>
                <w:color w:val="000000" w:themeColor="text1"/>
                <w:szCs w:val="16"/>
              </w:rPr>
              <w:t>29.18%</w:t>
            </w:r>
          </w:p>
        </w:tc>
        <w:tc>
          <w:tcPr>
            <w:tcW w:w="518" w:type="pct"/>
            <w:shd w:val="clear" w:color="auto" w:fill="auto"/>
            <w:vAlign w:val="center"/>
          </w:tcPr>
          <w:p w14:paraId="0EB723D5" w14:textId="782750AE" w:rsidR="00CF6742" w:rsidRPr="00781112" w:rsidRDefault="002B7490" w:rsidP="00A018D4">
            <w:pPr>
              <w:jc w:val="center"/>
              <w:rPr>
                <w:rFonts w:cs="Arial"/>
                <w:color w:val="000000" w:themeColor="text1"/>
                <w:szCs w:val="16"/>
              </w:rPr>
            </w:pPr>
            <w:r w:rsidRPr="00781112">
              <w:rPr>
                <w:rFonts w:cs="Arial"/>
                <w:color w:val="000000" w:themeColor="text1"/>
                <w:szCs w:val="16"/>
              </w:rPr>
              <w:t>30.83%</w:t>
            </w:r>
          </w:p>
        </w:tc>
        <w:tc>
          <w:tcPr>
            <w:tcW w:w="518" w:type="pct"/>
            <w:shd w:val="clear" w:color="auto" w:fill="auto"/>
            <w:vAlign w:val="center"/>
          </w:tcPr>
          <w:p w14:paraId="22E6569B" w14:textId="5DC635D1" w:rsidR="00CF6742" w:rsidRPr="00781112" w:rsidRDefault="002B7490" w:rsidP="00A018D4">
            <w:pPr>
              <w:jc w:val="center"/>
              <w:rPr>
                <w:rFonts w:cs="Arial"/>
                <w:color w:val="000000" w:themeColor="text1"/>
                <w:szCs w:val="16"/>
              </w:rPr>
            </w:pPr>
            <w:r w:rsidRPr="00781112">
              <w:rPr>
                <w:rFonts w:cs="Arial"/>
                <w:color w:val="000000" w:themeColor="text1"/>
                <w:szCs w:val="16"/>
              </w:rPr>
              <w:t>32.24%</w:t>
            </w:r>
          </w:p>
        </w:tc>
        <w:tc>
          <w:tcPr>
            <w:tcW w:w="518" w:type="pct"/>
            <w:shd w:val="clear" w:color="auto" w:fill="auto"/>
            <w:vAlign w:val="center"/>
          </w:tcPr>
          <w:p w14:paraId="799542EF" w14:textId="180B78FB" w:rsidR="00CF6742"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518" w:type="pct"/>
            <w:shd w:val="clear" w:color="auto" w:fill="auto"/>
            <w:vAlign w:val="center"/>
          </w:tcPr>
          <w:p w14:paraId="6E35C7BA" w14:textId="0B2CF7CC" w:rsidR="00CF6742" w:rsidRPr="00781112" w:rsidRDefault="002B7490" w:rsidP="00A018D4">
            <w:pPr>
              <w:jc w:val="center"/>
              <w:rPr>
                <w:rFonts w:cs="Arial"/>
                <w:color w:val="000000" w:themeColor="text1"/>
                <w:szCs w:val="16"/>
              </w:rPr>
            </w:pPr>
            <w:r w:rsidRPr="00781112">
              <w:rPr>
                <w:rFonts w:cs="Arial"/>
                <w:color w:val="000000" w:themeColor="text1"/>
                <w:szCs w:val="16"/>
              </w:rPr>
              <w:t>Slippage</w:t>
            </w:r>
          </w:p>
        </w:tc>
      </w:tr>
      <w:tr w:rsidR="007419E3" w:rsidRPr="00781112" w14:paraId="70135A14" w14:textId="77777777" w:rsidTr="007239EC">
        <w:trPr>
          <w:trHeight w:val="361"/>
        </w:trPr>
        <w:tc>
          <w:tcPr>
            <w:tcW w:w="1373" w:type="pct"/>
            <w:shd w:val="clear" w:color="auto" w:fill="auto"/>
            <w:vAlign w:val="center"/>
          </w:tcPr>
          <w:p w14:paraId="72DCC796" w14:textId="256E58C0" w:rsidR="007419E3" w:rsidRPr="00781112" w:rsidRDefault="007419E3" w:rsidP="007419E3">
            <w:pPr>
              <w:rPr>
                <w:rFonts w:cs="Arial"/>
                <w:color w:val="000000" w:themeColor="text1"/>
                <w:szCs w:val="16"/>
                <w:shd w:val="clear" w:color="auto" w:fill="FFFFFF"/>
              </w:rPr>
            </w:pPr>
            <w:r w:rsidRPr="00781112">
              <w:rPr>
                <w:rFonts w:cs="Arial"/>
                <w:color w:val="000000" w:themeColor="text1"/>
                <w:szCs w:val="16"/>
                <w:shd w:val="clear" w:color="auto" w:fill="FFFFFF"/>
              </w:rPr>
              <w:t>C. Home</w:t>
            </w:r>
          </w:p>
        </w:tc>
        <w:tc>
          <w:tcPr>
            <w:tcW w:w="518" w:type="pct"/>
            <w:shd w:val="clear" w:color="auto" w:fill="auto"/>
            <w:vAlign w:val="center"/>
          </w:tcPr>
          <w:p w14:paraId="1AE1B656" w14:textId="4AA764F4" w:rsidR="007419E3" w:rsidRPr="00781112" w:rsidRDefault="007419E3" w:rsidP="007419E3">
            <w:pPr>
              <w:jc w:val="center"/>
              <w:rPr>
                <w:rFonts w:cs="Arial"/>
                <w:color w:val="000000" w:themeColor="text1"/>
                <w:szCs w:val="16"/>
              </w:rPr>
            </w:pPr>
            <w:r w:rsidRPr="00781112">
              <w:rPr>
                <w:rFonts w:cs="Arial"/>
                <w:color w:val="000000" w:themeColor="text1"/>
                <w:szCs w:val="16"/>
              </w:rPr>
              <w:t>10</w:t>
            </w:r>
          </w:p>
        </w:tc>
        <w:tc>
          <w:tcPr>
            <w:tcW w:w="518" w:type="pct"/>
            <w:shd w:val="clear" w:color="auto" w:fill="auto"/>
            <w:vAlign w:val="center"/>
          </w:tcPr>
          <w:p w14:paraId="601CC9FF" w14:textId="0C166449" w:rsidR="007419E3" w:rsidRPr="00781112" w:rsidRDefault="007419E3" w:rsidP="007419E3">
            <w:pPr>
              <w:jc w:val="center"/>
              <w:rPr>
                <w:rFonts w:cs="Arial"/>
                <w:color w:val="000000" w:themeColor="text1"/>
                <w:szCs w:val="16"/>
              </w:rPr>
            </w:pPr>
            <w:r w:rsidRPr="00781112">
              <w:rPr>
                <w:rFonts w:cs="Arial"/>
                <w:color w:val="000000" w:themeColor="text1"/>
                <w:szCs w:val="16"/>
              </w:rPr>
              <w:t>3,347</w:t>
            </w:r>
          </w:p>
        </w:tc>
        <w:tc>
          <w:tcPr>
            <w:tcW w:w="518" w:type="pct"/>
            <w:shd w:val="clear" w:color="auto" w:fill="auto"/>
            <w:vAlign w:val="center"/>
          </w:tcPr>
          <w:p w14:paraId="4B7E23C9" w14:textId="2143D885" w:rsidR="007419E3" w:rsidRPr="00781112" w:rsidRDefault="007419E3" w:rsidP="007419E3">
            <w:pPr>
              <w:jc w:val="center"/>
              <w:rPr>
                <w:rFonts w:cs="Arial"/>
                <w:color w:val="000000" w:themeColor="text1"/>
                <w:szCs w:val="16"/>
              </w:rPr>
            </w:pPr>
            <w:r w:rsidRPr="00781112">
              <w:rPr>
                <w:rFonts w:cs="Arial"/>
                <w:color w:val="000000" w:themeColor="text1"/>
                <w:szCs w:val="16"/>
              </w:rPr>
              <w:t>0.41%</w:t>
            </w:r>
          </w:p>
        </w:tc>
        <w:tc>
          <w:tcPr>
            <w:tcW w:w="518" w:type="pct"/>
            <w:shd w:val="clear" w:color="auto" w:fill="auto"/>
            <w:vAlign w:val="center"/>
          </w:tcPr>
          <w:p w14:paraId="412FC24B" w14:textId="2D7F91B3" w:rsidR="007419E3" w:rsidRPr="00781112" w:rsidRDefault="007419E3" w:rsidP="007419E3">
            <w:pPr>
              <w:jc w:val="center"/>
              <w:rPr>
                <w:rFonts w:cs="Arial"/>
                <w:color w:val="000000" w:themeColor="text1"/>
                <w:szCs w:val="16"/>
              </w:rPr>
            </w:pPr>
            <w:r w:rsidRPr="00781112">
              <w:rPr>
                <w:rFonts w:cs="Arial"/>
                <w:color w:val="000000" w:themeColor="text1"/>
                <w:szCs w:val="16"/>
              </w:rPr>
              <w:t>23.00%</w:t>
            </w:r>
          </w:p>
        </w:tc>
        <w:tc>
          <w:tcPr>
            <w:tcW w:w="518" w:type="pct"/>
            <w:shd w:val="clear" w:color="auto" w:fill="auto"/>
            <w:vAlign w:val="center"/>
          </w:tcPr>
          <w:p w14:paraId="603D7CC7" w14:textId="713E97DD" w:rsidR="007419E3" w:rsidRPr="00781112" w:rsidRDefault="007419E3" w:rsidP="007419E3">
            <w:pPr>
              <w:jc w:val="center"/>
              <w:rPr>
                <w:rFonts w:cs="Arial"/>
                <w:color w:val="000000" w:themeColor="text1"/>
                <w:szCs w:val="16"/>
              </w:rPr>
            </w:pPr>
            <w:r w:rsidRPr="00781112">
              <w:rPr>
                <w:rFonts w:cs="Arial"/>
                <w:color w:val="000000" w:themeColor="text1"/>
                <w:szCs w:val="16"/>
              </w:rPr>
              <w:t>0.30%</w:t>
            </w:r>
          </w:p>
        </w:tc>
        <w:tc>
          <w:tcPr>
            <w:tcW w:w="518" w:type="pct"/>
            <w:shd w:val="clear" w:color="auto" w:fill="auto"/>
            <w:vAlign w:val="center"/>
          </w:tcPr>
          <w:p w14:paraId="31E8CDB6" w14:textId="7E73D59A" w:rsidR="007419E3" w:rsidRPr="00781112" w:rsidRDefault="007419E3" w:rsidP="007419E3">
            <w:pPr>
              <w:jc w:val="center"/>
              <w:rPr>
                <w:rFonts w:cs="Arial"/>
                <w:color w:val="000000" w:themeColor="text1"/>
                <w:szCs w:val="16"/>
              </w:rPr>
            </w:pPr>
            <w:r w:rsidRPr="00781112">
              <w:rPr>
                <w:rFonts w:cs="Arial"/>
                <w:color w:val="000000" w:themeColor="text1"/>
                <w:szCs w:val="16"/>
              </w:rPr>
              <w:t>Met target</w:t>
            </w:r>
          </w:p>
        </w:tc>
        <w:tc>
          <w:tcPr>
            <w:tcW w:w="518" w:type="pct"/>
            <w:shd w:val="clear" w:color="auto" w:fill="auto"/>
            <w:vAlign w:val="center"/>
          </w:tcPr>
          <w:p w14:paraId="4B289CC7" w14:textId="072E6906" w:rsidR="007419E3" w:rsidRPr="00781112" w:rsidRDefault="007419E3" w:rsidP="007419E3">
            <w:pPr>
              <w:jc w:val="center"/>
              <w:rPr>
                <w:rFonts w:cs="Arial"/>
                <w:color w:val="000000" w:themeColor="text1"/>
                <w:szCs w:val="16"/>
              </w:rPr>
            </w:pPr>
            <w:r w:rsidRPr="00781112">
              <w:rPr>
                <w:rFonts w:cs="Arial"/>
                <w:color w:val="000000" w:themeColor="text1"/>
                <w:szCs w:val="16"/>
              </w:rPr>
              <w:t>No Slippage</w:t>
            </w:r>
          </w:p>
        </w:tc>
      </w:tr>
    </w:tbl>
    <w:p w14:paraId="21FD52FD" w14:textId="53DF3EF1" w:rsidR="002441FF" w:rsidRDefault="002441FF" w:rsidP="004369B2">
      <w:pPr>
        <w:rPr>
          <w:b/>
          <w:color w:val="000000" w:themeColor="text1"/>
        </w:rPr>
      </w:pPr>
    </w:p>
    <w:p w14:paraId="0BB4A3E2" w14:textId="656306A8" w:rsidR="006B39BD" w:rsidRPr="00781112" w:rsidRDefault="006B39BD" w:rsidP="006B39BD">
      <w:pPr>
        <w:rPr>
          <w:b/>
          <w:color w:val="000000" w:themeColor="text1"/>
        </w:rPr>
      </w:pPr>
      <w:r w:rsidRPr="00781112">
        <w:rPr>
          <w:b/>
          <w:color w:val="000000" w:themeColor="text1"/>
        </w:rPr>
        <w:t>Provide reasons for slippage for Group A aged 3 through 5, if applicable</w:t>
      </w:r>
    </w:p>
    <w:p w14:paraId="2BFFD53E" w14:textId="192B3D60" w:rsidR="006B39BD" w:rsidRPr="00781112" w:rsidRDefault="006B39BD" w:rsidP="006B39BD">
      <w:pPr>
        <w:rPr>
          <w:rFonts w:cs="Arial"/>
          <w:color w:val="000000" w:themeColor="text1"/>
          <w:szCs w:val="16"/>
        </w:rPr>
      </w:pPr>
      <w:r w:rsidRPr="00781112">
        <w:rPr>
          <w:rFonts w:cs="Arial"/>
          <w:color w:val="000000" w:themeColor="text1"/>
          <w:szCs w:val="16"/>
        </w:rPr>
        <w:t>The State does not have preschool programs within each LEA in the state that serves three-year-old students. This creates a barrier when there are children with disabilities who need to be entered into a regular early childhood program. LEAs must then try to help the parents enroll their students in Head Start programs or other community-based programs including child care. In rural parts of the state, where no other programs exist, students receive their special education services separately outside of a regular early childhood program. Another barrier is the lack of open slots for students to enter or parents not meeting income guidelines. When data is disaggregated by age, the three-year-old student group is the smallest group in a regular early childhood program and receiving the majority of special education and related services in the regular early childhood program.</w:t>
      </w:r>
    </w:p>
    <w:p w14:paraId="10A47196" w14:textId="24AB3FD2" w:rsidR="006B39BD" w:rsidRPr="00781112" w:rsidRDefault="006B39BD" w:rsidP="006B39BD">
      <w:pPr>
        <w:rPr>
          <w:b/>
          <w:color w:val="000000" w:themeColor="text1"/>
        </w:rPr>
      </w:pPr>
      <w:r w:rsidRPr="00781112">
        <w:rPr>
          <w:b/>
          <w:color w:val="000000" w:themeColor="text1"/>
        </w:rPr>
        <w:t>Provide reasons for slippage for Group B aged 3 through 5, if applicable</w:t>
      </w:r>
    </w:p>
    <w:p w14:paraId="0FA6349A" w14:textId="2ADE5DA0" w:rsidR="006B39BD" w:rsidRPr="00781112" w:rsidRDefault="006B39BD" w:rsidP="006B39BD">
      <w:pPr>
        <w:rPr>
          <w:rFonts w:cs="Arial"/>
          <w:color w:val="000000" w:themeColor="text1"/>
          <w:szCs w:val="16"/>
        </w:rPr>
      </w:pPr>
      <w:r w:rsidRPr="00781112">
        <w:rPr>
          <w:rFonts w:cs="Arial"/>
          <w:color w:val="000000" w:themeColor="text1"/>
          <w:szCs w:val="16"/>
        </w:rPr>
        <w:t>As described in the slippage section for Group A, the same reasons apply for Group B. Where no regular early childhood programs exist, students receive their special education services separately outside of a regular early childhood program. When data is disaggregated by age, the three-year-old student group is the largest group receiving services in a separate special education class, separate school or residential facility.</w:t>
      </w:r>
    </w:p>
    <w:p w14:paraId="1157162F" w14:textId="77777777" w:rsidR="002441FF" w:rsidRPr="00781112" w:rsidRDefault="002441FF" w:rsidP="002441FF">
      <w:pPr>
        <w:rPr>
          <w:rFonts w:cs="Arial"/>
          <w:color w:val="000000" w:themeColor="text1"/>
          <w:szCs w:val="16"/>
        </w:rPr>
      </w:pPr>
    </w:p>
    <w:p w14:paraId="11B24ABD" w14:textId="77777777" w:rsidR="00221EC9" w:rsidRPr="00781112" w:rsidRDefault="00221EC9" w:rsidP="004369B2">
      <w:pPr>
        <w:rPr>
          <w:b/>
          <w:color w:val="000000" w:themeColor="text1"/>
        </w:rPr>
      </w:pPr>
      <w:r w:rsidRPr="00781112">
        <w:rPr>
          <w:b/>
          <w:color w:val="000000" w:themeColor="text1"/>
        </w:rPr>
        <w:t>Provide additional information about this indicator (optional)</w:t>
      </w:r>
    </w:p>
    <w:p w14:paraId="05D7B4D4" w14:textId="54FAD054" w:rsidR="003C308E" w:rsidRPr="00781112" w:rsidRDefault="002B7490" w:rsidP="007D435F">
      <w:pPr>
        <w:rPr>
          <w:rFonts w:cs="Arial"/>
          <w:color w:val="000000" w:themeColor="text1"/>
          <w:szCs w:val="16"/>
        </w:rPr>
      </w:pPr>
      <w:r w:rsidRPr="00781112">
        <w:rPr>
          <w:rFonts w:cs="Arial"/>
          <w:color w:val="000000" w:themeColor="text1"/>
          <w:szCs w:val="16"/>
        </w:rPr>
        <w:t/>
      </w:r>
    </w:p>
    <w:p w14:paraId="7DD4BC1C" w14:textId="33DA668A" w:rsidR="000A2C83" w:rsidRPr="00781112" w:rsidRDefault="00C96236" w:rsidP="008645AD">
      <w:pPr>
        <w:pStyle w:val="Heading2"/>
      </w:pPr>
      <w:r w:rsidRPr="00781112">
        <w:t>6</w:t>
      </w:r>
      <w:r w:rsidR="00C91B94" w:rsidRPr="00781112">
        <w:t xml:space="preserve"> </w:t>
      </w:r>
      <w:r w:rsidRPr="00781112">
        <w:t xml:space="preserve">- </w:t>
      </w:r>
      <w:r w:rsidR="000A2C83" w:rsidRPr="00781112">
        <w:t>Prior FFY Required Actions</w:t>
      </w:r>
    </w:p>
    <w:p w14:paraId="566E0CF8" w14:textId="64232129" w:rsidR="00B1280F" w:rsidRPr="00781112" w:rsidRDefault="002B7490" w:rsidP="000A2C83">
      <w:pPr>
        <w:rPr>
          <w:rFonts w:cs="Arial"/>
          <w:color w:val="000000" w:themeColor="text1"/>
          <w:szCs w:val="16"/>
        </w:rPr>
      </w:pPr>
      <w:r w:rsidRPr="00781112">
        <w:rPr>
          <w:rFonts w:cs="Arial"/>
          <w:color w:val="000000" w:themeColor="text1"/>
          <w:szCs w:val="16"/>
        </w:rPr>
        <w:t>None</w:t>
      </w:r>
    </w:p>
    <w:p w14:paraId="7B71DC87" w14:textId="5C9C7EF8" w:rsidR="00221EC9" w:rsidRPr="00781112" w:rsidRDefault="00C96236" w:rsidP="008645AD">
      <w:pPr>
        <w:pStyle w:val="Heading2"/>
      </w:pPr>
      <w:r w:rsidRPr="00781112">
        <w:t>6 - OSEP Response</w:t>
      </w:r>
    </w:p>
    <w:p w14:paraId="39CF981B" w14:textId="16EA9F6F" w:rsidR="003C308E" w:rsidRPr="00781112" w:rsidRDefault="002B7490" w:rsidP="001F692C">
      <w:pPr>
        <w:rPr>
          <w:rFonts w:cs="Arial"/>
          <w:color w:val="000000" w:themeColor="text1"/>
          <w:szCs w:val="16"/>
        </w:rPr>
      </w:pPr>
      <w:r w:rsidRPr="00781112">
        <w:rPr>
          <w:rFonts w:cs="Arial"/>
          <w:color w:val="000000" w:themeColor="text1"/>
          <w:szCs w:val="16"/>
        </w:rPr>
        <w:t>
</w:t>
      </w:r>
    </w:p>
    <w:p w14:paraId="6337E261" w14:textId="7ABFCAD4" w:rsidR="00221EC9" w:rsidRPr="00781112" w:rsidRDefault="00C96236" w:rsidP="008645AD">
      <w:pPr>
        <w:pStyle w:val="Heading2"/>
      </w:pPr>
      <w:r w:rsidRPr="00781112">
        <w:t>6 - Required Actions</w:t>
      </w:r>
    </w:p>
    <w:p w14:paraId="4D0B397A" w14:textId="4B808E74" w:rsidR="003C308E" w:rsidRPr="00781112" w:rsidRDefault="002B7490" w:rsidP="001F692C">
      <w:pPr>
        <w:rPr>
          <w:rFonts w:cs="Arial"/>
          <w:color w:val="000000" w:themeColor="text1"/>
          <w:szCs w:val="16"/>
        </w:rPr>
      </w:pPr>
      <w:r w:rsidRPr="00781112">
        <w:rPr>
          <w:rFonts w:cs="Arial"/>
          <w:color w:val="000000" w:themeColor="text1"/>
          <w:szCs w:val="16"/>
        </w:rPr>
        <w:t/>
      </w:r>
    </w:p>
    <w:p w14:paraId="2AA7BDE7" w14:textId="77777777" w:rsidR="00600E15" w:rsidRPr="00781112" w:rsidRDefault="00600E15">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26B1B256" w14:textId="288D5BD8" w:rsidR="00D21EAA" w:rsidRPr="00781112" w:rsidRDefault="00D21EAA" w:rsidP="000444E2">
      <w:pPr>
        <w:pStyle w:val="Heading1"/>
        <w:rPr>
          <w:color w:val="000000" w:themeColor="text1"/>
          <w:sz w:val="22"/>
        </w:rPr>
      </w:pPr>
      <w:r w:rsidRPr="00781112">
        <w:rPr>
          <w:color w:val="000000" w:themeColor="text1"/>
          <w:sz w:val="22"/>
        </w:rPr>
        <w:lastRenderedPageBreak/>
        <w:t>Indicator 7: Preschool Outcomes</w:t>
      </w:r>
      <w:bookmarkEnd w:id="46"/>
      <w:bookmarkEnd w:id="47"/>
    </w:p>
    <w:p w14:paraId="1404DCF9" w14:textId="77777777" w:rsidR="00531E54" w:rsidRPr="00781112" w:rsidRDefault="00531E54" w:rsidP="00A018D4">
      <w:pPr>
        <w:rPr>
          <w:color w:val="000000" w:themeColor="text1"/>
          <w:szCs w:val="20"/>
        </w:rPr>
      </w:pPr>
      <w:bookmarkStart w:id="48" w:name="_Toc392159303"/>
      <w:r w:rsidRPr="00781112">
        <w:rPr>
          <w:b/>
          <w:color w:val="000000" w:themeColor="text1"/>
          <w:sz w:val="20"/>
          <w:szCs w:val="20"/>
        </w:rPr>
        <w:t>Instructions and Measurement</w:t>
      </w:r>
    </w:p>
    <w:p w14:paraId="0A136297" w14:textId="4837554F" w:rsidR="00CC634E" w:rsidRPr="00781112" w:rsidRDefault="00CC634E"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24B9EA10" w14:textId="77777777" w:rsidR="00CC634E" w:rsidRPr="00781112" w:rsidRDefault="00CC634E" w:rsidP="0011074D">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Percent of preschool children aged 3 through 5 with IEPs who demonstrate improved:</w:t>
      </w:r>
    </w:p>
    <w:p w14:paraId="0B552BED" w14:textId="43FF9A0A" w:rsidR="00CC634E" w:rsidRPr="00781112" w:rsidRDefault="00F006BC" w:rsidP="006A01BD">
      <w:pPr>
        <w:ind w:firstLine="720"/>
        <w:rPr>
          <w:rFonts w:cs="Arial"/>
          <w:color w:val="000000" w:themeColor="text1"/>
          <w:szCs w:val="16"/>
        </w:rPr>
      </w:pPr>
      <w:r w:rsidRPr="00781112">
        <w:rPr>
          <w:rFonts w:cs="Arial"/>
          <w:color w:val="000000" w:themeColor="text1"/>
          <w:szCs w:val="16"/>
        </w:rPr>
        <w:t>A. Positive social-emotional skills (including social relationships);</w:t>
      </w:r>
    </w:p>
    <w:p w14:paraId="5D82DAD8" w14:textId="740E047B" w:rsidR="00CC634E" w:rsidRPr="00781112" w:rsidRDefault="00F006BC" w:rsidP="006A01BD">
      <w:pPr>
        <w:ind w:firstLine="720"/>
        <w:rPr>
          <w:rFonts w:cs="Arial"/>
          <w:color w:val="000000" w:themeColor="text1"/>
          <w:szCs w:val="16"/>
        </w:rPr>
      </w:pPr>
      <w:r w:rsidRPr="00781112">
        <w:rPr>
          <w:rFonts w:cs="Arial"/>
          <w:color w:val="000000" w:themeColor="text1"/>
          <w:szCs w:val="16"/>
        </w:rPr>
        <w:t>B. Acquisition and use of knowledge and skills (including early language/ communication and early literacy); and</w:t>
      </w:r>
    </w:p>
    <w:p w14:paraId="00126FB5" w14:textId="7254CF8C" w:rsidR="00CC634E" w:rsidRPr="00781112" w:rsidRDefault="00F020B0" w:rsidP="006A01BD">
      <w:pPr>
        <w:ind w:firstLine="720"/>
        <w:rPr>
          <w:rFonts w:cs="Arial"/>
          <w:color w:val="000000" w:themeColor="text1"/>
          <w:szCs w:val="16"/>
        </w:rPr>
      </w:pPr>
      <w:r w:rsidRPr="00781112">
        <w:rPr>
          <w:rFonts w:cs="Arial"/>
          <w:color w:val="000000" w:themeColor="text1"/>
          <w:szCs w:val="16"/>
        </w:rPr>
        <w:t>C. Use of appropriate behaviors to meet their needs.</w:t>
      </w:r>
    </w:p>
    <w:p w14:paraId="5E54210F" w14:textId="77777777" w:rsidR="00CC634E" w:rsidRPr="00781112" w:rsidRDefault="00CC634E" w:rsidP="0011074D">
      <w:pPr>
        <w:rPr>
          <w:rFonts w:cs="Arial"/>
          <w:color w:val="000000" w:themeColor="text1"/>
          <w:szCs w:val="16"/>
        </w:rPr>
      </w:pPr>
      <w:r w:rsidRPr="00781112">
        <w:rPr>
          <w:rFonts w:cs="Arial"/>
          <w:color w:val="000000" w:themeColor="text1"/>
          <w:szCs w:val="16"/>
        </w:rPr>
        <w:t>(20 U.S.C. 1416 (a)(3)(A))</w:t>
      </w:r>
    </w:p>
    <w:p w14:paraId="64F847A6" w14:textId="77777777" w:rsidR="008751D3" w:rsidRPr="00781112" w:rsidRDefault="008751D3" w:rsidP="004369B2">
      <w:pPr>
        <w:rPr>
          <w:color w:val="000000" w:themeColor="text1"/>
        </w:rPr>
      </w:pPr>
      <w:r w:rsidRPr="00781112">
        <w:rPr>
          <w:b/>
          <w:color w:val="000000" w:themeColor="text1"/>
        </w:rPr>
        <w:t>Data Source</w:t>
      </w:r>
    </w:p>
    <w:p w14:paraId="23E18A51" w14:textId="0FC94A9E" w:rsidR="008751D3" w:rsidRPr="00781112" w:rsidRDefault="008751D3" w:rsidP="00286BDF">
      <w:pPr>
        <w:rPr>
          <w:rFonts w:cs="Arial"/>
          <w:color w:val="000000" w:themeColor="text1"/>
          <w:szCs w:val="16"/>
        </w:rPr>
      </w:pPr>
      <w:r w:rsidRPr="00781112">
        <w:rPr>
          <w:rFonts w:cs="Arial"/>
          <w:color w:val="000000" w:themeColor="text1"/>
          <w:szCs w:val="16"/>
        </w:rPr>
        <w:t>State selected data source.</w:t>
      </w:r>
    </w:p>
    <w:p w14:paraId="1E840531" w14:textId="77777777" w:rsidR="008751D3" w:rsidRPr="00781112" w:rsidRDefault="008751D3" w:rsidP="004369B2">
      <w:pPr>
        <w:rPr>
          <w:color w:val="000000" w:themeColor="text1"/>
        </w:rPr>
      </w:pPr>
      <w:r w:rsidRPr="00781112">
        <w:rPr>
          <w:b/>
          <w:color w:val="000000" w:themeColor="text1"/>
        </w:rPr>
        <w:t>Measurement</w:t>
      </w:r>
    </w:p>
    <w:p w14:paraId="1FF326CF" w14:textId="77777777" w:rsidR="008751D3" w:rsidRPr="00781112" w:rsidRDefault="008751D3" w:rsidP="0011074D">
      <w:pPr>
        <w:rPr>
          <w:rFonts w:cs="Arial"/>
          <w:color w:val="000000" w:themeColor="text1"/>
          <w:szCs w:val="16"/>
        </w:rPr>
      </w:pPr>
      <w:r w:rsidRPr="00781112">
        <w:rPr>
          <w:rFonts w:cs="Arial"/>
          <w:color w:val="000000" w:themeColor="text1"/>
          <w:szCs w:val="16"/>
        </w:rPr>
        <w:t>Outcomes:</w:t>
      </w:r>
    </w:p>
    <w:p w14:paraId="4E248912" w14:textId="66BBE7EE" w:rsidR="008751D3" w:rsidRPr="00781112" w:rsidRDefault="00D92169" w:rsidP="006A01BD">
      <w:pPr>
        <w:spacing w:before="0" w:after="0"/>
        <w:ind w:firstLine="720"/>
        <w:rPr>
          <w:rFonts w:eastAsia="Times New Roman" w:cs="Arial"/>
          <w:color w:val="000000" w:themeColor="text1"/>
          <w:szCs w:val="16"/>
        </w:rPr>
      </w:pPr>
      <w:r w:rsidRPr="00781112">
        <w:rPr>
          <w:rFonts w:eastAsia="Times New Roman" w:cs="Arial"/>
          <w:color w:val="000000" w:themeColor="text1"/>
          <w:szCs w:val="16"/>
        </w:rPr>
        <w:t>A. Positive social-emotional skills (including social relationships);</w:t>
      </w:r>
    </w:p>
    <w:p w14:paraId="6AAB6861" w14:textId="71AC3C7A" w:rsidR="008751D3" w:rsidRPr="00781112" w:rsidRDefault="00D92169" w:rsidP="006A01BD">
      <w:pPr>
        <w:spacing w:before="0" w:after="0"/>
        <w:ind w:firstLine="720"/>
        <w:rPr>
          <w:rFonts w:eastAsia="Times New Roman" w:cs="Arial"/>
          <w:color w:val="000000" w:themeColor="text1"/>
          <w:szCs w:val="16"/>
        </w:rPr>
      </w:pPr>
      <w:r w:rsidRPr="00781112">
        <w:rPr>
          <w:rFonts w:eastAsia="Times New Roman" w:cs="Arial"/>
          <w:color w:val="000000" w:themeColor="text1"/>
          <w:szCs w:val="16"/>
        </w:rPr>
        <w:t>B. Acquisition and use of knowledge and skills (including early language/communication and early literacy); and</w:t>
      </w:r>
    </w:p>
    <w:p w14:paraId="4CD04035" w14:textId="52DADE76" w:rsidR="008751D3" w:rsidRPr="00781112" w:rsidRDefault="00D92169" w:rsidP="006A01BD">
      <w:pPr>
        <w:spacing w:before="0"/>
        <w:ind w:firstLine="720"/>
        <w:rPr>
          <w:rFonts w:eastAsia="Times New Roman" w:cs="Arial"/>
          <w:color w:val="000000" w:themeColor="text1"/>
          <w:szCs w:val="16"/>
        </w:rPr>
      </w:pPr>
      <w:r w:rsidRPr="00781112">
        <w:rPr>
          <w:rFonts w:eastAsia="Times New Roman" w:cs="Arial"/>
          <w:color w:val="000000" w:themeColor="text1"/>
          <w:szCs w:val="16"/>
        </w:rPr>
        <w:t>C. Use of appropriate behaviors to meet their needs.</w:t>
      </w:r>
    </w:p>
    <w:p w14:paraId="6C3C0B77" w14:textId="77777777" w:rsidR="008751D3" w:rsidRPr="00781112" w:rsidRDefault="008751D3" w:rsidP="0011074D">
      <w:pPr>
        <w:rPr>
          <w:rFonts w:cs="Arial"/>
          <w:color w:val="000000" w:themeColor="text1"/>
          <w:szCs w:val="16"/>
        </w:rPr>
      </w:pPr>
      <w:r w:rsidRPr="00781112">
        <w:rPr>
          <w:rFonts w:cs="Arial"/>
          <w:color w:val="000000" w:themeColor="text1"/>
          <w:szCs w:val="16"/>
        </w:rPr>
        <w:t>Progress categories for A, B and C:</w:t>
      </w:r>
    </w:p>
    <w:p w14:paraId="5690C8BE" w14:textId="36B6DF2C" w:rsidR="008751D3" w:rsidRPr="00781112" w:rsidRDefault="00D048BC" w:rsidP="006A01BD">
      <w:pPr>
        <w:spacing w:before="0" w:after="0"/>
        <w:ind w:left="720"/>
        <w:rPr>
          <w:rFonts w:eastAsia="Times New Roman" w:cs="Arial"/>
          <w:color w:val="000000" w:themeColor="text1"/>
          <w:szCs w:val="16"/>
        </w:rPr>
      </w:pPr>
      <w:r w:rsidRPr="00781112">
        <w:rPr>
          <w:rFonts w:eastAsia="Times New Roman" w:cs="Arial"/>
          <w:color w:val="000000" w:themeColor="text1"/>
          <w:szCs w:val="16"/>
        </w:rPr>
        <w:t>a. Percent of preschool children who did not improve functioning = [(# of preschool children who did not improve functioning) divided by (# of preschool children with IEPs assessed)] times 100.</w:t>
      </w:r>
    </w:p>
    <w:p w14:paraId="0B720C40" w14:textId="2F6D04FB" w:rsidR="008751D3" w:rsidRPr="00781112" w:rsidRDefault="00D92169" w:rsidP="006A01BD">
      <w:pPr>
        <w:spacing w:before="0" w:after="0"/>
        <w:ind w:left="720"/>
        <w:rPr>
          <w:rFonts w:eastAsia="Times New Roman" w:cs="Arial"/>
          <w:color w:val="000000" w:themeColor="text1"/>
          <w:szCs w:val="16"/>
        </w:rPr>
      </w:pPr>
      <w:r w:rsidRPr="00781112">
        <w:rPr>
          <w:rFonts w:eastAsia="Times New Roman" w:cs="Arial"/>
          <w:color w:val="000000" w:themeColor="text1"/>
          <w:szCs w:val="16"/>
        </w:rPr>
        <w:t>b. Percent of preschool children who improved functioning but not sufficient to move nearer to functioning comparable to same-aged peers = [(# of preschool children who improved functioning but not sufficient to move nearer to functioning comparable to same-aged peers) divided by (# of preschool children with IEPs assessed)] times 100.</w:t>
      </w:r>
    </w:p>
    <w:p w14:paraId="314CA3F4" w14:textId="6175AC76" w:rsidR="008751D3" w:rsidRPr="00781112" w:rsidRDefault="00D92169" w:rsidP="006A01BD">
      <w:pPr>
        <w:spacing w:before="0" w:after="0"/>
        <w:ind w:left="720"/>
        <w:rPr>
          <w:rFonts w:eastAsia="Times New Roman" w:cs="Arial"/>
          <w:color w:val="000000" w:themeColor="text1"/>
          <w:szCs w:val="16"/>
        </w:rPr>
      </w:pPr>
      <w:r w:rsidRPr="00781112">
        <w:rPr>
          <w:rFonts w:eastAsia="Times New Roman" w:cs="Arial"/>
          <w:color w:val="000000" w:themeColor="text1"/>
          <w:szCs w:val="16"/>
        </w:rPr>
        <w:t>c. Percent of preschool children who improved functioning to a level nearer to same-aged peers but did not reach it = [(# of preschool children who improved functioning to a level nearer to same-aged peers but did not reach it) divided by (# of preschool children with IEPs assessed)] times 100.</w:t>
      </w:r>
    </w:p>
    <w:p w14:paraId="643AA406" w14:textId="25D49466" w:rsidR="008751D3" w:rsidRPr="00781112" w:rsidRDefault="00D92169" w:rsidP="006A01BD">
      <w:pPr>
        <w:spacing w:before="0" w:after="0"/>
        <w:ind w:left="720"/>
        <w:rPr>
          <w:rFonts w:eastAsia="Times New Roman" w:cs="Arial"/>
          <w:color w:val="000000" w:themeColor="text1"/>
          <w:szCs w:val="16"/>
        </w:rPr>
      </w:pPr>
      <w:r w:rsidRPr="00781112">
        <w:rPr>
          <w:rFonts w:eastAsia="Times New Roman" w:cs="Arial"/>
          <w:color w:val="000000" w:themeColor="text1"/>
          <w:szCs w:val="16"/>
        </w:rPr>
        <w:t>d. Percent of preschool children who improved functioning to reach a level comparable to same-aged peers = [(# of preschool children who improved functioning to reach a level comparable to same-aged peers) divided by (# of preschool children with IEPs assessed)] times 100.</w:t>
      </w:r>
    </w:p>
    <w:p w14:paraId="38B378F6" w14:textId="1E843815" w:rsidR="008751D3" w:rsidRPr="00781112" w:rsidRDefault="00D92169" w:rsidP="006A01BD">
      <w:pPr>
        <w:spacing w:before="0"/>
        <w:ind w:left="720"/>
        <w:rPr>
          <w:rFonts w:eastAsia="Times New Roman" w:cs="Arial"/>
          <w:color w:val="000000" w:themeColor="text1"/>
          <w:szCs w:val="16"/>
        </w:rPr>
      </w:pPr>
      <w:r w:rsidRPr="00781112">
        <w:rPr>
          <w:rFonts w:eastAsia="Times New Roman" w:cs="Arial"/>
          <w:color w:val="000000" w:themeColor="text1"/>
          <w:szCs w:val="16"/>
        </w:rPr>
        <w:t>e. Percent of preschool children who maintained functioning at a level comparable to same-aged peers = [(# of preschool children who maintained functioning at a level comparable to same-aged peers) divided by (# of preschool children with IEPs assessed)] times 100.</w:t>
      </w:r>
    </w:p>
    <w:p w14:paraId="583435BB" w14:textId="77777777" w:rsidR="008751D3" w:rsidRPr="00781112" w:rsidRDefault="008751D3" w:rsidP="0011074D">
      <w:pPr>
        <w:rPr>
          <w:rFonts w:cs="Arial"/>
          <w:b/>
          <w:color w:val="000000" w:themeColor="text1"/>
          <w:szCs w:val="16"/>
        </w:rPr>
      </w:pPr>
      <w:r w:rsidRPr="00781112">
        <w:rPr>
          <w:rFonts w:cs="Arial"/>
          <w:b/>
          <w:color w:val="000000" w:themeColor="text1"/>
          <w:szCs w:val="16"/>
        </w:rPr>
        <w:t>Summary Statements for Each of the Three Outcomes:</w:t>
      </w:r>
    </w:p>
    <w:p w14:paraId="65FE21E5" w14:textId="77777777" w:rsidR="008751D3" w:rsidRPr="00781112" w:rsidRDefault="008751D3" w:rsidP="0011074D">
      <w:pPr>
        <w:rPr>
          <w:rFonts w:cs="Arial"/>
          <w:color w:val="000000" w:themeColor="text1"/>
          <w:szCs w:val="16"/>
        </w:rPr>
      </w:pPr>
      <w:r w:rsidRPr="00781112">
        <w:rPr>
          <w:rFonts w:cs="Arial"/>
          <w:b/>
          <w:bCs/>
          <w:color w:val="000000" w:themeColor="text1"/>
          <w:szCs w:val="16"/>
        </w:rPr>
        <w:t>Summary Statement 1</w:t>
      </w:r>
      <w:r w:rsidRPr="00781112">
        <w:rPr>
          <w:rFonts w:cs="Arial"/>
          <w:bCs/>
          <w:color w:val="000000" w:themeColor="text1"/>
          <w:szCs w:val="16"/>
        </w:rPr>
        <w:t>:</w:t>
      </w:r>
      <w:r w:rsidRPr="00781112">
        <w:rPr>
          <w:rFonts w:cs="Arial"/>
          <w:color w:val="000000" w:themeColor="text1"/>
          <w:szCs w:val="16"/>
        </w:rPr>
        <w:t> Of those preschool children who entered the preschool program below age expectations in each Outcome, the percent who substantially increased their rate of growth by the time they turned 6 years of age or exited the program.</w:t>
      </w:r>
    </w:p>
    <w:p w14:paraId="5068AAB2" w14:textId="7F652397" w:rsidR="008751D3" w:rsidRPr="00781112" w:rsidRDefault="008751D3" w:rsidP="0011074D">
      <w:pPr>
        <w:rPr>
          <w:rFonts w:cs="Arial"/>
          <w:color w:val="000000" w:themeColor="text1"/>
          <w:szCs w:val="16"/>
        </w:rPr>
      </w:pPr>
      <w:r w:rsidRPr="00781112">
        <w:rPr>
          <w:rFonts w:cs="Arial"/>
          <w:b/>
          <w:bCs/>
          <w:color w:val="000000" w:themeColor="text1"/>
          <w:szCs w:val="16"/>
        </w:rPr>
        <w:t>Measurement for Summary Statement 1:</w:t>
      </w:r>
      <w:r w:rsidRPr="00781112">
        <w:rPr>
          <w:rFonts w:cs="Arial"/>
          <w:bCs/>
          <w:color w:val="000000" w:themeColor="text1"/>
          <w:szCs w:val="16"/>
        </w:rPr>
        <w:t xml:space="preserve"> </w:t>
      </w:r>
      <w:r w:rsidRPr="00781112">
        <w:rPr>
          <w:rFonts w:cs="Arial"/>
          <w:color w:val="000000" w:themeColor="text1"/>
          <w:szCs w:val="16"/>
        </w:rPr>
        <w:t xml:space="preserve">Percent = </w:t>
      </w:r>
      <w:r w:rsidR="002D30ED" w:rsidRPr="00781112">
        <w:rPr>
          <w:rFonts w:cs="Arial"/>
          <w:color w:val="000000" w:themeColor="text1"/>
          <w:szCs w:val="16"/>
        </w:rPr>
        <w:t xml:space="preserve">[(# </w:t>
      </w:r>
      <w:r w:rsidRPr="00781112">
        <w:rPr>
          <w:rFonts w:cs="Arial"/>
          <w:color w:val="000000" w:themeColor="text1"/>
          <w:szCs w:val="16"/>
        </w:rPr>
        <w:t>of preschool children reported in progress category (c) plus # of preschool children reported in category (d)) divided by (# of preschool children reported in progress category (a) plus # of preschool children reported in progress category (b) plus # of preschool children reported in progress category (c) plus # of preschool children reported in progress category (d</w:t>
      </w:r>
      <w:r w:rsidR="002D30ED" w:rsidRPr="00781112">
        <w:rPr>
          <w:rFonts w:cs="Arial"/>
          <w:color w:val="000000" w:themeColor="text1"/>
          <w:szCs w:val="16"/>
        </w:rPr>
        <w:t xml:space="preserve">))] </w:t>
      </w:r>
      <w:r w:rsidRPr="00781112">
        <w:rPr>
          <w:rFonts w:cs="Arial"/>
          <w:color w:val="000000" w:themeColor="text1"/>
          <w:szCs w:val="16"/>
        </w:rPr>
        <w:t>times 100.</w:t>
      </w:r>
    </w:p>
    <w:p w14:paraId="5A694282" w14:textId="77777777" w:rsidR="008751D3" w:rsidRPr="00781112" w:rsidRDefault="008751D3" w:rsidP="0011074D">
      <w:pPr>
        <w:rPr>
          <w:rFonts w:cs="Arial"/>
          <w:color w:val="000000" w:themeColor="text1"/>
          <w:szCs w:val="16"/>
        </w:rPr>
      </w:pPr>
      <w:r w:rsidRPr="00781112">
        <w:rPr>
          <w:rFonts w:cs="Arial"/>
          <w:b/>
          <w:bCs/>
          <w:color w:val="000000" w:themeColor="text1"/>
          <w:szCs w:val="16"/>
        </w:rPr>
        <w:t>Summary Statement 2:</w:t>
      </w:r>
      <w:r w:rsidRPr="00781112">
        <w:rPr>
          <w:rFonts w:cs="Arial"/>
          <w:color w:val="000000" w:themeColor="text1"/>
          <w:szCs w:val="16"/>
        </w:rPr>
        <w:t> The percent of preschool children who were functioning within age expectations in each Outcome by the time they turned 6 years of age or exited the program.</w:t>
      </w:r>
    </w:p>
    <w:p w14:paraId="34439FE8" w14:textId="2AF97C44" w:rsidR="008751D3" w:rsidRPr="00781112" w:rsidRDefault="008751D3" w:rsidP="0011074D">
      <w:pPr>
        <w:rPr>
          <w:rFonts w:cs="Arial"/>
          <w:color w:val="000000" w:themeColor="text1"/>
          <w:szCs w:val="16"/>
        </w:rPr>
      </w:pPr>
      <w:r w:rsidRPr="00781112">
        <w:rPr>
          <w:rFonts w:cs="Arial"/>
          <w:b/>
          <w:bCs/>
          <w:color w:val="000000" w:themeColor="text1"/>
          <w:szCs w:val="16"/>
        </w:rPr>
        <w:t>Measurement for Summary Statement 2</w:t>
      </w:r>
      <w:r w:rsidRPr="00781112">
        <w:rPr>
          <w:rFonts w:cs="Arial"/>
          <w:bCs/>
          <w:color w:val="000000" w:themeColor="text1"/>
          <w:szCs w:val="16"/>
        </w:rPr>
        <w:t xml:space="preserve">: </w:t>
      </w:r>
      <w:r w:rsidRPr="00781112">
        <w:rPr>
          <w:rFonts w:cs="Arial"/>
          <w:color w:val="000000" w:themeColor="text1"/>
          <w:szCs w:val="16"/>
        </w:rPr>
        <w:t xml:space="preserve">Percent = </w:t>
      </w:r>
      <w:r w:rsidR="002D30ED" w:rsidRPr="00781112">
        <w:rPr>
          <w:rFonts w:cs="Arial"/>
          <w:color w:val="000000" w:themeColor="text1"/>
          <w:szCs w:val="16"/>
        </w:rPr>
        <w:t xml:space="preserve">[(# </w:t>
      </w:r>
      <w:r w:rsidRPr="00781112">
        <w:rPr>
          <w:rFonts w:cs="Arial"/>
          <w:color w:val="000000" w:themeColor="text1"/>
          <w:szCs w:val="16"/>
        </w:rPr>
        <w:t>of preschool children reported in progress category (d) plus # of preschool children reported in progress category (e)) divided by (the total # of preschool children reported in progress categories (a) + (b) + (c) + (d) + (e</w:t>
      </w:r>
      <w:r w:rsidR="002D30ED" w:rsidRPr="00781112">
        <w:rPr>
          <w:rFonts w:cs="Arial"/>
          <w:color w:val="000000" w:themeColor="text1"/>
          <w:szCs w:val="16"/>
        </w:rPr>
        <w:t xml:space="preserve">))] </w:t>
      </w:r>
      <w:r w:rsidRPr="00781112">
        <w:rPr>
          <w:rFonts w:cs="Arial"/>
          <w:color w:val="000000" w:themeColor="text1"/>
          <w:szCs w:val="16"/>
        </w:rPr>
        <w:t>times 100.</w:t>
      </w:r>
    </w:p>
    <w:p w14:paraId="207DF15E" w14:textId="77777777" w:rsidR="008751D3" w:rsidRPr="00781112" w:rsidRDefault="008751D3" w:rsidP="004369B2">
      <w:pPr>
        <w:rPr>
          <w:color w:val="000000" w:themeColor="text1"/>
        </w:rPr>
      </w:pPr>
      <w:r w:rsidRPr="00781112">
        <w:rPr>
          <w:b/>
          <w:color w:val="000000" w:themeColor="text1"/>
        </w:rPr>
        <w:t>Instructions</w:t>
      </w:r>
    </w:p>
    <w:p w14:paraId="7FEF7064" w14:textId="01C35EFD" w:rsidR="008751D3" w:rsidRPr="00781112" w:rsidRDefault="008751D3" w:rsidP="00286BDF">
      <w:pPr>
        <w:rPr>
          <w:rFonts w:cs="Arial"/>
          <w:color w:val="000000" w:themeColor="text1"/>
          <w:szCs w:val="16"/>
        </w:rPr>
      </w:pPr>
      <w:r w:rsidRPr="00781112">
        <w:rPr>
          <w:rFonts w:cs="Arial"/>
          <w:color w:val="000000" w:themeColor="text1"/>
          <w:szCs w:val="16"/>
        </w:rPr>
        <w:t>Sampling of </w:t>
      </w:r>
      <w:r w:rsidRPr="00781112">
        <w:rPr>
          <w:rFonts w:cs="Arial"/>
          <w:b/>
          <w:bCs/>
          <w:color w:val="000000" w:themeColor="text1"/>
          <w:szCs w:val="16"/>
        </w:rPr>
        <w:t>children for assessment</w:t>
      </w:r>
      <w:r w:rsidRPr="00781112">
        <w:rPr>
          <w:rFonts w:cs="Arial"/>
          <w:color w:val="000000" w:themeColor="text1"/>
          <w:szCs w:val="16"/>
        </w:rPr>
        <w:t> is allowed. When sampling is used, submit a description of the sampling methodology outlining how the design will yield valid and reliable estimates. (See </w:t>
      </w:r>
      <w:r w:rsidRPr="00781112">
        <w:rPr>
          <w:rFonts w:cs="Arial"/>
          <w:color w:val="000000" w:themeColor="text1"/>
          <w:szCs w:val="16"/>
          <w:u w:val="single"/>
        </w:rPr>
        <w:t>General Instructions</w:t>
      </w:r>
      <w:r w:rsidRPr="00781112">
        <w:rPr>
          <w:rFonts w:cs="Arial"/>
          <w:color w:val="000000" w:themeColor="text1"/>
          <w:szCs w:val="16"/>
        </w:rPr>
        <w:t xml:space="preserve"> on page </w:t>
      </w:r>
      <w:r w:rsidR="00DD6816">
        <w:rPr>
          <w:rFonts w:cs="Arial"/>
          <w:color w:val="000000" w:themeColor="text1"/>
          <w:szCs w:val="16"/>
        </w:rPr>
        <w:t>3</w:t>
      </w:r>
      <w:r w:rsidRPr="00781112">
        <w:rPr>
          <w:rFonts w:cs="Arial"/>
          <w:color w:val="000000" w:themeColor="text1"/>
          <w:szCs w:val="16"/>
        </w:rPr>
        <w:t xml:space="preserve"> for additional instructions on sampling.)</w:t>
      </w:r>
    </w:p>
    <w:p w14:paraId="1FB7B1C7" w14:textId="77777777" w:rsidR="008751D3" w:rsidRPr="00781112" w:rsidRDefault="008751D3" w:rsidP="00286BDF">
      <w:pPr>
        <w:rPr>
          <w:rFonts w:cs="Arial"/>
          <w:color w:val="000000" w:themeColor="text1"/>
          <w:szCs w:val="16"/>
        </w:rPr>
      </w:pPr>
      <w:r w:rsidRPr="00781112">
        <w:rPr>
          <w:rFonts w:cs="Arial"/>
          <w:color w:val="000000" w:themeColor="text1"/>
          <w:szCs w:val="16"/>
        </w:rPr>
        <w:t>In the measurement include, in the numerator and denominator, only children who received special education and related services for at least six months during the age span of three through five years.</w:t>
      </w:r>
    </w:p>
    <w:p w14:paraId="652BE619" w14:textId="77777777" w:rsidR="008751D3" w:rsidRPr="00781112" w:rsidRDefault="008751D3" w:rsidP="00286BDF">
      <w:pPr>
        <w:rPr>
          <w:rFonts w:cs="Arial"/>
          <w:color w:val="000000" w:themeColor="text1"/>
          <w:szCs w:val="16"/>
        </w:rPr>
      </w:pPr>
      <w:r w:rsidRPr="00781112">
        <w:rPr>
          <w:rFonts w:cs="Arial"/>
          <w:color w:val="000000" w:themeColor="text1"/>
          <w:szCs w:val="16"/>
        </w:rPr>
        <w:t>Describe the results of the calculations and compare the results to the targets. States will use the progress categories for each of the three Outcomes to calculate and report the two Summary Statements. States have provided targets for the two Summary Statements for the three Outcomes (six numbers for targets for each FFY).</w:t>
      </w:r>
    </w:p>
    <w:p w14:paraId="60273FDF" w14:textId="3F1FD106" w:rsidR="008751D3" w:rsidRPr="00781112" w:rsidRDefault="008751D3" w:rsidP="00286BDF">
      <w:pPr>
        <w:rPr>
          <w:rFonts w:cs="Arial"/>
          <w:color w:val="000000" w:themeColor="text1"/>
          <w:szCs w:val="16"/>
        </w:rPr>
      </w:pPr>
      <w:r w:rsidRPr="00781112">
        <w:rPr>
          <w:rFonts w:cs="Arial"/>
          <w:color w:val="000000" w:themeColor="text1"/>
          <w:szCs w:val="16"/>
        </w:rPr>
        <w:t xml:space="preserve">Report progress data and calculate Summary Statements to compare against the six targets. Provide the actual numbers and percentages for the five reporting categories for each of the three </w:t>
      </w:r>
      <w:r w:rsidR="00DD6816">
        <w:rPr>
          <w:rFonts w:cs="Arial"/>
          <w:color w:val="000000" w:themeColor="text1"/>
          <w:szCs w:val="16"/>
        </w:rPr>
        <w:t>O</w:t>
      </w:r>
      <w:r w:rsidRPr="00781112">
        <w:rPr>
          <w:rFonts w:cs="Arial"/>
          <w:color w:val="000000" w:themeColor="text1"/>
          <w:szCs w:val="16"/>
        </w:rPr>
        <w:t>utcomes.</w:t>
      </w:r>
    </w:p>
    <w:p w14:paraId="5CCA3257" w14:textId="77777777" w:rsidR="008751D3" w:rsidRPr="00781112" w:rsidRDefault="008751D3" w:rsidP="00286BDF">
      <w:pPr>
        <w:rPr>
          <w:rFonts w:cs="Arial"/>
          <w:color w:val="000000" w:themeColor="text1"/>
          <w:szCs w:val="16"/>
        </w:rPr>
      </w:pPr>
      <w:r w:rsidRPr="00781112">
        <w:rPr>
          <w:rFonts w:cs="Arial"/>
          <w:color w:val="000000" w:themeColor="text1"/>
          <w:szCs w:val="16"/>
        </w:rPr>
        <w:t>In presenting results, provide the criteria for defining “comparable to same-aged peers.” If a State is using the Early Childhood Outcomes Center (ECO) Child Outcomes Summary (COS), then the criteria for defining “comparable to same-aged peers” has been defined as a child who has been assigned a score of 6 or 7 on the COS.</w:t>
      </w:r>
    </w:p>
    <w:p w14:paraId="53FA15C3" w14:textId="77777777" w:rsidR="008751D3" w:rsidRPr="00781112" w:rsidRDefault="008751D3" w:rsidP="00286BDF">
      <w:pPr>
        <w:rPr>
          <w:rFonts w:cs="Arial"/>
          <w:color w:val="000000" w:themeColor="text1"/>
          <w:szCs w:val="16"/>
        </w:rPr>
      </w:pPr>
      <w:r w:rsidRPr="00781112">
        <w:rPr>
          <w:rFonts w:cs="Arial"/>
          <w:color w:val="000000" w:themeColor="text1"/>
          <w:szCs w:val="16"/>
        </w:rPr>
        <w:t>In addition, list the instruments and procedures used to gather data for this indicator, including if the State is using the ECO COS.</w:t>
      </w:r>
    </w:p>
    <w:bookmarkEnd w:id="48"/>
    <w:p w14:paraId="55101798" w14:textId="340B2E8D" w:rsidR="00DF6E30" w:rsidRPr="00781112" w:rsidRDefault="00C96236" w:rsidP="008645AD">
      <w:pPr>
        <w:pStyle w:val="Heading2"/>
      </w:pPr>
      <w:r w:rsidRPr="00781112">
        <w:t>7</w:t>
      </w:r>
      <w:r w:rsidR="00444A9D" w:rsidRPr="00781112">
        <w:t xml:space="preserve"> </w:t>
      </w:r>
      <w:r w:rsidRPr="00781112">
        <w:t xml:space="preserve">- </w:t>
      </w:r>
      <w:r w:rsidR="00DF6E30" w:rsidRPr="00781112">
        <w:t>Indicator Data</w:t>
      </w:r>
    </w:p>
    <w:p w14:paraId="5AA4EA63" w14:textId="77777777" w:rsidR="0091098C" w:rsidRPr="00781112" w:rsidRDefault="0091098C" w:rsidP="004369B2">
      <w:pPr>
        <w:rPr>
          <w:color w:val="000000" w:themeColor="text1"/>
        </w:rPr>
      </w:pPr>
      <w:r w:rsidRPr="00781112">
        <w:rPr>
          <w:b/>
          <w:color w:val="000000" w:themeColor="text1"/>
        </w:rPr>
        <w:t>Not Applicable</w:t>
      </w:r>
    </w:p>
    <w:p w14:paraId="284C9B1A" w14:textId="32C218D6" w:rsidR="002D30ED" w:rsidRPr="00781112" w:rsidRDefault="00E54DDA">
      <w:pPr>
        <w:rPr>
          <w:b/>
          <w:color w:val="000000" w:themeColor="text1"/>
        </w:rPr>
      </w:pPr>
      <w:r w:rsidRPr="00781112">
        <w:rPr>
          <w:b/>
          <w:color w:val="000000" w:themeColor="text1"/>
        </w:rPr>
        <w:t>Select yes if this indicator is not applicable.</w:t>
      </w:r>
    </w:p>
    <w:p w14:paraId="400C4A0C" w14:textId="693F71F3" w:rsidR="00043AC9" w:rsidRPr="00781112" w:rsidRDefault="00043AC9" w:rsidP="004369B2">
      <w:pPr>
        <w:rPr>
          <w:rFonts w:cs="Arial"/>
          <w:color w:val="000000" w:themeColor="text1"/>
          <w:szCs w:val="16"/>
        </w:rPr>
      </w:pPr>
      <w:r w:rsidRPr="00781112">
        <w:rPr>
          <w:rFonts w:cs="Arial"/>
          <w:color w:val="000000" w:themeColor="text1"/>
          <w:szCs w:val="16"/>
        </w:rPr>
        <w:t>NO</w:t>
      </w:r>
    </w:p>
    <w:p w14:paraId="2D4ABD95" w14:textId="015EAF2F" w:rsidR="002D30ED" w:rsidRPr="00781112" w:rsidRDefault="002D30ED">
      <w:pPr>
        <w:rPr>
          <w:color w:val="000000" w:themeColor="text1"/>
        </w:rPr>
      </w:pPr>
    </w:p>
    <w:p w14:paraId="50CA9D39" w14:textId="3128BDB0" w:rsidR="00CC634E" w:rsidRPr="00781112" w:rsidRDefault="00CC634E" w:rsidP="004369B2">
      <w:pPr>
        <w:rPr>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7HISTDATA"/>
      </w:tblPr>
      <w:tblGrid>
        <w:gridCol w:w="536"/>
        <w:gridCol w:w="944"/>
        <w:gridCol w:w="944"/>
        <w:gridCol w:w="1673"/>
        <w:gridCol w:w="1673"/>
        <w:gridCol w:w="1673"/>
        <w:gridCol w:w="1672"/>
        <w:gridCol w:w="1675"/>
      </w:tblGrid>
      <w:tr w:rsidR="005F0D3B" w:rsidRPr="00781112" w14:paraId="67761B76" w14:textId="2BE890F9" w:rsidTr="009023AD">
        <w:trPr>
          <w:trHeight w:val="395"/>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7FE7D96" w14:textId="48B4F674" w:rsidR="00FA72A0" w:rsidRPr="00781112" w:rsidRDefault="00E104F3" w:rsidP="00FA72A0">
            <w:pPr>
              <w:spacing w:before="0" w:after="0" w:line="276" w:lineRule="auto"/>
              <w:jc w:val="center"/>
              <w:rPr>
                <w:rFonts w:cs="Arial"/>
                <w:b/>
                <w:color w:val="000000" w:themeColor="text1"/>
                <w:szCs w:val="16"/>
              </w:rPr>
            </w:pPr>
            <w:r w:rsidRPr="00781112">
              <w:rPr>
                <w:rFonts w:cs="Arial"/>
                <w:b/>
                <w:color w:val="000000" w:themeColor="text1"/>
                <w:szCs w:val="16"/>
              </w:rPr>
              <w:lastRenderedPageBreak/>
              <w:t>Part</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492489DB" w14:textId="6B491234" w:rsidR="00FA72A0" w:rsidRPr="00781112" w:rsidRDefault="00FA72A0" w:rsidP="00FA72A0">
            <w:pPr>
              <w:spacing w:before="0" w:after="0" w:line="276" w:lineRule="auto"/>
              <w:jc w:val="center"/>
              <w:rPr>
                <w:rFonts w:cs="Arial"/>
                <w:b/>
                <w:color w:val="000000" w:themeColor="text1"/>
                <w:szCs w:val="16"/>
              </w:rPr>
            </w:pPr>
            <w:r w:rsidRPr="00781112">
              <w:rPr>
                <w:rFonts w:cs="Arial"/>
                <w:b/>
                <w:color w:val="000000" w:themeColor="text1"/>
                <w:szCs w:val="16"/>
              </w:rPr>
              <w:t>Baseline</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19C97066" w14:textId="77777777" w:rsidR="00FA72A0" w:rsidRPr="00781112" w:rsidRDefault="00FA72A0" w:rsidP="00FA72A0">
            <w:pPr>
              <w:spacing w:before="0" w:after="0" w:line="276" w:lineRule="auto"/>
              <w:jc w:val="center"/>
              <w:rPr>
                <w:rFonts w:cs="Arial"/>
                <w:b/>
                <w:color w:val="000000" w:themeColor="text1"/>
                <w:szCs w:val="16"/>
              </w:rPr>
            </w:pPr>
            <w:r w:rsidRPr="00781112">
              <w:rPr>
                <w:rFonts w:cs="Arial"/>
                <w:b/>
                <w:color w:val="000000" w:themeColor="text1"/>
                <w:szCs w:val="16"/>
              </w:rPr>
              <w:t>FFY</w:t>
            </w:r>
          </w:p>
        </w:tc>
        <w:tc>
          <w:tcPr>
            <w:tcW w:w="775" w:type="pct"/>
            <w:tcBorders>
              <w:top w:val="single" w:sz="4" w:space="0" w:color="auto"/>
              <w:left w:val="single" w:sz="4" w:space="0" w:color="auto"/>
              <w:bottom w:val="single" w:sz="4" w:space="0" w:color="auto"/>
              <w:right w:val="single" w:sz="4" w:space="0" w:color="auto"/>
            </w:tcBorders>
            <w:shd w:val="clear" w:color="auto" w:fill="auto"/>
            <w:hideMark/>
          </w:tcPr>
          <w:p w14:paraId="5FE9CABA" w14:textId="781A1A3B"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2017</w:t>
            </w:r>
          </w:p>
        </w:tc>
        <w:tc>
          <w:tcPr>
            <w:tcW w:w="775" w:type="pct"/>
            <w:tcBorders>
              <w:top w:val="single" w:sz="4" w:space="0" w:color="auto"/>
              <w:left w:val="single" w:sz="4" w:space="0" w:color="auto"/>
              <w:bottom w:val="single" w:sz="4" w:space="0" w:color="auto"/>
              <w:right w:val="single" w:sz="4" w:space="0" w:color="auto"/>
            </w:tcBorders>
            <w:shd w:val="clear" w:color="auto" w:fill="auto"/>
            <w:hideMark/>
          </w:tcPr>
          <w:p w14:paraId="27131AF6" w14:textId="0E6C2E5A"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2018</w:t>
            </w:r>
          </w:p>
        </w:tc>
        <w:tc>
          <w:tcPr>
            <w:tcW w:w="775" w:type="pct"/>
            <w:tcBorders>
              <w:top w:val="single" w:sz="4" w:space="0" w:color="auto"/>
              <w:left w:val="single" w:sz="4" w:space="0" w:color="auto"/>
              <w:bottom w:val="single" w:sz="4" w:space="0" w:color="auto"/>
              <w:right w:val="single" w:sz="4" w:space="0" w:color="auto"/>
            </w:tcBorders>
            <w:shd w:val="clear" w:color="auto" w:fill="auto"/>
          </w:tcPr>
          <w:p w14:paraId="22FE1D98" w14:textId="03E0AC83"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2019</w:t>
            </w:r>
          </w:p>
        </w:tc>
        <w:tc>
          <w:tcPr>
            <w:tcW w:w="775" w:type="pct"/>
            <w:tcBorders>
              <w:top w:val="single" w:sz="4" w:space="0" w:color="auto"/>
              <w:left w:val="single" w:sz="4" w:space="0" w:color="auto"/>
              <w:bottom w:val="single" w:sz="4" w:space="0" w:color="auto"/>
              <w:right w:val="single" w:sz="4" w:space="0" w:color="auto"/>
            </w:tcBorders>
            <w:shd w:val="clear" w:color="auto" w:fill="auto"/>
            <w:hideMark/>
          </w:tcPr>
          <w:p w14:paraId="09C21BFA" w14:textId="46B34AA6"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2020</w:t>
            </w:r>
          </w:p>
        </w:tc>
        <w:tc>
          <w:tcPr>
            <w:tcW w:w="776" w:type="pct"/>
            <w:tcBorders>
              <w:top w:val="single" w:sz="4" w:space="0" w:color="auto"/>
              <w:left w:val="single" w:sz="4" w:space="0" w:color="auto"/>
              <w:bottom w:val="single" w:sz="4" w:space="0" w:color="auto"/>
              <w:right w:val="single" w:sz="4" w:space="0" w:color="auto"/>
            </w:tcBorders>
            <w:shd w:val="clear" w:color="auto" w:fill="auto"/>
            <w:hideMark/>
          </w:tcPr>
          <w:p w14:paraId="76B7EB6E" w14:textId="46F53E4B"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2021</w:t>
            </w:r>
          </w:p>
        </w:tc>
      </w:tr>
      <w:tr w:rsidR="005F0D3B" w:rsidRPr="00781112" w14:paraId="6B7CE9C8" w14:textId="0609FA3D" w:rsidTr="009023AD">
        <w:trPr>
          <w:trHeight w:val="70"/>
        </w:trPr>
        <w:tc>
          <w:tcPr>
            <w:tcW w:w="248" w:type="pct"/>
            <w:tcBorders>
              <w:top w:val="single" w:sz="4" w:space="0" w:color="auto"/>
              <w:left w:val="single" w:sz="4" w:space="0" w:color="auto"/>
              <w:right w:val="single" w:sz="4" w:space="0" w:color="auto"/>
            </w:tcBorders>
            <w:shd w:val="clear" w:color="auto" w:fill="auto"/>
            <w:vAlign w:val="center"/>
          </w:tcPr>
          <w:p w14:paraId="390860C6" w14:textId="77777777" w:rsidR="00CF6742" w:rsidRPr="00781112" w:rsidRDefault="00CF6742">
            <w:pPr>
              <w:spacing w:before="0" w:after="0" w:line="276" w:lineRule="auto"/>
              <w:jc w:val="center"/>
              <w:rPr>
                <w:rFonts w:cs="Arial"/>
                <w:color w:val="000000" w:themeColor="text1"/>
                <w:szCs w:val="16"/>
              </w:rPr>
            </w:pPr>
            <w:r w:rsidRPr="00781112">
              <w:rPr>
                <w:rFonts w:cs="Arial"/>
                <w:color w:val="000000" w:themeColor="text1"/>
                <w:szCs w:val="16"/>
              </w:rPr>
              <w:t>A1</w:t>
            </w:r>
          </w:p>
        </w:tc>
        <w:tc>
          <w:tcPr>
            <w:tcW w:w="437" w:type="pct"/>
            <w:tcBorders>
              <w:top w:val="single" w:sz="4" w:space="0" w:color="auto"/>
              <w:left w:val="single" w:sz="4" w:space="0" w:color="auto"/>
              <w:right w:val="single" w:sz="4" w:space="0" w:color="auto"/>
            </w:tcBorders>
            <w:shd w:val="clear" w:color="auto" w:fill="auto"/>
            <w:vAlign w:val="center"/>
          </w:tcPr>
          <w:p w14:paraId="11755CC8" w14:textId="0D3DAA4A" w:rsidR="00CF6742" w:rsidRPr="00781112" w:rsidRDefault="002B7490" w:rsidP="00A018D4">
            <w:pPr>
              <w:jc w:val="center"/>
              <w:rPr>
                <w:rFonts w:cs="Arial"/>
                <w:color w:val="000000" w:themeColor="text1"/>
                <w:szCs w:val="16"/>
              </w:rPr>
            </w:pPr>
            <w:r w:rsidRPr="00781112">
              <w:rPr>
                <w:rFonts w:cs="Arial"/>
                <w:color w:val="000000" w:themeColor="text1"/>
                <w:szCs w:val="16"/>
              </w:rPr>
              <w:t>2020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517C1" w14:textId="06B8B15D" w:rsidR="00CF6742" w:rsidRPr="00781112" w:rsidRDefault="00CF6742" w:rsidP="00BA3DBE">
            <w:pPr>
              <w:spacing w:before="0" w:after="0" w:line="276" w:lineRule="auto"/>
              <w:jc w:val="center"/>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D1D42AB" w14:textId="2A4E5CB4" w:rsidR="00CF6742" w:rsidRPr="00781112" w:rsidRDefault="002B7490" w:rsidP="00A018D4">
            <w:pPr>
              <w:jc w:val="center"/>
              <w:rPr>
                <w:rFonts w:cs="Arial"/>
                <w:color w:val="000000" w:themeColor="text1"/>
                <w:szCs w:val="16"/>
              </w:rPr>
            </w:pPr>
            <w:r w:rsidRPr="00781112">
              <w:rPr>
                <w:rFonts w:cs="Arial"/>
                <w:color w:val="000000" w:themeColor="text1"/>
                <w:szCs w:val="16"/>
              </w:rPr>
              <w:t>77.73%</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693881D" w14:textId="33AA4D0C" w:rsidR="00CF6742" w:rsidRPr="00781112" w:rsidRDefault="002B7490" w:rsidP="00A018D4">
            <w:pPr>
              <w:jc w:val="center"/>
              <w:rPr>
                <w:rFonts w:cs="Arial"/>
                <w:color w:val="000000" w:themeColor="text1"/>
                <w:szCs w:val="16"/>
              </w:rPr>
            </w:pPr>
            <w:r w:rsidRPr="00781112">
              <w:rPr>
                <w:rFonts w:cs="Arial"/>
                <w:color w:val="000000" w:themeColor="text1"/>
                <w:szCs w:val="16"/>
              </w:rPr>
              <w:t>77.80%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4D9B341" w14:textId="54BEF16A" w:rsidR="00CF6742" w:rsidRPr="00781112" w:rsidRDefault="002B7490" w:rsidP="00A018D4">
            <w:pPr>
              <w:jc w:val="center"/>
              <w:rPr>
                <w:rFonts w:cs="Arial"/>
                <w:color w:val="000000" w:themeColor="text1"/>
                <w:szCs w:val="16"/>
              </w:rPr>
            </w:pPr>
            <w:r w:rsidRPr="00781112">
              <w:rPr>
                <w:rFonts w:cs="Arial"/>
                <w:color w:val="000000" w:themeColor="text1"/>
                <w:szCs w:val="16"/>
              </w:rPr>
              <w:t>77.80%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EBE7BAF" w14:textId="70BEE6C5" w:rsidR="00CF6742" w:rsidRPr="00781112" w:rsidRDefault="002B7490" w:rsidP="00A018D4">
            <w:pPr>
              <w:jc w:val="center"/>
              <w:rPr>
                <w:rFonts w:cs="Arial"/>
                <w:color w:val="000000" w:themeColor="text1"/>
                <w:szCs w:val="16"/>
              </w:rPr>
            </w:pPr>
            <w:r w:rsidRPr="00781112">
              <w:rPr>
                <w:rFonts w:cs="Arial"/>
                <w:color w:val="000000" w:themeColor="text1"/>
                <w:szCs w:val="16"/>
              </w:rPr>
              <w:t>69.01%</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C9BD5D1" w14:textId="20C3AA4E" w:rsidR="00CF6742" w:rsidRPr="00781112" w:rsidRDefault="002B7490" w:rsidP="00A018D4">
            <w:pPr>
              <w:jc w:val="center"/>
              <w:rPr>
                <w:rFonts w:cs="Arial"/>
                <w:color w:val="000000" w:themeColor="text1"/>
                <w:szCs w:val="16"/>
              </w:rPr>
            </w:pPr>
            <w:r w:rsidRPr="00781112">
              <w:rPr>
                <w:rFonts w:cs="Arial"/>
                <w:color w:val="000000" w:themeColor="text1"/>
                <w:szCs w:val="16"/>
              </w:rPr>
              <w:t>69.51%</w:t>
            </w:r>
          </w:p>
        </w:tc>
      </w:tr>
      <w:tr w:rsidR="005F0D3B" w:rsidRPr="00781112" w14:paraId="1273980B" w14:textId="53318F32" w:rsidTr="009023AD">
        <w:trPr>
          <w:trHeight w:val="70"/>
        </w:trPr>
        <w:tc>
          <w:tcPr>
            <w:tcW w:w="248" w:type="pct"/>
            <w:tcBorders>
              <w:left w:val="single" w:sz="4" w:space="0" w:color="auto"/>
              <w:right w:val="single" w:sz="4" w:space="0" w:color="auto"/>
            </w:tcBorders>
            <w:shd w:val="clear" w:color="auto" w:fill="auto"/>
            <w:vAlign w:val="center"/>
          </w:tcPr>
          <w:p w14:paraId="32218C67" w14:textId="38A3EC13" w:rsidR="00CF6742"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A1</w:t>
            </w:r>
          </w:p>
        </w:tc>
        <w:tc>
          <w:tcPr>
            <w:tcW w:w="437" w:type="pct"/>
            <w:tcBorders>
              <w:left w:val="single" w:sz="4" w:space="0" w:color="auto"/>
              <w:right w:val="single" w:sz="4" w:space="0" w:color="auto"/>
            </w:tcBorders>
            <w:shd w:val="clear" w:color="auto" w:fill="auto"/>
            <w:vAlign w:val="center"/>
          </w:tcPr>
          <w:p w14:paraId="4C1410E0" w14:textId="3EB7FCEC" w:rsidR="00CF6742" w:rsidRPr="00781112" w:rsidRDefault="002B7490" w:rsidP="00A018D4">
            <w:pPr>
              <w:jc w:val="center"/>
              <w:rPr>
                <w:rFonts w:cs="Arial"/>
                <w:color w:val="000000" w:themeColor="text1"/>
                <w:szCs w:val="16"/>
              </w:rPr>
            </w:pPr>
            <w:r w:rsidRPr="00781112">
              <w:rPr>
                <w:rFonts w:cs="Arial"/>
                <w:color w:val="000000" w:themeColor="text1"/>
                <w:szCs w:val="16"/>
              </w:rPr>
              <w:t>69.01%</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D849D3" w14:textId="77777777" w:rsidR="00CF6742" w:rsidRPr="00781112" w:rsidRDefault="00CF6742" w:rsidP="00BA3DBE">
            <w:pPr>
              <w:spacing w:before="0" w:after="0" w:line="276" w:lineRule="auto"/>
              <w:jc w:val="center"/>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C95056F" w14:textId="336EBB2F" w:rsidR="00CF6742" w:rsidRPr="00781112" w:rsidRDefault="002B7490" w:rsidP="00A018D4">
            <w:pPr>
              <w:jc w:val="center"/>
              <w:rPr>
                <w:rFonts w:cs="Arial"/>
                <w:color w:val="000000" w:themeColor="text1"/>
                <w:szCs w:val="16"/>
              </w:rPr>
            </w:pPr>
            <w:r w:rsidRPr="00781112">
              <w:rPr>
                <w:rFonts w:cs="Arial"/>
                <w:color w:val="000000" w:themeColor="text1"/>
                <w:szCs w:val="16"/>
              </w:rPr>
              <w:t>78.16%</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BFE4EBC" w14:textId="3A0FBE8F" w:rsidR="00CF6742" w:rsidRPr="00781112" w:rsidRDefault="002B7490" w:rsidP="00A018D4">
            <w:pPr>
              <w:jc w:val="center"/>
              <w:rPr>
                <w:rFonts w:cs="Arial"/>
                <w:color w:val="000000" w:themeColor="text1"/>
                <w:szCs w:val="16"/>
              </w:rPr>
            </w:pPr>
            <w:r w:rsidRPr="00781112">
              <w:rPr>
                <w:rFonts w:cs="Arial"/>
                <w:color w:val="000000" w:themeColor="text1"/>
                <w:szCs w:val="16"/>
              </w:rPr>
              <w:t>72.82%</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61F7337" w14:textId="090E4E8B" w:rsidR="00CF6742" w:rsidRPr="00781112" w:rsidRDefault="002B7490" w:rsidP="00A018D4">
            <w:pPr>
              <w:jc w:val="center"/>
              <w:rPr>
                <w:rFonts w:cs="Arial"/>
                <w:color w:val="000000" w:themeColor="text1"/>
                <w:szCs w:val="16"/>
              </w:rPr>
            </w:pPr>
            <w:r w:rsidRPr="00781112">
              <w:rPr>
                <w:rFonts w:cs="Arial"/>
                <w:color w:val="000000" w:themeColor="text1"/>
                <w:szCs w:val="16"/>
              </w:rPr>
              <w:t>71.78%</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F93D48E" w14:textId="04E7CEC4" w:rsidR="00CF6742" w:rsidRPr="00781112" w:rsidRDefault="002B7490" w:rsidP="00A018D4">
            <w:pPr>
              <w:jc w:val="center"/>
              <w:rPr>
                <w:rFonts w:cs="Arial"/>
                <w:color w:val="000000" w:themeColor="text1"/>
                <w:szCs w:val="16"/>
              </w:rPr>
            </w:pPr>
            <w:r w:rsidRPr="00781112">
              <w:rPr>
                <w:rFonts w:cs="Arial"/>
                <w:color w:val="000000" w:themeColor="text1"/>
                <w:szCs w:val="16"/>
              </w:rPr>
              <w:t>69.01%</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54E21AE" w14:textId="4BF3E562" w:rsidR="00CF6742" w:rsidRPr="00781112" w:rsidRDefault="002B7490" w:rsidP="00A018D4">
            <w:pPr>
              <w:jc w:val="center"/>
              <w:rPr>
                <w:rFonts w:cs="Arial"/>
                <w:color w:val="000000" w:themeColor="text1"/>
                <w:szCs w:val="16"/>
              </w:rPr>
            </w:pPr>
            <w:r w:rsidRPr="00781112">
              <w:rPr>
                <w:rFonts w:cs="Arial"/>
                <w:color w:val="000000" w:themeColor="text1"/>
                <w:szCs w:val="16"/>
              </w:rPr>
              <w:t>75.02%</w:t>
            </w:r>
          </w:p>
        </w:tc>
      </w:tr>
      <w:tr w:rsidR="005F0D3B" w:rsidRPr="00781112" w14:paraId="0B3AB2AF" w14:textId="0ED8043B" w:rsidTr="009023AD">
        <w:trPr>
          <w:trHeight w:val="70"/>
        </w:trPr>
        <w:tc>
          <w:tcPr>
            <w:tcW w:w="248" w:type="pct"/>
            <w:tcBorders>
              <w:top w:val="single" w:sz="4" w:space="0" w:color="auto"/>
              <w:left w:val="single" w:sz="4" w:space="0" w:color="auto"/>
              <w:right w:val="single" w:sz="4" w:space="0" w:color="auto"/>
            </w:tcBorders>
            <w:shd w:val="clear" w:color="auto" w:fill="auto"/>
            <w:vAlign w:val="center"/>
          </w:tcPr>
          <w:p w14:paraId="779C8614" w14:textId="77777777" w:rsidR="00CF6742" w:rsidRPr="00781112" w:rsidRDefault="00CF6742">
            <w:pPr>
              <w:spacing w:before="0" w:after="0" w:line="276" w:lineRule="auto"/>
              <w:jc w:val="center"/>
              <w:rPr>
                <w:rFonts w:cs="Arial"/>
                <w:color w:val="000000" w:themeColor="text1"/>
                <w:szCs w:val="16"/>
              </w:rPr>
            </w:pPr>
            <w:r w:rsidRPr="00781112">
              <w:rPr>
                <w:rFonts w:cs="Arial"/>
                <w:color w:val="000000" w:themeColor="text1"/>
                <w:szCs w:val="16"/>
              </w:rPr>
              <w:t>A2</w:t>
            </w:r>
          </w:p>
        </w:tc>
        <w:tc>
          <w:tcPr>
            <w:tcW w:w="437" w:type="pct"/>
            <w:tcBorders>
              <w:top w:val="single" w:sz="4" w:space="0" w:color="auto"/>
              <w:left w:val="single" w:sz="4" w:space="0" w:color="auto"/>
              <w:right w:val="single" w:sz="4" w:space="0" w:color="auto"/>
            </w:tcBorders>
            <w:shd w:val="clear" w:color="auto" w:fill="auto"/>
            <w:vAlign w:val="center"/>
          </w:tcPr>
          <w:p w14:paraId="4AD0B449" w14:textId="16D6804E" w:rsidR="00CF6742" w:rsidRPr="00781112" w:rsidRDefault="002B7490" w:rsidP="00A018D4">
            <w:pPr>
              <w:jc w:val="center"/>
              <w:rPr>
                <w:rFonts w:cs="Arial"/>
                <w:color w:val="000000" w:themeColor="text1"/>
                <w:szCs w:val="16"/>
              </w:rPr>
            </w:pPr>
            <w:r w:rsidRPr="00781112">
              <w:rPr>
                <w:rFonts w:cs="Arial"/>
                <w:color w:val="000000" w:themeColor="text1"/>
                <w:szCs w:val="16"/>
              </w:rPr>
              <w:t>2020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A13AA6" w14:textId="7F510C2D" w:rsidR="00CF6742" w:rsidRPr="00781112" w:rsidRDefault="00CF6742" w:rsidP="00BA3DBE">
            <w:pPr>
              <w:spacing w:before="0" w:after="0" w:line="276" w:lineRule="auto"/>
              <w:jc w:val="center"/>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B53BBE3" w14:textId="7A5F9A90" w:rsidR="00CF6742" w:rsidRPr="00781112" w:rsidRDefault="002B7490" w:rsidP="00A018D4">
            <w:pPr>
              <w:jc w:val="center"/>
              <w:rPr>
                <w:rFonts w:cs="Arial"/>
                <w:color w:val="000000" w:themeColor="text1"/>
                <w:szCs w:val="16"/>
              </w:rPr>
            </w:pPr>
            <w:r w:rsidRPr="00781112">
              <w:rPr>
                <w:rFonts w:cs="Arial"/>
                <w:color w:val="000000" w:themeColor="text1"/>
                <w:szCs w:val="16"/>
              </w:rPr>
              <w:t>54.43%</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65BB52D" w14:textId="145AACFA" w:rsidR="00CF6742" w:rsidRPr="00781112" w:rsidRDefault="002B7490" w:rsidP="00A018D4">
            <w:pPr>
              <w:jc w:val="center"/>
              <w:rPr>
                <w:rFonts w:cs="Arial"/>
                <w:color w:val="000000" w:themeColor="text1"/>
                <w:szCs w:val="16"/>
              </w:rPr>
            </w:pPr>
            <w:r w:rsidRPr="00781112">
              <w:rPr>
                <w:rFonts w:cs="Arial"/>
                <w:color w:val="000000" w:themeColor="text1"/>
                <w:szCs w:val="16"/>
              </w:rPr>
              <w:t>54.50%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74264A7" w14:textId="7EF45616" w:rsidR="00CF6742" w:rsidRPr="00781112" w:rsidRDefault="002B7490" w:rsidP="00A018D4">
            <w:pPr>
              <w:jc w:val="center"/>
              <w:rPr>
                <w:rFonts w:cs="Arial"/>
                <w:color w:val="000000" w:themeColor="text1"/>
                <w:szCs w:val="16"/>
              </w:rPr>
            </w:pPr>
            <w:r w:rsidRPr="00781112">
              <w:rPr>
                <w:rFonts w:cs="Arial"/>
                <w:color w:val="000000" w:themeColor="text1"/>
                <w:szCs w:val="16"/>
              </w:rPr>
              <w:t>54.50%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91C2453" w14:textId="435017A5" w:rsidR="00CF6742" w:rsidRPr="00781112" w:rsidRDefault="002B7490" w:rsidP="00A018D4">
            <w:pPr>
              <w:jc w:val="center"/>
              <w:rPr>
                <w:rFonts w:cs="Arial"/>
                <w:color w:val="000000" w:themeColor="text1"/>
                <w:szCs w:val="16"/>
              </w:rPr>
            </w:pPr>
            <w:r w:rsidRPr="00781112">
              <w:rPr>
                <w:rFonts w:cs="Arial"/>
                <w:color w:val="000000" w:themeColor="text1"/>
                <w:szCs w:val="16"/>
              </w:rPr>
              <w:t>41.92%</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7AA4CD6" w14:textId="54A13C0B" w:rsidR="00CF6742" w:rsidRPr="00781112" w:rsidRDefault="002B7490" w:rsidP="00A018D4">
            <w:pPr>
              <w:jc w:val="center"/>
              <w:rPr>
                <w:rFonts w:cs="Arial"/>
                <w:color w:val="000000" w:themeColor="text1"/>
                <w:szCs w:val="16"/>
              </w:rPr>
            </w:pPr>
            <w:r w:rsidRPr="00781112">
              <w:rPr>
                <w:rFonts w:cs="Arial"/>
                <w:color w:val="000000" w:themeColor="text1"/>
                <w:szCs w:val="16"/>
              </w:rPr>
              <w:t>42.42%</w:t>
            </w:r>
          </w:p>
        </w:tc>
      </w:tr>
      <w:tr w:rsidR="005F0D3B" w:rsidRPr="00781112" w14:paraId="1D11B386" w14:textId="42BD85F0" w:rsidTr="009023AD">
        <w:trPr>
          <w:trHeight w:val="85"/>
        </w:trPr>
        <w:tc>
          <w:tcPr>
            <w:tcW w:w="248" w:type="pct"/>
            <w:tcBorders>
              <w:left w:val="single" w:sz="4" w:space="0" w:color="auto"/>
              <w:right w:val="single" w:sz="4" w:space="0" w:color="auto"/>
            </w:tcBorders>
            <w:shd w:val="clear" w:color="auto" w:fill="auto"/>
            <w:vAlign w:val="center"/>
          </w:tcPr>
          <w:p w14:paraId="65E595DA" w14:textId="7544B3DB" w:rsidR="00CF6742"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A2</w:t>
            </w:r>
          </w:p>
        </w:tc>
        <w:tc>
          <w:tcPr>
            <w:tcW w:w="437" w:type="pct"/>
            <w:tcBorders>
              <w:left w:val="single" w:sz="4" w:space="0" w:color="auto"/>
              <w:right w:val="single" w:sz="4" w:space="0" w:color="auto"/>
            </w:tcBorders>
            <w:shd w:val="clear" w:color="auto" w:fill="auto"/>
            <w:vAlign w:val="center"/>
          </w:tcPr>
          <w:p w14:paraId="33B2AFD7" w14:textId="45496AC0" w:rsidR="00CF6742" w:rsidRPr="00781112" w:rsidRDefault="002B7490" w:rsidP="00A018D4">
            <w:pPr>
              <w:jc w:val="center"/>
              <w:rPr>
                <w:rFonts w:cs="Arial"/>
                <w:color w:val="000000" w:themeColor="text1"/>
                <w:szCs w:val="16"/>
              </w:rPr>
            </w:pPr>
            <w:r w:rsidRPr="00781112">
              <w:rPr>
                <w:rFonts w:cs="Arial"/>
                <w:color w:val="000000" w:themeColor="text1"/>
                <w:szCs w:val="16"/>
              </w:rPr>
              <w:t>41.92%</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10ABFC" w14:textId="77777777" w:rsidR="00CF6742" w:rsidRPr="00781112" w:rsidRDefault="00CF6742" w:rsidP="00BA3DBE">
            <w:pPr>
              <w:spacing w:before="0" w:after="0" w:line="276" w:lineRule="auto"/>
              <w:jc w:val="center"/>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FA2DD6E" w14:textId="36DC7586" w:rsidR="00CF6742" w:rsidRPr="00781112" w:rsidRDefault="002B7490" w:rsidP="00A018D4">
            <w:pPr>
              <w:jc w:val="center"/>
              <w:rPr>
                <w:rFonts w:cs="Arial"/>
                <w:color w:val="000000" w:themeColor="text1"/>
                <w:szCs w:val="16"/>
              </w:rPr>
            </w:pPr>
            <w:r w:rsidRPr="00781112">
              <w:rPr>
                <w:rFonts w:cs="Arial"/>
                <w:color w:val="000000" w:themeColor="text1"/>
                <w:szCs w:val="16"/>
              </w:rPr>
              <w:t>49.82%</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6159A9A" w14:textId="560797EF" w:rsidR="00CF6742" w:rsidRPr="00781112" w:rsidRDefault="002B7490" w:rsidP="00A018D4">
            <w:pPr>
              <w:jc w:val="center"/>
              <w:rPr>
                <w:rFonts w:cs="Arial"/>
                <w:color w:val="000000" w:themeColor="text1"/>
                <w:szCs w:val="16"/>
              </w:rPr>
            </w:pPr>
            <w:r w:rsidRPr="00781112">
              <w:rPr>
                <w:rFonts w:cs="Arial"/>
                <w:color w:val="000000" w:themeColor="text1"/>
                <w:szCs w:val="16"/>
              </w:rPr>
              <w:t>45.17%</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5D8F762" w14:textId="7C5C8489" w:rsidR="00CF6742" w:rsidRPr="00781112" w:rsidRDefault="002B7490" w:rsidP="00A018D4">
            <w:pPr>
              <w:jc w:val="center"/>
              <w:rPr>
                <w:rFonts w:cs="Arial"/>
                <w:color w:val="000000" w:themeColor="text1"/>
                <w:szCs w:val="16"/>
              </w:rPr>
            </w:pPr>
            <w:r w:rsidRPr="00781112">
              <w:rPr>
                <w:rFonts w:cs="Arial"/>
                <w:color w:val="000000" w:themeColor="text1"/>
                <w:szCs w:val="16"/>
              </w:rPr>
              <w:t>44.34%</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F976AF4" w14:textId="04557E60" w:rsidR="00CF6742" w:rsidRPr="00781112" w:rsidRDefault="002B7490" w:rsidP="00A018D4">
            <w:pPr>
              <w:jc w:val="center"/>
              <w:rPr>
                <w:rFonts w:cs="Arial"/>
                <w:color w:val="000000" w:themeColor="text1"/>
                <w:szCs w:val="16"/>
              </w:rPr>
            </w:pPr>
            <w:r w:rsidRPr="00781112">
              <w:rPr>
                <w:rFonts w:cs="Arial"/>
                <w:color w:val="000000" w:themeColor="text1"/>
                <w:szCs w:val="16"/>
              </w:rPr>
              <w:t>41.92%</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EEEF23F" w14:textId="5EDDCD10" w:rsidR="00CF6742" w:rsidRPr="00781112" w:rsidRDefault="002B7490" w:rsidP="00A018D4">
            <w:pPr>
              <w:jc w:val="center"/>
              <w:rPr>
                <w:rFonts w:cs="Arial"/>
                <w:color w:val="000000" w:themeColor="text1"/>
                <w:szCs w:val="16"/>
              </w:rPr>
            </w:pPr>
            <w:r w:rsidRPr="00781112">
              <w:rPr>
                <w:rFonts w:cs="Arial"/>
                <w:color w:val="000000" w:themeColor="text1"/>
                <w:szCs w:val="16"/>
              </w:rPr>
              <w:t>46.95%</w:t>
            </w:r>
          </w:p>
        </w:tc>
      </w:tr>
      <w:tr w:rsidR="005F0D3B" w:rsidRPr="00781112" w14:paraId="038BC95B" w14:textId="47C87879" w:rsidTr="009023AD">
        <w:trPr>
          <w:trHeight w:val="85"/>
        </w:trPr>
        <w:tc>
          <w:tcPr>
            <w:tcW w:w="248" w:type="pct"/>
            <w:tcBorders>
              <w:left w:val="single" w:sz="4" w:space="0" w:color="auto"/>
              <w:right w:val="single" w:sz="4" w:space="0" w:color="auto"/>
            </w:tcBorders>
            <w:shd w:val="clear" w:color="auto" w:fill="auto"/>
            <w:vAlign w:val="center"/>
          </w:tcPr>
          <w:p w14:paraId="4B20CE7B" w14:textId="77777777" w:rsidR="0085328E" w:rsidRPr="00781112" w:rsidRDefault="0085328E" w:rsidP="004369B2">
            <w:pPr>
              <w:spacing w:before="0" w:after="0" w:line="276" w:lineRule="auto"/>
              <w:jc w:val="center"/>
              <w:rPr>
                <w:rFonts w:cs="Arial"/>
                <w:color w:val="000000" w:themeColor="text1"/>
                <w:szCs w:val="16"/>
              </w:rPr>
            </w:pPr>
            <w:r w:rsidRPr="00781112">
              <w:rPr>
                <w:rFonts w:cs="Arial"/>
                <w:color w:val="000000" w:themeColor="text1"/>
                <w:szCs w:val="16"/>
              </w:rPr>
              <w:t>B1</w:t>
            </w:r>
          </w:p>
        </w:tc>
        <w:tc>
          <w:tcPr>
            <w:tcW w:w="437" w:type="pct"/>
            <w:tcBorders>
              <w:left w:val="single" w:sz="4" w:space="0" w:color="auto"/>
              <w:right w:val="single" w:sz="4" w:space="0" w:color="auto"/>
            </w:tcBorders>
            <w:shd w:val="clear" w:color="auto" w:fill="auto"/>
            <w:vAlign w:val="center"/>
          </w:tcPr>
          <w:p w14:paraId="449E245E" w14:textId="66BE9FD7" w:rsidR="0085328E" w:rsidRPr="00781112" w:rsidRDefault="002B7490" w:rsidP="00A018D4">
            <w:pPr>
              <w:jc w:val="center"/>
              <w:rPr>
                <w:rFonts w:cs="Arial"/>
                <w:color w:val="000000" w:themeColor="text1"/>
                <w:szCs w:val="16"/>
              </w:rPr>
            </w:pPr>
            <w:r w:rsidRPr="00781112">
              <w:rPr>
                <w:rFonts w:cs="Arial"/>
                <w:color w:val="000000" w:themeColor="text1"/>
                <w:szCs w:val="16"/>
              </w:rPr>
              <w:t>2020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01E60245" w14:textId="7347A69D"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FF1B58E" w14:textId="3C66E08F" w:rsidR="0085328E" w:rsidRPr="00781112" w:rsidRDefault="002B7490" w:rsidP="00A018D4">
            <w:pPr>
              <w:jc w:val="center"/>
              <w:rPr>
                <w:rFonts w:cs="Arial"/>
                <w:color w:val="000000" w:themeColor="text1"/>
                <w:szCs w:val="16"/>
              </w:rPr>
            </w:pPr>
            <w:r w:rsidRPr="00781112">
              <w:rPr>
                <w:rFonts w:cs="Arial"/>
                <w:color w:val="000000" w:themeColor="text1"/>
                <w:szCs w:val="16"/>
              </w:rPr>
              <w:t>76.49%</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26CEF40A" w14:textId="6AF964A1" w:rsidR="0085328E" w:rsidRPr="00781112" w:rsidRDefault="002B7490" w:rsidP="00A018D4">
            <w:pPr>
              <w:jc w:val="center"/>
              <w:rPr>
                <w:rFonts w:cs="Arial"/>
                <w:color w:val="000000" w:themeColor="text1"/>
                <w:szCs w:val="16"/>
              </w:rPr>
            </w:pPr>
            <w:r w:rsidRPr="00781112">
              <w:rPr>
                <w:rFonts w:cs="Arial"/>
                <w:color w:val="000000" w:themeColor="text1"/>
                <w:szCs w:val="16"/>
              </w:rPr>
              <w:t>76.50%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C74D9F4" w14:textId="774343F5" w:rsidR="0085328E" w:rsidRPr="00781112" w:rsidRDefault="002B7490" w:rsidP="00A018D4">
            <w:pPr>
              <w:jc w:val="center"/>
              <w:rPr>
                <w:rFonts w:cs="Arial"/>
                <w:color w:val="000000" w:themeColor="text1"/>
                <w:szCs w:val="16"/>
              </w:rPr>
            </w:pPr>
            <w:r w:rsidRPr="00781112">
              <w:rPr>
                <w:rFonts w:cs="Arial"/>
                <w:color w:val="000000" w:themeColor="text1"/>
                <w:szCs w:val="16"/>
              </w:rPr>
              <w:t>76.50%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9DA59EE" w14:textId="194552B0" w:rsidR="0085328E" w:rsidRPr="00781112" w:rsidRDefault="002B7490" w:rsidP="00A018D4">
            <w:pPr>
              <w:jc w:val="center"/>
              <w:rPr>
                <w:rFonts w:cs="Arial"/>
                <w:color w:val="000000" w:themeColor="text1"/>
                <w:szCs w:val="16"/>
              </w:rPr>
            </w:pPr>
            <w:r w:rsidRPr="00781112">
              <w:rPr>
                <w:rFonts w:cs="Arial"/>
                <w:color w:val="000000" w:themeColor="text1"/>
                <w:szCs w:val="16"/>
              </w:rPr>
              <w:t>69.03%</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8B8D5B5" w14:textId="15B9801D" w:rsidR="0085328E" w:rsidRPr="00781112" w:rsidRDefault="002B7490" w:rsidP="00A018D4">
            <w:pPr>
              <w:jc w:val="center"/>
              <w:rPr>
                <w:rFonts w:cs="Arial"/>
                <w:color w:val="000000" w:themeColor="text1"/>
                <w:szCs w:val="16"/>
              </w:rPr>
            </w:pPr>
            <w:r w:rsidRPr="00781112">
              <w:rPr>
                <w:rFonts w:cs="Arial"/>
                <w:color w:val="000000" w:themeColor="text1"/>
                <w:szCs w:val="16"/>
              </w:rPr>
              <w:t>69.53%</w:t>
            </w:r>
          </w:p>
        </w:tc>
      </w:tr>
      <w:tr w:rsidR="005F0D3B" w:rsidRPr="00781112" w14:paraId="66DA0218" w14:textId="74D7BD54" w:rsidTr="009023AD">
        <w:trPr>
          <w:trHeight w:val="85"/>
        </w:trPr>
        <w:tc>
          <w:tcPr>
            <w:tcW w:w="248" w:type="pct"/>
            <w:tcBorders>
              <w:left w:val="single" w:sz="4" w:space="0" w:color="auto"/>
              <w:right w:val="single" w:sz="4" w:space="0" w:color="auto"/>
            </w:tcBorders>
            <w:shd w:val="clear" w:color="auto" w:fill="auto"/>
            <w:vAlign w:val="center"/>
          </w:tcPr>
          <w:p w14:paraId="24B8577D" w14:textId="1B68A320" w:rsidR="0085328E"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B1</w:t>
            </w:r>
          </w:p>
        </w:tc>
        <w:tc>
          <w:tcPr>
            <w:tcW w:w="437" w:type="pct"/>
            <w:tcBorders>
              <w:left w:val="single" w:sz="4" w:space="0" w:color="auto"/>
              <w:right w:val="single" w:sz="4" w:space="0" w:color="auto"/>
            </w:tcBorders>
            <w:shd w:val="clear" w:color="auto" w:fill="auto"/>
            <w:vAlign w:val="center"/>
          </w:tcPr>
          <w:p w14:paraId="4F012F6D" w14:textId="4520FF93" w:rsidR="0085328E" w:rsidRPr="00781112" w:rsidRDefault="002B7490" w:rsidP="00A018D4">
            <w:pPr>
              <w:jc w:val="center"/>
              <w:rPr>
                <w:rFonts w:cs="Arial"/>
                <w:color w:val="000000" w:themeColor="text1"/>
                <w:szCs w:val="16"/>
              </w:rPr>
            </w:pPr>
            <w:r w:rsidRPr="00781112">
              <w:rPr>
                <w:rFonts w:cs="Arial"/>
                <w:color w:val="000000" w:themeColor="text1"/>
                <w:szCs w:val="16"/>
              </w:rPr>
              <w:t>69.03%</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7B853A57" w14:textId="77777777"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11C2254" w14:textId="1DF979D4" w:rsidR="0085328E" w:rsidRPr="00781112" w:rsidRDefault="002B7490" w:rsidP="00A018D4">
            <w:pPr>
              <w:jc w:val="center"/>
              <w:rPr>
                <w:rFonts w:cs="Arial"/>
                <w:color w:val="000000" w:themeColor="text1"/>
                <w:szCs w:val="16"/>
              </w:rPr>
            </w:pPr>
            <w:r w:rsidRPr="00781112">
              <w:rPr>
                <w:rFonts w:cs="Arial"/>
                <w:color w:val="000000" w:themeColor="text1"/>
                <w:szCs w:val="16"/>
              </w:rPr>
              <w:t>75.31%</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F5DBAC4" w14:textId="06C3822D" w:rsidR="0085328E" w:rsidRPr="00781112" w:rsidRDefault="002B7490" w:rsidP="00A018D4">
            <w:pPr>
              <w:jc w:val="center"/>
              <w:rPr>
                <w:rFonts w:cs="Arial"/>
                <w:color w:val="000000" w:themeColor="text1"/>
                <w:szCs w:val="16"/>
              </w:rPr>
            </w:pPr>
            <w:r w:rsidRPr="00781112">
              <w:rPr>
                <w:rFonts w:cs="Arial"/>
                <w:color w:val="000000" w:themeColor="text1"/>
                <w:szCs w:val="16"/>
              </w:rPr>
              <w:t>73.02%</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9D2F1A1" w14:textId="1565A8C1" w:rsidR="0085328E" w:rsidRPr="00781112" w:rsidRDefault="002B7490" w:rsidP="00A018D4">
            <w:pPr>
              <w:jc w:val="center"/>
              <w:rPr>
                <w:rFonts w:cs="Arial"/>
                <w:color w:val="000000" w:themeColor="text1"/>
                <w:szCs w:val="16"/>
              </w:rPr>
            </w:pPr>
            <w:r w:rsidRPr="00781112">
              <w:rPr>
                <w:rFonts w:cs="Arial"/>
                <w:color w:val="000000" w:themeColor="text1"/>
                <w:szCs w:val="16"/>
              </w:rPr>
              <w:t>70.81%</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2C8C9437" w14:textId="7807B4A0" w:rsidR="0085328E" w:rsidRPr="00781112" w:rsidRDefault="002B7490" w:rsidP="00A018D4">
            <w:pPr>
              <w:jc w:val="center"/>
              <w:rPr>
                <w:rFonts w:cs="Arial"/>
                <w:color w:val="000000" w:themeColor="text1"/>
                <w:szCs w:val="16"/>
              </w:rPr>
            </w:pPr>
            <w:r w:rsidRPr="00781112">
              <w:rPr>
                <w:rFonts w:cs="Arial"/>
                <w:color w:val="000000" w:themeColor="text1"/>
                <w:szCs w:val="16"/>
              </w:rPr>
              <w:t>69.03%</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81EDD05" w14:textId="5AA94706" w:rsidR="0085328E" w:rsidRPr="00781112" w:rsidRDefault="002B7490" w:rsidP="00A018D4">
            <w:pPr>
              <w:jc w:val="center"/>
              <w:rPr>
                <w:rFonts w:cs="Arial"/>
                <w:color w:val="000000" w:themeColor="text1"/>
                <w:szCs w:val="16"/>
              </w:rPr>
            </w:pPr>
            <w:r w:rsidRPr="00781112">
              <w:rPr>
                <w:rFonts w:cs="Arial"/>
                <w:color w:val="000000" w:themeColor="text1"/>
                <w:szCs w:val="16"/>
              </w:rPr>
              <w:t>73.87%</w:t>
            </w:r>
          </w:p>
        </w:tc>
      </w:tr>
      <w:tr w:rsidR="005F0D3B" w:rsidRPr="00781112" w14:paraId="5D1BF2C9" w14:textId="459BD37D" w:rsidTr="009023AD">
        <w:trPr>
          <w:trHeight w:val="85"/>
        </w:trPr>
        <w:tc>
          <w:tcPr>
            <w:tcW w:w="248" w:type="pct"/>
            <w:tcBorders>
              <w:left w:val="single" w:sz="4" w:space="0" w:color="auto"/>
              <w:right w:val="single" w:sz="4" w:space="0" w:color="auto"/>
            </w:tcBorders>
            <w:shd w:val="clear" w:color="auto" w:fill="auto"/>
            <w:vAlign w:val="center"/>
          </w:tcPr>
          <w:p w14:paraId="548F3C71" w14:textId="77777777" w:rsidR="0085328E" w:rsidRPr="00781112" w:rsidRDefault="0085328E" w:rsidP="004369B2">
            <w:pPr>
              <w:spacing w:before="0" w:after="0" w:line="276" w:lineRule="auto"/>
              <w:jc w:val="center"/>
              <w:rPr>
                <w:rFonts w:cs="Arial"/>
                <w:color w:val="000000" w:themeColor="text1"/>
                <w:szCs w:val="16"/>
              </w:rPr>
            </w:pPr>
            <w:r w:rsidRPr="00781112">
              <w:rPr>
                <w:rFonts w:cs="Arial"/>
                <w:color w:val="000000" w:themeColor="text1"/>
                <w:szCs w:val="16"/>
              </w:rPr>
              <w:t>B2</w:t>
            </w:r>
          </w:p>
        </w:tc>
        <w:tc>
          <w:tcPr>
            <w:tcW w:w="437" w:type="pct"/>
            <w:tcBorders>
              <w:left w:val="single" w:sz="4" w:space="0" w:color="auto"/>
              <w:right w:val="single" w:sz="4" w:space="0" w:color="auto"/>
            </w:tcBorders>
            <w:shd w:val="clear" w:color="auto" w:fill="auto"/>
            <w:vAlign w:val="center"/>
          </w:tcPr>
          <w:p w14:paraId="160EA035" w14:textId="1C94FCD5" w:rsidR="0085328E" w:rsidRPr="00781112" w:rsidRDefault="002B7490" w:rsidP="00A018D4">
            <w:pPr>
              <w:jc w:val="center"/>
              <w:rPr>
                <w:rFonts w:cs="Arial"/>
                <w:color w:val="000000" w:themeColor="text1"/>
                <w:szCs w:val="16"/>
              </w:rPr>
            </w:pPr>
            <w:r w:rsidRPr="00781112">
              <w:rPr>
                <w:rFonts w:cs="Arial"/>
                <w:color w:val="000000" w:themeColor="text1"/>
                <w:szCs w:val="16"/>
              </w:rPr>
              <w:t>2020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4A24CCF9" w14:textId="2D8E0643"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0D83D62" w14:textId="2DE181F8" w:rsidR="0085328E" w:rsidRPr="00781112" w:rsidRDefault="002B7490" w:rsidP="00A018D4">
            <w:pPr>
              <w:jc w:val="center"/>
              <w:rPr>
                <w:rFonts w:cs="Arial"/>
                <w:color w:val="000000" w:themeColor="text1"/>
                <w:szCs w:val="16"/>
              </w:rPr>
            </w:pPr>
            <w:r w:rsidRPr="00781112">
              <w:rPr>
                <w:rFonts w:cs="Arial"/>
                <w:color w:val="000000" w:themeColor="text1"/>
                <w:szCs w:val="16"/>
              </w:rPr>
              <w:t>50.31%</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2B792AD" w14:textId="758AC006" w:rsidR="0085328E" w:rsidRPr="00781112" w:rsidRDefault="002B7490" w:rsidP="00A018D4">
            <w:pPr>
              <w:jc w:val="center"/>
              <w:rPr>
                <w:rFonts w:cs="Arial"/>
                <w:color w:val="000000" w:themeColor="text1"/>
                <w:szCs w:val="16"/>
              </w:rPr>
            </w:pPr>
            <w:r w:rsidRPr="00781112">
              <w:rPr>
                <w:rFonts w:cs="Arial"/>
                <w:color w:val="000000" w:themeColor="text1"/>
                <w:szCs w:val="16"/>
              </w:rPr>
              <w:t>50.35%</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782A18F" w14:textId="46A86692" w:rsidR="0085328E" w:rsidRPr="00781112" w:rsidRDefault="002B7490" w:rsidP="00A018D4">
            <w:pPr>
              <w:jc w:val="center"/>
              <w:rPr>
                <w:rFonts w:cs="Arial"/>
                <w:color w:val="000000" w:themeColor="text1"/>
                <w:szCs w:val="16"/>
              </w:rPr>
            </w:pPr>
            <w:r w:rsidRPr="00781112">
              <w:rPr>
                <w:rFonts w:cs="Arial"/>
                <w:color w:val="000000" w:themeColor="text1"/>
                <w:szCs w:val="16"/>
              </w:rPr>
              <w:t>50.35%</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97CBE74" w14:textId="39C3D76E" w:rsidR="0085328E" w:rsidRPr="00781112" w:rsidRDefault="002B7490" w:rsidP="00A018D4">
            <w:pPr>
              <w:jc w:val="center"/>
              <w:rPr>
                <w:rFonts w:cs="Arial"/>
                <w:color w:val="000000" w:themeColor="text1"/>
                <w:szCs w:val="16"/>
              </w:rPr>
            </w:pPr>
            <w:r w:rsidRPr="00781112">
              <w:rPr>
                <w:rFonts w:cs="Arial"/>
                <w:color w:val="000000" w:themeColor="text1"/>
                <w:szCs w:val="16"/>
              </w:rPr>
              <w:t>37.09%</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1A34F04" w14:textId="315015F3" w:rsidR="0085328E" w:rsidRPr="00781112" w:rsidRDefault="002B7490" w:rsidP="00A018D4">
            <w:pPr>
              <w:jc w:val="center"/>
              <w:rPr>
                <w:rFonts w:cs="Arial"/>
                <w:color w:val="000000" w:themeColor="text1"/>
                <w:szCs w:val="16"/>
              </w:rPr>
            </w:pPr>
            <w:r w:rsidRPr="00781112">
              <w:rPr>
                <w:rFonts w:cs="Arial"/>
                <w:color w:val="000000" w:themeColor="text1"/>
                <w:szCs w:val="16"/>
              </w:rPr>
              <w:t>37.59%</w:t>
            </w:r>
          </w:p>
        </w:tc>
      </w:tr>
      <w:tr w:rsidR="005F0D3B" w:rsidRPr="00781112" w14:paraId="1AC0D5CC" w14:textId="451AD16E" w:rsidTr="009023AD">
        <w:trPr>
          <w:trHeight w:val="85"/>
        </w:trPr>
        <w:tc>
          <w:tcPr>
            <w:tcW w:w="248" w:type="pct"/>
            <w:tcBorders>
              <w:left w:val="single" w:sz="4" w:space="0" w:color="auto"/>
              <w:right w:val="single" w:sz="4" w:space="0" w:color="auto"/>
            </w:tcBorders>
            <w:shd w:val="clear" w:color="auto" w:fill="auto"/>
            <w:vAlign w:val="center"/>
          </w:tcPr>
          <w:p w14:paraId="143DE0B0" w14:textId="232D3364" w:rsidR="0085328E"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B2</w:t>
            </w:r>
          </w:p>
        </w:tc>
        <w:tc>
          <w:tcPr>
            <w:tcW w:w="437" w:type="pct"/>
            <w:tcBorders>
              <w:left w:val="single" w:sz="4" w:space="0" w:color="auto"/>
              <w:right w:val="single" w:sz="4" w:space="0" w:color="auto"/>
            </w:tcBorders>
            <w:shd w:val="clear" w:color="auto" w:fill="auto"/>
            <w:vAlign w:val="center"/>
          </w:tcPr>
          <w:p w14:paraId="24E18759" w14:textId="387ECC21" w:rsidR="0085328E" w:rsidRPr="00781112" w:rsidRDefault="002B7490" w:rsidP="00A018D4">
            <w:pPr>
              <w:jc w:val="center"/>
              <w:rPr>
                <w:rFonts w:cs="Arial"/>
                <w:color w:val="000000" w:themeColor="text1"/>
                <w:szCs w:val="16"/>
              </w:rPr>
            </w:pPr>
            <w:r w:rsidRPr="00781112">
              <w:rPr>
                <w:rFonts w:cs="Arial"/>
                <w:color w:val="000000" w:themeColor="text1"/>
                <w:szCs w:val="16"/>
              </w:rPr>
              <w:t>37.09%</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7B1218C7" w14:textId="77777777"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04D7405" w14:textId="7369DBD6" w:rsidR="0085328E" w:rsidRPr="00781112" w:rsidRDefault="002B7490" w:rsidP="00A018D4">
            <w:pPr>
              <w:jc w:val="center"/>
              <w:rPr>
                <w:rFonts w:cs="Arial"/>
                <w:color w:val="000000" w:themeColor="text1"/>
                <w:szCs w:val="16"/>
              </w:rPr>
            </w:pPr>
            <w:r w:rsidRPr="00781112">
              <w:rPr>
                <w:rFonts w:cs="Arial"/>
                <w:color w:val="000000" w:themeColor="text1"/>
                <w:szCs w:val="16"/>
              </w:rPr>
              <w:t>45.19%</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668A2AF" w14:textId="3F239661" w:rsidR="0085328E" w:rsidRPr="00781112" w:rsidRDefault="002B7490" w:rsidP="00A018D4">
            <w:pPr>
              <w:jc w:val="center"/>
              <w:rPr>
                <w:rFonts w:cs="Arial"/>
                <w:color w:val="000000" w:themeColor="text1"/>
                <w:szCs w:val="16"/>
              </w:rPr>
            </w:pPr>
            <w:r w:rsidRPr="00781112">
              <w:rPr>
                <w:rFonts w:cs="Arial"/>
                <w:color w:val="000000" w:themeColor="text1"/>
                <w:szCs w:val="16"/>
              </w:rPr>
              <w:t>40.01%</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735D643" w14:textId="534CE7F8" w:rsidR="0085328E" w:rsidRPr="00781112" w:rsidRDefault="002B7490" w:rsidP="00A018D4">
            <w:pPr>
              <w:jc w:val="center"/>
              <w:rPr>
                <w:rFonts w:cs="Arial"/>
                <w:color w:val="000000" w:themeColor="text1"/>
                <w:szCs w:val="16"/>
              </w:rPr>
            </w:pPr>
            <w:r w:rsidRPr="00781112">
              <w:rPr>
                <w:rFonts w:cs="Arial"/>
                <w:color w:val="000000" w:themeColor="text1"/>
                <w:szCs w:val="16"/>
              </w:rPr>
              <w:t>40.30%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769A388" w14:textId="486C020A" w:rsidR="0085328E" w:rsidRPr="00781112" w:rsidRDefault="002B7490" w:rsidP="00A018D4">
            <w:pPr>
              <w:jc w:val="center"/>
              <w:rPr>
                <w:rFonts w:cs="Arial"/>
                <w:color w:val="000000" w:themeColor="text1"/>
                <w:szCs w:val="16"/>
              </w:rPr>
            </w:pPr>
            <w:r w:rsidRPr="00781112">
              <w:rPr>
                <w:rFonts w:cs="Arial"/>
                <w:color w:val="000000" w:themeColor="text1"/>
                <w:szCs w:val="16"/>
              </w:rPr>
              <w:t>37.09%</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4AB34E0E" w14:textId="72971784" w:rsidR="0085328E" w:rsidRPr="00781112" w:rsidRDefault="002B7490" w:rsidP="00A018D4">
            <w:pPr>
              <w:jc w:val="center"/>
              <w:rPr>
                <w:rFonts w:cs="Arial"/>
                <w:color w:val="000000" w:themeColor="text1"/>
                <w:szCs w:val="16"/>
              </w:rPr>
            </w:pPr>
            <w:r w:rsidRPr="00781112">
              <w:rPr>
                <w:rFonts w:cs="Arial"/>
                <w:color w:val="000000" w:themeColor="text1"/>
                <w:szCs w:val="16"/>
              </w:rPr>
              <w:t>43.64%</w:t>
            </w:r>
          </w:p>
        </w:tc>
      </w:tr>
      <w:tr w:rsidR="005F0D3B" w:rsidRPr="00781112" w14:paraId="3A905290" w14:textId="4D4DDE53" w:rsidTr="009023AD">
        <w:trPr>
          <w:trHeight w:val="85"/>
        </w:trPr>
        <w:tc>
          <w:tcPr>
            <w:tcW w:w="248" w:type="pct"/>
            <w:tcBorders>
              <w:left w:val="single" w:sz="4" w:space="0" w:color="auto"/>
              <w:right w:val="single" w:sz="4" w:space="0" w:color="auto"/>
            </w:tcBorders>
            <w:shd w:val="clear" w:color="auto" w:fill="auto"/>
            <w:vAlign w:val="center"/>
          </w:tcPr>
          <w:p w14:paraId="72D6BBB6" w14:textId="77777777" w:rsidR="0085328E" w:rsidRPr="00781112" w:rsidRDefault="0085328E" w:rsidP="004369B2">
            <w:pPr>
              <w:spacing w:before="0" w:after="0" w:line="276" w:lineRule="auto"/>
              <w:jc w:val="center"/>
              <w:rPr>
                <w:rFonts w:cs="Arial"/>
                <w:color w:val="000000" w:themeColor="text1"/>
                <w:szCs w:val="16"/>
              </w:rPr>
            </w:pPr>
            <w:r w:rsidRPr="00781112">
              <w:rPr>
                <w:rFonts w:cs="Arial"/>
                <w:color w:val="000000" w:themeColor="text1"/>
                <w:szCs w:val="16"/>
              </w:rPr>
              <w:t>C1</w:t>
            </w:r>
          </w:p>
        </w:tc>
        <w:tc>
          <w:tcPr>
            <w:tcW w:w="437" w:type="pct"/>
            <w:tcBorders>
              <w:left w:val="single" w:sz="4" w:space="0" w:color="auto"/>
              <w:right w:val="single" w:sz="4" w:space="0" w:color="auto"/>
            </w:tcBorders>
            <w:shd w:val="clear" w:color="auto" w:fill="auto"/>
            <w:vAlign w:val="center"/>
          </w:tcPr>
          <w:p w14:paraId="32EC35B2" w14:textId="7EF481F8" w:rsidR="0085328E" w:rsidRPr="00781112" w:rsidRDefault="002B7490" w:rsidP="00A018D4">
            <w:pPr>
              <w:jc w:val="center"/>
              <w:rPr>
                <w:rFonts w:cs="Arial"/>
                <w:color w:val="000000" w:themeColor="text1"/>
                <w:szCs w:val="16"/>
              </w:rPr>
            </w:pPr>
            <w:r w:rsidRPr="00781112">
              <w:rPr>
                <w:rFonts w:cs="Arial"/>
                <w:color w:val="000000" w:themeColor="text1"/>
                <w:szCs w:val="16"/>
              </w:rPr>
              <w:t>2020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2AD4BBD1" w14:textId="1AF777EC"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E3605B6" w14:textId="09C06F1D" w:rsidR="0085328E" w:rsidRPr="00781112" w:rsidRDefault="002B7490" w:rsidP="00A018D4">
            <w:pPr>
              <w:jc w:val="center"/>
              <w:rPr>
                <w:rFonts w:cs="Arial"/>
                <w:color w:val="000000" w:themeColor="text1"/>
                <w:szCs w:val="16"/>
              </w:rPr>
            </w:pPr>
            <w:r w:rsidRPr="00781112">
              <w:rPr>
                <w:rFonts w:cs="Arial"/>
                <w:color w:val="000000" w:themeColor="text1"/>
                <w:szCs w:val="16"/>
              </w:rPr>
              <w:t>76.85%</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985E737" w14:textId="1A9F0994" w:rsidR="0085328E" w:rsidRPr="00781112" w:rsidRDefault="002B7490" w:rsidP="00A018D4">
            <w:pPr>
              <w:jc w:val="center"/>
              <w:rPr>
                <w:rFonts w:cs="Arial"/>
                <w:color w:val="000000" w:themeColor="text1"/>
                <w:szCs w:val="16"/>
              </w:rPr>
            </w:pPr>
            <w:r w:rsidRPr="00781112">
              <w:rPr>
                <w:rFonts w:cs="Arial"/>
                <w:color w:val="000000" w:themeColor="text1"/>
                <w:szCs w:val="16"/>
              </w:rPr>
              <w:t>76.86%</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104097D" w14:textId="3599EA63" w:rsidR="0085328E" w:rsidRPr="00781112" w:rsidRDefault="002B7490" w:rsidP="00A018D4">
            <w:pPr>
              <w:jc w:val="center"/>
              <w:rPr>
                <w:rFonts w:cs="Arial"/>
                <w:color w:val="000000" w:themeColor="text1"/>
                <w:szCs w:val="16"/>
              </w:rPr>
            </w:pPr>
            <w:r w:rsidRPr="00781112">
              <w:rPr>
                <w:rFonts w:cs="Arial"/>
                <w:color w:val="000000" w:themeColor="text1"/>
                <w:szCs w:val="16"/>
              </w:rPr>
              <w:t>76.86%</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2ECD873" w14:textId="22C05487" w:rsidR="0085328E" w:rsidRPr="00781112" w:rsidRDefault="002B7490" w:rsidP="00A018D4">
            <w:pPr>
              <w:jc w:val="center"/>
              <w:rPr>
                <w:rFonts w:cs="Arial"/>
                <w:color w:val="000000" w:themeColor="text1"/>
                <w:szCs w:val="16"/>
              </w:rPr>
            </w:pPr>
            <w:r w:rsidRPr="00781112">
              <w:rPr>
                <w:rFonts w:cs="Arial"/>
                <w:color w:val="000000" w:themeColor="text1"/>
                <w:szCs w:val="16"/>
              </w:rPr>
              <w:t>68.91%</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3389E08" w14:textId="39125BE4" w:rsidR="0085328E" w:rsidRPr="00781112" w:rsidRDefault="002B7490" w:rsidP="00A018D4">
            <w:pPr>
              <w:jc w:val="center"/>
              <w:rPr>
                <w:rFonts w:cs="Arial"/>
                <w:color w:val="000000" w:themeColor="text1"/>
                <w:szCs w:val="16"/>
              </w:rPr>
            </w:pPr>
            <w:r w:rsidRPr="00781112">
              <w:rPr>
                <w:rFonts w:cs="Arial"/>
                <w:color w:val="000000" w:themeColor="text1"/>
                <w:szCs w:val="16"/>
              </w:rPr>
              <w:t>69.41%</w:t>
            </w:r>
          </w:p>
        </w:tc>
      </w:tr>
      <w:tr w:rsidR="005F0D3B" w:rsidRPr="00781112" w14:paraId="542EE9A0" w14:textId="0624CABB" w:rsidTr="009023AD">
        <w:trPr>
          <w:trHeight w:val="85"/>
        </w:trPr>
        <w:tc>
          <w:tcPr>
            <w:tcW w:w="248" w:type="pct"/>
            <w:tcBorders>
              <w:left w:val="single" w:sz="4" w:space="0" w:color="auto"/>
              <w:right w:val="single" w:sz="4" w:space="0" w:color="auto"/>
            </w:tcBorders>
            <w:shd w:val="clear" w:color="auto" w:fill="auto"/>
            <w:vAlign w:val="center"/>
          </w:tcPr>
          <w:p w14:paraId="4DBC4231" w14:textId="38EC78AF" w:rsidR="0085328E"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C1</w:t>
            </w:r>
          </w:p>
        </w:tc>
        <w:tc>
          <w:tcPr>
            <w:tcW w:w="437" w:type="pct"/>
            <w:tcBorders>
              <w:left w:val="single" w:sz="4" w:space="0" w:color="auto"/>
              <w:right w:val="single" w:sz="4" w:space="0" w:color="auto"/>
            </w:tcBorders>
            <w:shd w:val="clear" w:color="auto" w:fill="auto"/>
            <w:vAlign w:val="center"/>
          </w:tcPr>
          <w:p w14:paraId="4A443083" w14:textId="588F563E" w:rsidR="0085328E" w:rsidRPr="00781112" w:rsidRDefault="002B7490" w:rsidP="00A018D4">
            <w:pPr>
              <w:jc w:val="center"/>
              <w:rPr>
                <w:rFonts w:cs="Arial"/>
                <w:color w:val="000000" w:themeColor="text1"/>
                <w:szCs w:val="16"/>
              </w:rPr>
            </w:pPr>
            <w:r w:rsidRPr="00781112">
              <w:rPr>
                <w:rFonts w:cs="Arial"/>
                <w:color w:val="000000" w:themeColor="text1"/>
                <w:szCs w:val="16"/>
              </w:rPr>
              <w:t>68.91%</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3505DBD8" w14:textId="77777777"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CCFC788" w14:textId="0DEC691C" w:rsidR="0085328E" w:rsidRPr="00781112" w:rsidRDefault="002B7490" w:rsidP="00A018D4">
            <w:pPr>
              <w:jc w:val="center"/>
              <w:rPr>
                <w:rFonts w:cs="Arial"/>
                <w:color w:val="000000" w:themeColor="text1"/>
                <w:szCs w:val="16"/>
              </w:rPr>
            </w:pPr>
            <w:r w:rsidRPr="00781112">
              <w:rPr>
                <w:rFonts w:cs="Arial"/>
                <w:color w:val="000000" w:themeColor="text1"/>
                <w:szCs w:val="16"/>
              </w:rPr>
              <w:t>78.44%</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A2692FD" w14:textId="41890FD1" w:rsidR="0085328E" w:rsidRPr="00781112" w:rsidRDefault="002B7490" w:rsidP="00A018D4">
            <w:pPr>
              <w:jc w:val="center"/>
              <w:rPr>
                <w:rFonts w:cs="Arial"/>
                <w:color w:val="000000" w:themeColor="text1"/>
                <w:szCs w:val="16"/>
              </w:rPr>
            </w:pPr>
            <w:r w:rsidRPr="00781112">
              <w:rPr>
                <w:rFonts w:cs="Arial"/>
                <w:color w:val="000000" w:themeColor="text1"/>
                <w:szCs w:val="16"/>
              </w:rPr>
              <w:t>74.75%</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4E19A94" w14:textId="4230AB0E" w:rsidR="0085328E" w:rsidRPr="00781112" w:rsidRDefault="002B7490" w:rsidP="00A018D4">
            <w:pPr>
              <w:jc w:val="center"/>
              <w:rPr>
                <w:rFonts w:cs="Arial"/>
                <w:color w:val="000000" w:themeColor="text1"/>
                <w:szCs w:val="16"/>
              </w:rPr>
            </w:pPr>
            <w:r w:rsidRPr="00781112">
              <w:rPr>
                <w:rFonts w:cs="Arial"/>
                <w:color w:val="000000" w:themeColor="text1"/>
                <w:szCs w:val="16"/>
              </w:rPr>
              <w:t>73.80%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DF3C8C0" w14:textId="601F01AA" w:rsidR="0085328E" w:rsidRPr="00781112" w:rsidRDefault="002B7490" w:rsidP="00A018D4">
            <w:pPr>
              <w:jc w:val="center"/>
              <w:rPr>
                <w:rFonts w:cs="Arial"/>
                <w:color w:val="000000" w:themeColor="text1"/>
                <w:szCs w:val="16"/>
              </w:rPr>
            </w:pPr>
            <w:r w:rsidRPr="00781112">
              <w:rPr>
                <w:rFonts w:cs="Arial"/>
                <w:color w:val="000000" w:themeColor="text1"/>
                <w:szCs w:val="16"/>
              </w:rPr>
              <w:t>68.91%</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C69554C" w14:textId="208FBED6" w:rsidR="0085328E" w:rsidRPr="00781112" w:rsidRDefault="002B7490" w:rsidP="00A018D4">
            <w:pPr>
              <w:jc w:val="center"/>
              <w:rPr>
                <w:rFonts w:cs="Arial"/>
                <w:color w:val="000000" w:themeColor="text1"/>
                <w:szCs w:val="16"/>
              </w:rPr>
            </w:pPr>
            <w:r w:rsidRPr="00781112">
              <w:rPr>
                <w:rFonts w:cs="Arial"/>
                <w:color w:val="000000" w:themeColor="text1"/>
                <w:szCs w:val="16"/>
              </w:rPr>
              <w:t>75.23%</w:t>
            </w:r>
          </w:p>
        </w:tc>
      </w:tr>
      <w:tr w:rsidR="005F0D3B" w:rsidRPr="00781112" w14:paraId="1C3A879D" w14:textId="39451B95" w:rsidTr="009023AD">
        <w:trPr>
          <w:trHeight w:val="85"/>
        </w:trPr>
        <w:tc>
          <w:tcPr>
            <w:tcW w:w="248" w:type="pct"/>
            <w:tcBorders>
              <w:left w:val="single" w:sz="4" w:space="0" w:color="auto"/>
              <w:right w:val="single" w:sz="4" w:space="0" w:color="auto"/>
            </w:tcBorders>
            <w:shd w:val="clear" w:color="auto" w:fill="auto"/>
            <w:vAlign w:val="center"/>
          </w:tcPr>
          <w:p w14:paraId="26C585A1" w14:textId="77777777" w:rsidR="0085328E" w:rsidRPr="00781112" w:rsidRDefault="0085328E" w:rsidP="004369B2">
            <w:pPr>
              <w:spacing w:before="0" w:after="0" w:line="276" w:lineRule="auto"/>
              <w:jc w:val="center"/>
              <w:rPr>
                <w:rFonts w:cs="Arial"/>
                <w:color w:val="000000" w:themeColor="text1"/>
                <w:szCs w:val="16"/>
              </w:rPr>
            </w:pPr>
            <w:r w:rsidRPr="00781112">
              <w:rPr>
                <w:rFonts w:cs="Arial"/>
                <w:color w:val="000000" w:themeColor="text1"/>
                <w:szCs w:val="16"/>
              </w:rPr>
              <w:t>C2</w:t>
            </w:r>
          </w:p>
        </w:tc>
        <w:tc>
          <w:tcPr>
            <w:tcW w:w="437" w:type="pct"/>
            <w:tcBorders>
              <w:left w:val="single" w:sz="4" w:space="0" w:color="auto"/>
              <w:right w:val="single" w:sz="4" w:space="0" w:color="auto"/>
            </w:tcBorders>
            <w:shd w:val="clear" w:color="auto" w:fill="auto"/>
            <w:vAlign w:val="center"/>
          </w:tcPr>
          <w:p w14:paraId="02A4378D" w14:textId="1370C13B" w:rsidR="0085328E" w:rsidRPr="00781112" w:rsidRDefault="002B7490" w:rsidP="00A018D4">
            <w:pPr>
              <w:jc w:val="center"/>
              <w:rPr>
                <w:rFonts w:cs="Arial"/>
                <w:color w:val="000000" w:themeColor="text1"/>
                <w:szCs w:val="16"/>
              </w:rPr>
            </w:pPr>
            <w:r w:rsidRPr="00781112">
              <w:rPr>
                <w:rFonts w:cs="Arial"/>
                <w:color w:val="000000" w:themeColor="text1"/>
                <w:szCs w:val="16"/>
              </w:rPr>
              <w:t>2020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70F3C954" w14:textId="5809F22B"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37F82B2" w14:textId="3FDA4D76" w:rsidR="0085328E" w:rsidRPr="00781112" w:rsidRDefault="002B7490" w:rsidP="00A018D4">
            <w:pPr>
              <w:jc w:val="center"/>
              <w:rPr>
                <w:rFonts w:cs="Arial"/>
                <w:color w:val="000000" w:themeColor="text1"/>
                <w:szCs w:val="16"/>
              </w:rPr>
            </w:pPr>
            <w:r w:rsidRPr="00781112">
              <w:rPr>
                <w:rFonts w:cs="Arial"/>
                <w:color w:val="000000" w:themeColor="text1"/>
                <w:szCs w:val="16"/>
              </w:rPr>
              <w:t>62.33%</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DC5B5B6" w14:textId="467D9866" w:rsidR="0085328E" w:rsidRPr="00781112" w:rsidRDefault="002B7490" w:rsidP="00A018D4">
            <w:pPr>
              <w:jc w:val="center"/>
              <w:rPr>
                <w:rFonts w:cs="Arial"/>
                <w:color w:val="000000" w:themeColor="text1"/>
                <w:szCs w:val="16"/>
              </w:rPr>
            </w:pPr>
            <w:r w:rsidRPr="00781112">
              <w:rPr>
                <w:rFonts w:cs="Arial"/>
                <w:color w:val="000000" w:themeColor="text1"/>
                <w:szCs w:val="16"/>
              </w:rPr>
              <w:t>62.35%</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4D8F929" w14:textId="659E25C7" w:rsidR="0085328E" w:rsidRPr="00781112" w:rsidRDefault="002B7490" w:rsidP="00A018D4">
            <w:pPr>
              <w:jc w:val="center"/>
              <w:rPr>
                <w:rFonts w:cs="Arial"/>
                <w:color w:val="000000" w:themeColor="text1"/>
                <w:szCs w:val="16"/>
              </w:rPr>
            </w:pPr>
            <w:r w:rsidRPr="00781112">
              <w:rPr>
                <w:rFonts w:cs="Arial"/>
                <w:color w:val="000000" w:themeColor="text1"/>
                <w:szCs w:val="16"/>
              </w:rPr>
              <w:t>62.35%</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2DB5EE8" w14:textId="25FD6BE6" w:rsidR="0085328E" w:rsidRPr="00781112" w:rsidRDefault="002B7490" w:rsidP="00A018D4">
            <w:pPr>
              <w:jc w:val="center"/>
              <w:rPr>
                <w:rFonts w:cs="Arial"/>
                <w:color w:val="000000" w:themeColor="text1"/>
                <w:szCs w:val="16"/>
              </w:rPr>
            </w:pPr>
            <w:r w:rsidRPr="00781112">
              <w:rPr>
                <w:rFonts w:cs="Arial"/>
                <w:color w:val="000000" w:themeColor="text1"/>
                <w:szCs w:val="16"/>
              </w:rPr>
              <w:t>49.76%</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4D4A8ED" w14:textId="7FD39DDF" w:rsidR="0085328E" w:rsidRPr="00781112" w:rsidRDefault="002B7490" w:rsidP="00A018D4">
            <w:pPr>
              <w:jc w:val="center"/>
              <w:rPr>
                <w:rFonts w:cs="Arial"/>
                <w:color w:val="000000" w:themeColor="text1"/>
                <w:szCs w:val="16"/>
              </w:rPr>
            </w:pPr>
            <w:r w:rsidRPr="00781112">
              <w:rPr>
                <w:rFonts w:cs="Arial"/>
                <w:color w:val="000000" w:themeColor="text1"/>
                <w:szCs w:val="16"/>
              </w:rPr>
              <w:t>50.26%</w:t>
            </w:r>
          </w:p>
        </w:tc>
      </w:tr>
      <w:tr w:rsidR="005F0D3B" w:rsidRPr="00781112" w14:paraId="2ED2CF15" w14:textId="4D4950C3" w:rsidTr="009023AD">
        <w:trPr>
          <w:trHeight w:val="85"/>
        </w:trPr>
        <w:tc>
          <w:tcPr>
            <w:tcW w:w="248" w:type="pct"/>
            <w:tcBorders>
              <w:left w:val="single" w:sz="4" w:space="0" w:color="auto"/>
              <w:right w:val="single" w:sz="4" w:space="0" w:color="auto"/>
            </w:tcBorders>
            <w:shd w:val="clear" w:color="auto" w:fill="auto"/>
            <w:vAlign w:val="center"/>
          </w:tcPr>
          <w:p w14:paraId="0C71509B" w14:textId="5F7D99B1" w:rsidR="0085328E"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C2</w:t>
            </w:r>
          </w:p>
        </w:tc>
        <w:tc>
          <w:tcPr>
            <w:tcW w:w="437" w:type="pct"/>
            <w:tcBorders>
              <w:left w:val="single" w:sz="4" w:space="0" w:color="auto"/>
              <w:right w:val="single" w:sz="4" w:space="0" w:color="auto"/>
            </w:tcBorders>
            <w:shd w:val="clear" w:color="auto" w:fill="auto"/>
            <w:vAlign w:val="center"/>
          </w:tcPr>
          <w:p w14:paraId="722DF11E" w14:textId="268D7A3C" w:rsidR="0085328E" w:rsidRPr="00781112" w:rsidRDefault="002B7490" w:rsidP="00A018D4">
            <w:pPr>
              <w:jc w:val="center"/>
              <w:rPr>
                <w:rFonts w:cs="Arial"/>
                <w:color w:val="000000" w:themeColor="text1"/>
                <w:szCs w:val="16"/>
              </w:rPr>
            </w:pPr>
            <w:r w:rsidRPr="00781112">
              <w:rPr>
                <w:rFonts w:cs="Arial"/>
                <w:color w:val="000000" w:themeColor="text1"/>
                <w:szCs w:val="16"/>
              </w:rPr>
              <w:t>49.76%</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67880F8C" w14:textId="77777777"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9C94D3E" w14:textId="1C9729B7" w:rsidR="0085328E" w:rsidRPr="00781112" w:rsidRDefault="002B7490" w:rsidP="00A018D4">
            <w:pPr>
              <w:jc w:val="center"/>
              <w:rPr>
                <w:rFonts w:cs="Arial"/>
                <w:color w:val="000000" w:themeColor="text1"/>
                <w:szCs w:val="16"/>
              </w:rPr>
            </w:pPr>
            <w:r w:rsidRPr="00781112">
              <w:rPr>
                <w:rFonts w:cs="Arial"/>
                <w:color w:val="000000" w:themeColor="text1"/>
                <w:szCs w:val="16"/>
              </w:rPr>
              <w:t>58.18%</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AA52620" w14:textId="6E2803C1" w:rsidR="0085328E" w:rsidRPr="00781112" w:rsidRDefault="002B7490" w:rsidP="00A018D4">
            <w:pPr>
              <w:jc w:val="center"/>
              <w:rPr>
                <w:rFonts w:cs="Arial"/>
                <w:color w:val="000000" w:themeColor="text1"/>
                <w:szCs w:val="16"/>
              </w:rPr>
            </w:pPr>
            <w:r w:rsidRPr="00781112">
              <w:rPr>
                <w:rFonts w:cs="Arial"/>
                <w:color w:val="000000" w:themeColor="text1"/>
                <w:szCs w:val="16"/>
              </w:rPr>
              <w:t>53.04%</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CB49B53" w14:textId="1024FEC0" w:rsidR="0085328E" w:rsidRPr="00781112" w:rsidRDefault="002B7490" w:rsidP="00A018D4">
            <w:pPr>
              <w:jc w:val="center"/>
              <w:rPr>
                <w:rFonts w:cs="Arial"/>
                <w:color w:val="000000" w:themeColor="text1"/>
                <w:szCs w:val="16"/>
              </w:rPr>
            </w:pPr>
            <w:r w:rsidRPr="00781112">
              <w:rPr>
                <w:rFonts w:cs="Arial"/>
                <w:color w:val="000000" w:themeColor="text1"/>
                <w:szCs w:val="16"/>
              </w:rPr>
              <w:t>53.78%</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7B7A91B" w14:textId="764DB422" w:rsidR="0085328E" w:rsidRPr="00781112" w:rsidRDefault="002B7490" w:rsidP="00A018D4">
            <w:pPr>
              <w:jc w:val="center"/>
              <w:rPr>
                <w:rFonts w:cs="Arial"/>
                <w:color w:val="000000" w:themeColor="text1"/>
                <w:szCs w:val="16"/>
              </w:rPr>
            </w:pPr>
            <w:r w:rsidRPr="00781112">
              <w:rPr>
                <w:rFonts w:cs="Arial"/>
                <w:color w:val="000000" w:themeColor="text1"/>
                <w:szCs w:val="16"/>
              </w:rPr>
              <w:t>49.76%</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BDF1E23" w14:textId="1E0478E3" w:rsidR="0085328E" w:rsidRPr="00781112" w:rsidRDefault="002B7490" w:rsidP="00A018D4">
            <w:pPr>
              <w:jc w:val="center"/>
              <w:rPr>
                <w:rFonts w:cs="Arial"/>
                <w:color w:val="000000" w:themeColor="text1"/>
                <w:szCs w:val="16"/>
              </w:rPr>
            </w:pPr>
            <w:r w:rsidRPr="00781112">
              <w:rPr>
                <w:rFonts w:cs="Arial"/>
                <w:color w:val="000000" w:themeColor="text1"/>
                <w:szCs w:val="16"/>
              </w:rPr>
              <w:t>54.23%</w:t>
            </w:r>
          </w:p>
        </w:tc>
      </w:tr>
    </w:tbl>
    <w:p w14:paraId="53B4B4AE" w14:textId="77777777" w:rsidR="007870F8" w:rsidRPr="00781112" w:rsidRDefault="007870F8" w:rsidP="004369B2">
      <w:pPr>
        <w:rPr>
          <w:color w:val="000000" w:themeColor="text1"/>
        </w:rPr>
      </w:pPr>
    </w:p>
    <w:p w14:paraId="0DB74FA5" w14:textId="79B945B9" w:rsidR="00F4192A" w:rsidRPr="00781112" w:rsidRDefault="00F4192A" w:rsidP="004369B2">
      <w:pPr>
        <w:rPr>
          <w:color w:val="000000" w:themeColor="text1"/>
        </w:rPr>
      </w:pPr>
      <w:r w:rsidRPr="00781112">
        <w:rPr>
          <w:b/>
          <w:color w:val="000000" w:themeColor="text1"/>
        </w:rPr>
        <w:t>Targets</w:t>
      </w:r>
    </w:p>
    <w:tbl>
      <w:tblPr>
        <w:tblW w:w="4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TARGETS"/>
      </w:tblPr>
      <w:tblGrid>
        <w:gridCol w:w="631"/>
        <w:gridCol w:w="2419"/>
        <w:gridCol w:w="2580"/>
        <w:gridCol w:w="2580"/>
        <w:gridCol w:w="2580"/>
      </w:tblGrid>
      <w:tr w:rsidR="00B67FCE" w:rsidRPr="00781112" w14:paraId="7154778B" w14:textId="326343BD" w:rsidTr="00845B9B">
        <w:trPr>
          <w:trHeight w:val="333"/>
        </w:trPr>
        <w:tc>
          <w:tcPr>
            <w:tcW w:w="311" w:type="pct"/>
            <w:tcBorders>
              <w:bottom w:val="single" w:sz="4" w:space="0" w:color="auto"/>
            </w:tcBorders>
            <w:shd w:val="clear" w:color="auto" w:fill="auto"/>
            <w:vAlign w:val="center"/>
          </w:tcPr>
          <w:p w14:paraId="4C772A88" w14:textId="77777777" w:rsidR="00B67FCE" w:rsidRPr="00781112" w:rsidRDefault="00B67FCE" w:rsidP="00D62058">
            <w:pPr>
              <w:jc w:val="center"/>
              <w:rPr>
                <w:b/>
                <w:color w:val="000000" w:themeColor="text1"/>
              </w:rPr>
            </w:pPr>
            <w:r w:rsidRPr="00781112">
              <w:rPr>
                <w:b/>
                <w:color w:val="000000" w:themeColor="text1"/>
              </w:rPr>
              <w:t>FFY</w:t>
            </w:r>
          </w:p>
        </w:tc>
        <w:tc>
          <w:tcPr>
            <w:tcW w:w="1118" w:type="pct"/>
            <w:shd w:val="clear" w:color="auto" w:fill="auto"/>
            <w:vAlign w:val="center"/>
          </w:tcPr>
          <w:p w14:paraId="12A78916" w14:textId="4FE79E21" w:rsidR="00B67FCE" w:rsidRPr="00781112" w:rsidRDefault="00B67FCE" w:rsidP="00D62058">
            <w:pPr>
              <w:jc w:val="center"/>
              <w:rPr>
                <w:b/>
                <w:color w:val="000000" w:themeColor="text1"/>
              </w:rPr>
            </w:pPr>
            <w:r w:rsidRPr="00781112">
              <w:rPr>
                <w:b/>
                <w:color w:val="000000" w:themeColor="text1"/>
              </w:rPr>
              <w:t>2022</w:t>
            </w:r>
          </w:p>
        </w:tc>
        <w:tc>
          <w:tcPr>
            <w:tcW w:w="1190" w:type="pct"/>
            <w:vAlign w:val="center"/>
          </w:tcPr>
          <w:p w14:paraId="252A750A" w14:textId="25138A81" w:rsidR="00B67FCE" w:rsidRPr="00781112" w:rsidRDefault="00B67FCE" w:rsidP="00D62058">
            <w:pPr>
              <w:jc w:val="center"/>
              <w:rPr>
                <w:b/>
                <w:color w:val="000000" w:themeColor="text1"/>
              </w:rPr>
            </w:pPr>
            <w:r w:rsidRPr="00781112">
              <w:rPr>
                <w:rFonts w:cs="Arial"/>
                <w:b/>
                <w:color w:val="000000" w:themeColor="text1"/>
                <w:szCs w:val="16"/>
              </w:rPr>
              <w:t>2023</w:t>
            </w:r>
          </w:p>
        </w:tc>
        <w:tc>
          <w:tcPr>
            <w:tcW w:w="1190" w:type="pct"/>
            <w:vAlign w:val="center"/>
          </w:tcPr>
          <w:p w14:paraId="68D8D021" w14:textId="79B543D0" w:rsidR="00B67FCE" w:rsidRPr="00781112" w:rsidRDefault="00B67FCE" w:rsidP="00D62058">
            <w:pPr>
              <w:jc w:val="center"/>
              <w:rPr>
                <w:b/>
                <w:color w:val="000000" w:themeColor="text1"/>
              </w:rPr>
            </w:pPr>
            <w:r w:rsidRPr="00781112">
              <w:rPr>
                <w:rFonts w:cs="Arial"/>
                <w:b/>
                <w:color w:val="000000" w:themeColor="text1"/>
                <w:szCs w:val="16"/>
              </w:rPr>
              <w:t>2024</w:t>
            </w:r>
          </w:p>
        </w:tc>
        <w:tc>
          <w:tcPr>
            <w:tcW w:w="1190" w:type="pct"/>
            <w:vAlign w:val="center"/>
          </w:tcPr>
          <w:p w14:paraId="60B57779" w14:textId="39F7714F" w:rsidR="00B67FCE" w:rsidRPr="00781112" w:rsidRDefault="00B67FCE" w:rsidP="00D62058">
            <w:pPr>
              <w:jc w:val="center"/>
              <w:rPr>
                <w:b/>
                <w:color w:val="000000" w:themeColor="text1"/>
              </w:rPr>
            </w:pPr>
            <w:r w:rsidRPr="00781112">
              <w:rPr>
                <w:rFonts w:cs="Arial"/>
                <w:b/>
                <w:color w:val="000000" w:themeColor="text1"/>
                <w:szCs w:val="16"/>
              </w:rPr>
              <w:t>2025</w:t>
            </w:r>
          </w:p>
        </w:tc>
      </w:tr>
      <w:tr w:rsidR="00B67FCE" w:rsidRPr="00781112" w14:paraId="18C73B9A" w14:textId="4A314190" w:rsidTr="00845B9B">
        <w:trPr>
          <w:trHeight w:val="340"/>
        </w:trPr>
        <w:tc>
          <w:tcPr>
            <w:tcW w:w="311" w:type="pct"/>
            <w:shd w:val="clear" w:color="auto" w:fill="auto"/>
            <w:vAlign w:val="center"/>
          </w:tcPr>
          <w:p w14:paraId="507B0BCD" w14:textId="415A5723" w:rsidR="00B67FCE" w:rsidRPr="00781112" w:rsidRDefault="00B67FCE" w:rsidP="00BA3DBE">
            <w:pPr>
              <w:jc w:val="center"/>
              <w:rPr>
                <w:rFonts w:cs="Arial"/>
                <w:color w:val="000000" w:themeColor="text1"/>
                <w:szCs w:val="16"/>
              </w:rPr>
            </w:pPr>
            <w:r w:rsidRPr="00781112">
              <w:rPr>
                <w:rFonts w:cs="Arial"/>
                <w:color w:val="000000" w:themeColor="text1"/>
                <w:szCs w:val="16"/>
              </w:rPr>
              <w:t>Target A1 &gt;=</w:t>
            </w:r>
          </w:p>
        </w:tc>
        <w:tc>
          <w:tcPr>
            <w:tcW w:w="1118" w:type="pct"/>
            <w:shd w:val="clear" w:color="auto" w:fill="auto"/>
            <w:vAlign w:val="center"/>
          </w:tcPr>
          <w:p w14:paraId="1B809E80" w14:textId="23651174" w:rsidR="00B67FCE" w:rsidRPr="00781112" w:rsidRDefault="00B67FCE" w:rsidP="00D62058">
            <w:pPr>
              <w:jc w:val="center"/>
              <w:rPr>
                <w:color w:val="000000" w:themeColor="text1"/>
              </w:rPr>
            </w:pPr>
            <w:r w:rsidRPr="00781112">
              <w:rPr>
                <w:color w:val="000000" w:themeColor="text1"/>
              </w:rPr>
              <w:t>70.01%</w:t>
            </w:r>
          </w:p>
        </w:tc>
        <w:tc>
          <w:tcPr>
            <w:tcW w:w="1190" w:type="pct"/>
            <w:vAlign w:val="center"/>
          </w:tcPr>
          <w:p w14:paraId="5EAD01EF" w14:textId="12066A13" w:rsidR="00B67FCE" w:rsidRPr="00781112" w:rsidRDefault="00B67FCE" w:rsidP="00D62058">
            <w:pPr>
              <w:jc w:val="center"/>
              <w:rPr>
                <w:color w:val="000000" w:themeColor="text1"/>
              </w:rPr>
            </w:pPr>
            <w:r w:rsidRPr="00781112">
              <w:rPr>
                <w:color w:val="000000" w:themeColor="text1"/>
                <w:szCs w:val="16"/>
              </w:rPr>
              <w:t>71.01%</w:t>
            </w:r>
          </w:p>
        </w:tc>
        <w:tc>
          <w:tcPr>
            <w:tcW w:w="1190" w:type="pct"/>
            <w:vAlign w:val="center"/>
          </w:tcPr>
          <w:p w14:paraId="2E3018C0" w14:textId="3758E6A1" w:rsidR="00B67FCE" w:rsidRPr="00781112" w:rsidRDefault="00B67FCE" w:rsidP="00D62058">
            <w:pPr>
              <w:jc w:val="center"/>
              <w:rPr>
                <w:color w:val="000000" w:themeColor="text1"/>
              </w:rPr>
            </w:pPr>
            <w:r w:rsidRPr="00781112">
              <w:rPr>
                <w:color w:val="000000" w:themeColor="text1"/>
                <w:szCs w:val="16"/>
              </w:rPr>
              <w:t>72.51%</w:t>
            </w:r>
          </w:p>
        </w:tc>
        <w:tc>
          <w:tcPr>
            <w:tcW w:w="1190" w:type="pct"/>
            <w:vAlign w:val="center"/>
          </w:tcPr>
          <w:p w14:paraId="063238F2" w14:textId="239B2312" w:rsidR="00B67FCE" w:rsidRPr="00781112" w:rsidRDefault="00B67FCE" w:rsidP="00D62058">
            <w:pPr>
              <w:jc w:val="center"/>
              <w:rPr>
                <w:color w:val="000000" w:themeColor="text1"/>
              </w:rPr>
            </w:pPr>
            <w:r w:rsidRPr="00781112">
              <w:rPr>
                <w:color w:val="000000" w:themeColor="text1"/>
                <w:szCs w:val="16"/>
              </w:rPr>
              <w:t>74.51%</w:t>
            </w:r>
          </w:p>
        </w:tc>
      </w:tr>
      <w:tr w:rsidR="00B67FCE" w:rsidRPr="00781112" w14:paraId="7C704220" w14:textId="4A1FC69E" w:rsidTr="00845B9B">
        <w:trPr>
          <w:trHeight w:val="340"/>
        </w:trPr>
        <w:tc>
          <w:tcPr>
            <w:tcW w:w="311" w:type="pct"/>
            <w:shd w:val="clear" w:color="auto" w:fill="auto"/>
            <w:vAlign w:val="center"/>
          </w:tcPr>
          <w:p w14:paraId="253AADF0" w14:textId="721E9C65" w:rsidR="00B67FCE" w:rsidRPr="00781112" w:rsidRDefault="00B67FCE" w:rsidP="00BA3DBE">
            <w:pPr>
              <w:jc w:val="center"/>
              <w:rPr>
                <w:rFonts w:cs="Arial"/>
                <w:color w:val="000000" w:themeColor="text1"/>
                <w:szCs w:val="16"/>
              </w:rPr>
            </w:pPr>
            <w:r w:rsidRPr="00781112">
              <w:rPr>
                <w:rFonts w:cs="Arial"/>
                <w:color w:val="000000" w:themeColor="text1"/>
                <w:szCs w:val="16"/>
              </w:rPr>
              <w:t>Target A2 &gt;=</w:t>
            </w:r>
          </w:p>
        </w:tc>
        <w:tc>
          <w:tcPr>
            <w:tcW w:w="1118" w:type="pct"/>
            <w:shd w:val="clear" w:color="auto" w:fill="auto"/>
            <w:vAlign w:val="center"/>
          </w:tcPr>
          <w:p w14:paraId="572F97E5" w14:textId="71E20118" w:rsidR="00B67FCE" w:rsidRPr="00781112" w:rsidRDefault="00B67FCE" w:rsidP="00D62058">
            <w:pPr>
              <w:jc w:val="center"/>
              <w:rPr>
                <w:rFonts w:cs="Arial"/>
                <w:color w:val="000000" w:themeColor="text1"/>
                <w:szCs w:val="16"/>
              </w:rPr>
            </w:pPr>
            <w:r w:rsidRPr="00781112">
              <w:rPr>
                <w:rFonts w:cs="Arial"/>
                <w:color w:val="000000" w:themeColor="text1"/>
                <w:szCs w:val="16"/>
              </w:rPr>
              <w:t>42.92%</w:t>
            </w:r>
          </w:p>
        </w:tc>
        <w:tc>
          <w:tcPr>
            <w:tcW w:w="1190" w:type="pct"/>
            <w:vAlign w:val="center"/>
          </w:tcPr>
          <w:p w14:paraId="40137C22" w14:textId="775C9D4C" w:rsidR="00B67FCE" w:rsidRPr="00781112" w:rsidRDefault="00B67FCE" w:rsidP="00D62058">
            <w:pPr>
              <w:jc w:val="center"/>
              <w:rPr>
                <w:rFonts w:cs="Arial"/>
                <w:color w:val="000000" w:themeColor="text1"/>
                <w:szCs w:val="16"/>
              </w:rPr>
            </w:pPr>
            <w:r w:rsidRPr="00781112">
              <w:rPr>
                <w:color w:val="000000" w:themeColor="text1"/>
                <w:szCs w:val="16"/>
              </w:rPr>
              <w:t>43.92%</w:t>
            </w:r>
          </w:p>
        </w:tc>
        <w:tc>
          <w:tcPr>
            <w:tcW w:w="1190" w:type="pct"/>
            <w:vAlign w:val="center"/>
          </w:tcPr>
          <w:p w14:paraId="468DEAEF" w14:textId="0B21BE62" w:rsidR="00B67FCE" w:rsidRPr="00781112" w:rsidRDefault="00B67FCE" w:rsidP="00D62058">
            <w:pPr>
              <w:jc w:val="center"/>
              <w:rPr>
                <w:rFonts w:cs="Arial"/>
                <w:color w:val="000000" w:themeColor="text1"/>
                <w:szCs w:val="16"/>
              </w:rPr>
            </w:pPr>
            <w:r w:rsidRPr="00781112">
              <w:rPr>
                <w:color w:val="000000" w:themeColor="text1"/>
                <w:szCs w:val="16"/>
              </w:rPr>
              <w:t>45.42%</w:t>
            </w:r>
          </w:p>
        </w:tc>
        <w:tc>
          <w:tcPr>
            <w:tcW w:w="1190" w:type="pct"/>
            <w:vAlign w:val="center"/>
          </w:tcPr>
          <w:p w14:paraId="4D7AB0B5" w14:textId="5F153351" w:rsidR="00B67FCE" w:rsidRPr="00781112" w:rsidRDefault="00B67FCE" w:rsidP="00D62058">
            <w:pPr>
              <w:jc w:val="center"/>
              <w:rPr>
                <w:rFonts w:cs="Arial"/>
                <w:color w:val="000000" w:themeColor="text1"/>
                <w:szCs w:val="16"/>
              </w:rPr>
            </w:pPr>
            <w:r w:rsidRPr="00781112">
              <w:rPr>
                <w:color w:val="000000" w:themeColor="text1"/>
                <w:szCs w:val="16"/>
              </w:rPr>
              <w:t>47.42%</w:t>
            </w:r>
          </w:p>
        </w:tc>
      </w:tr>
      <w:tr w:rsidR="00B67FCE" w:rsidRPr="00781112" w14:paraId="6D44D644" w14:textId="2AAE55F2" w:rsidTr="00845B9B">
        <w:trPr>
          <w:trHeight w:val="340"/>
        </w:trPr>
        <w:tc>
          <w:tcPr>
            <w:tcW w:w="311" w:type="pct"/>
            <w:shd w:val="clear" w:color="auto" w:fill="auto"/>
            <w:vAlign w:val="center"/>
          </w:tcPr>
          <w:p w14:paraId="2E46543E" w14:textId="484E799D" w:rsidR="00B67FCE" w:rsidRPr="00781112" w:rsidRDefault="00B67FCE" w:rsidP="00BA3DBE">
            <w:pPr>
              <w:jc w:val="center"/>
              <w:rPr>
                <w:rFonts w:cs="Arial"/>
                <w:color w:val="000000" w:themeColor="text1"/>
                <w:szCs w:val="16"/>
              </w:rPr>
            </w:pPr>
            <w:r w:rsidRPr="00781112">
              <w:rPr>
                <w:rFonts w:cs="Arial"/>
                <w:color w:val="000000" w:themeColor="text1"/>
                <w:szCs w:val="16"/>
              </w:rPr>
              <w:t>Target B1 &gt;=</w:t>
            </w:r>
          </w:p>
        </w:tc>
        <w:tc>
          <w:tcPr>
            <w:tcW w:w="1118" w:type="pct"/>
            <w:shd w:val="clear" w:color="auto" w:fill="auto"/>
            <w:vAlign w:val="center"/>
          </w:tcPr>
          <w:p w14:paraId="5B1AAB6F" w14:textId="09987858" w:rsidR="00B67FCE" w:rsidRPr="00781112" w:rsidRDefault="00B67FCE" w:rsidP="00D62058">
            <w:pPr>
              <w:jc w:val="center"/>
              <w:rPr>
                <w:rFonts w:cs="Arial"/>
                <w:color w:val="000000" w:themeColor="text1"/>
                <w:szCs w:val="16"/>
              </w:rPr>
            </w:pPr>
            <w:r w:rsidRPr="00781112">
              <w:rPr>
                <w:rFonts w:cs="Arial"/>
                <w:color w:val="000000" w:themeColor="text1"/>
                <w:szCs w:val="16"/>
              </w:rPr>
              <w:t>70.03%</w:t>
            </w:r>
          </w:p>
        </w:tc>
        <w:tc>
          <w:tcPr>
            <w:tcW w:w="1190" w:type="pct"/>
            <w:vAlign w:val="center"/>
          </w:tcPr>
          <w:p w14:paraId="7D23F948" w14:textId="1533C8CE" w:rsidR="00B67FCE" w:rsidRPr="00781112" w:rsidRDefault="00B67FCE" w:rsidP="00D62058">
            <w:pPr>
              <w:jc w:val="center"/>
              <w:rPr>
                <w:rFonts w:cs="Arial"/>
                <w:color w:val="000000" w:themeColor="text1"/>
                <w:szCs w:val="16"/>
              </w:rPr>
            </w:pPr>
            <w:r w:rsidRPr="00781112">
              <w:rPr>
                <w:color w:val="000000" w:themeColor="text1"/>
                <w:szCs w:val="16"/>
              </w:rPr>
              <w:t>71.03%</w:t>
            </w:r>
          </w:p>
        </w:tc>
        <w:tc>
          <w:tcPr>
            <w:tcW w:w="1190" w:type="pct"/>
            <w:vAlign w:val="center"/>
          </w:tcPr>
          <w:p w14:paraId="681F2D39" w14:textId="3BA1761B" w:rsidR="00B67FCE" w:rsidRPr="00781112" w:rsidRDefault="00B67FCE" w:rsidP="00D62058">
            <w:pPr>
              <w:jc w:val="center"/>
              <w:rPr>
                <w:rFonts w:cs="Arial"/>
                <w:color w:val="000000" w:themeColor="text1"/>
                <w:szCs w:val="16"/>
              </w:rPr>
            </w:pPr>
            <w:r w:rsidRPr="00781112">
              <w:rPr>
                <w:color w:val="000000" w:themeColor="text1"/>
                <w:szCs w:val="16"/>
              </w:rPr>
              <w:t>72.53%</w:t>
            </w:r>
          </w:p>
        </w:tc>
        <w:tc>
          <w:tcPr>
            <w:tcW w:w="1190" w:type="pct"/>
            <w:vAlign w:val="center"/>
          </w:tcPr>
          <w:p w14:paraId="0F16DD78" w14:textId="0278257D" w:rsidR="00B67FCE" w:rsidRPr="00781112" w:rsidRDefault="00B67FCE" w:rsidP="00D62058">
            <w:pPr>
              <w:jc w:val="center"/>
              <w:rPr>
                <w:rFonts w:cs="Arial"/>
                <w:color w:val="000000" w:themeColor="text1"/>
                <w:szCs w:val="16"/>
              </w:rPr>
            </w:pPr>
            <w:r w:rsidRPr="00781112">
              <w:rPr>
                <w:color w:val="000000" w:themeColor="text1"/>
                <w:szCs w:val="16"/>
              </w:rPr>
              <w:t>74.53%</w:t>
            </w:r>
          </w:p>
        </w:tc>
      </w:tr>
      <w:tr w:rsidR="00B67FCE" w:rsidRPr="00781112" w14:paraId="23425CD0" w14:textId="2D15C5CA" w:rsidTr="00845B9B">
        <w:trPr>
          <w:trHeight w:val="340"/>
        </w:trPr>
        <w:tc>
          <w:tcPr>
            <w:tcW w:w="311" w:type="pct"/>
            <w:shd w:val="clear" w:color="auto" w:fill="auto"/>
            <w:vAlign w:val="center"/>
          </w:tcPr>
          <w:p w14:paraId="7DAA620C" w14:textId="6D6F79FD" w:rsidR="00B67FCE" w:rsidRPr="00781112" w:rsidRDefault="00B67FCE" w:rsidP="00BA3DBE">
            <w:pPr>
              <w:jc w:val="center"/>
              <w:rPr>
                <w:rFonts w:cs="Arial"/>
                <w:color w:val="000000" w:themeColor="text1"/>
                <w:szCs w:val="16"/>
              </w:rPr>
            </w:pPr>
            <w:r w:rsidRPr="00781112">
              <w:rPr>
                <w:rFonts w:cs="Arial"/>
                <w:color w:val="000000" w:themeColor="text1"/>
                <w:szCs w:val="16"/>
              </w:rPr>
              <w:t>Target B2 &gt;=</w:t>
            </w:r>
          </w:p>
        </w:tc>
        <w:tc>
          <w:tcPr>
            <w:tcW w:w="1118" w:type="pct"/>
            <w:shd w:val="clear" w:color="auto" w:fill="auto"/>
            <w:vAlign w:val="center"/>
          </w:tcPr>
          <w:p w14:paraId="0C8065AA" w14:textId="2AC4B20C" w:rsidR="00B67FCE" w:rsidRPr="00781112" w:rsidRDefault="00B67FCE" w:rsidP="00D62058">
            <w:pPr>
              <w:jc w:val="center"/>
              <w:rPr>
                <w:rFonts w:cs="Arial"/>
                <w:color w:val="000000" w:themeColor="text1"/>
                <w:szCs w:val="16"/>
              </w:rPr>
            </w:pPr>
            <w:r w:rsidRPr="00781112">
              <w:rPr>
                <w:rFonts w:cs="Arial"/>
                <w:color w:val="000000" w:themeColor="text1"/>
                <w:szCs w:val="16"/>
              </w:rPr>
              <w:t>38.09%</w:t>
            </w:r>
          </w:p>
        </w:tc>
        <w:tc>
          <w:tcPr>
            <w:tcW w:w="1190" w:type="pct"/>
            <w:vAlign w:val="center"/>
          </w:tcPr>
          <w:p w14:paraId="3751A50F" w14:textId="3383D4A8" w:rsidR="00B67FCE" w:rsidRPr="00781112" w:rsidRDefault="00B67FCE" w:rsidP="00D62058">
            <w:pPr>
              <w:jc w:val="center"/>
              <w:rPr>
                <w:rFonts w:cs="Arial"/>
                <w:color w:val="000000" w:themeColor="text1"/>
                <w:szCs w:val="16"/>
              </w:rPr>
            </w:pPr>
            <w:r w:rsidRPr="00781112">
              <w:rPr>
                <w:color w:val="000000" w:themeColor="text1"/>
                <w:szCs w:val="16"/>
              </w:rPr>
              <w:t>39.09%</w:t>
            </w:r>
          </w:p>
        </w:tc>
        <w:tc>
          <w:tcPr>
            <w:tcW w:w="1190" w:type="pct"/>
            <w:vAlign w:val="center"/>
          </w:tcPr>
          <w:p w14:paraId="5235FFA6" w14:textId="4138DEB0" w:rsidR="00B67FCE" w:rsidRPr="00781112" w:rsidRDefault="00B67FCE" w:rsidP="00D62058">
            <w:pPr>
              <w:jc w:val="center"/>
              <w:rPr>
                <w:rFonts w:cs="Arial"/>
                <w:color w:val="000000" w:themeColor="text1"/>
                <w:szCs w:val="16"/>
              </w:rPr>
            </w:pPr>
            <w:r w:rsidRPr="00781112">
              <w:rPr>
                <w:color w:val="000000" w:themeColor="text1"/>
                <w:szCs w:val="16"/>
              </w:rPr>
              <w:t>40.59%</w:t>
            </w:r>
          </w:p>
        </w:tc>
        <w:tc>
          <w:tcPr>
            <w:tcW w:w="1190" w:type="pct"/>
            <w:vAlign w:val="center"/>
          </w:tcPr>
          <w:p w14:paraId="7C9D5CEA" w14:textId="1B842876" w:rsidR="00B67FCE" w:rsidRPr="00781112" w:rsidRDefault="00B67FCE" w:rsidP="00D62058">
            <w:pPr>
              <w:jc w:val="center"/>
              <w:rPr>
                <w:rFonts w:cs="Arial"/>
                <w:color w:val="000000" w:themeColor="text1"/>
                <w:szCs w:val="16"/>
              </w:rPr>
            </w:pPr>
            <w:r w:rsidRPr="00781112">
              <w:rPr>
                <w:color w:val="000000" w:themeColor="text1"/>
                <w:szCs w:val="16"/>
              </w:rPr>
              <w:t>42.59%</w:t>
            </w:r>
          </w:p>
        </w:tc>
      </w:tr>
      <w:tr w:rsidR="00B67FCE" w:rsidRPr="00781112" w14:paraId="3A0A624F" w14:textId="2DA1E496" w:rsidTr="00845B9B">
        <w:trPr>
          <w:trHeight w:val="340"/>
        </w:trPr>
        <w:tc>
          <w:tcPr>
            <w:tcW w:w="311" w:type="pct"/>
            <w:shd w:val="clear" w:color="auto" w:fill="auto"/>
            <w:vAlign w:val="center"/>
          </w:tcPr>
          <w:p w14:paraId="04DCCFAA" w14:textId="5591B965" w:rsidR="00B67FCE" w:rsidRPr="00781112" w:rsidRDefault="00B67FCE" w:rsidP="00BA3DBE">
            <w:pPr>
              <w:jc w:val="center"/>
              <w:rPr>
                <w:rFonts w:cs="Arial"/>
                <w:color w:val="000000" w:themeColor="text1"/>
                <w:szCs w:val="16"/>
              </w:rPr>
            </w:pPr>
            <w:r w:rsidRPr="00781112">
              <w:rPr>
                <w:rFonts w:cs="Arial"/>
                <w:color w:val="000000" w:themeColor="text1"/>
                <w:szCs w:val="16"/>
              </w:rPr>
              <w:t>Target C1 &gt;=</w:t>
            </w:r>
          </w:p>
        </w:tc>
        <w:tc>
          <w:tcPr>
            <w:tcW w:w="1118" w:type="pct"/>
            <w:shd w:val="clear" w:color="auto" w:fill="auto"/>
            <w:vAlign w:val="center"/>
          </w:tcPr>
          <w:p w14:paraId="26176209" w14:textId="03FEA13C" w:rsidR="00B67FCE" w:rsidRPr="00781112" w:rsidRDefault="00B67FCE" w:rsidP="00D62058">
            <w:pPr>
              <w:jc w:val="center"/>
              <w:rPr>
                <w:rFonts w:cs="Arial"/>
                <w:color w:val="000000" w:themeColor="text1"/>
                <w:szCs w:val="16"/>
              </w:rPr>
            </w:pPr>
            <w:r w:rsidRPr="00781112">
              <w:rPr>
                <w:rFonts w:cs="Arial"/>
                <w:color w:val="000000" w:themeColor="text1"/>
                <w:szCs w:val="16"/>
              </w:rPr>
              <w:t>69.91%</w:t>
            </w:r>
          </w:p>
        </w:tc>
        <w:tc>
          <w:tcPr>
            <w:tcW w:w="1190" w:type="pct"/>
            <w:vAlign w:val="center"/>
          </w:tcPr>
          <w:p w14:paraId="36CB20B0" w14:textId="212CC3E5" w:rsidR="00B67FCE" w:rsidRPr="00781112" w:rsidRDefault="00B67FCE" w:rsidP="00D62058">
            <w:pPr>
              <w:jc w:val="center"/>
              <w:rPr>
                <w:rFonts w:cs="Arial"/>
                <w:color w:val="000000" w:themeColor="text1"/>
                <w:szCs w:val="16"/>
              </w:rPr>
            </w:pPr>
            <w:r w:rsidRPr="00781112">
              <w:rPr>
                <w:color w:val="000000" w:themeColor="text1"/>
                <w:szCs w:val="16"/>
              </w:rPr>
              <w:t>70.91%</w:t>
            </w:r>
          </w:p>
        </w:tc>
        <w:tc>
          <w:tcPr>
            <w:tcW w:w="1190" w:type="pct"/>
            <w:vAlign w:val="center"/>
          </w:tcPr>
          <w:p w14:paraId="29B1E3BE" w14:textId="0FFFD561" w:rsidR="00B67FCE" w:rsidRPr="00781112" w:rsidRDefault="00B67FCE" w:rsidP="00D62058">
            <w:pPr>
              <w:jc w:val="center"/>
              <w:rPr>
                <w:rFonts w:cs="Arial"/>
                <w:color w:val="000000" w:themeColor="text1"/>
                <w:szCs w:val="16"/>
              </w:rPr>
            </w:pPr>
            <w:r w:rsidRPr="00781112">
              <w:rPr>
                <w:color w:val="000000" w:themeColor="text1"/>
                <w:szCs w:val="16"/>
              </w:rPr>
              <w:t>72.41%</w:t>
            </w:r>
          </w:p>
        </w:tc>
        <w:tc>
          <w:tcPr>
            <w:tcW w:w="1190" w:type="pct"/>
            <w:vAlign w:val="center"/>
          </w:tcPr>
          <w:p w14:paraId="287AC7C4" w14:textId="5C0E3064" w:rsidR="00B67FCE" w:rsidRPr="00781112" w:rsidRDefault="00B67FCE" w:rsidP="00D62058">
            <w:pPr>
              <w:jc w:val="center"/>
              <w:rPr>
                <w:rFonts w:cs="Arial"/>
                <w:color w:val="000000" w:themeColor="text1"/>
                <w:szCs w:val="16"/>
              </w:rPr>
            </w:pPr>
            <w:r w:rsidRPr="00781112">
              <w:rPr>
                <w:color w:val="000000" w:themeColor="text1"/>
                <w:szCs w:val="16"/>
              </w:rPr>
              <w:t>74.41%</w:t>
            </w:r>
          </w:p>
        </w:tc>
      </w:tr>
      <w:tr w:rsidR="00B67FCE" w:rsidRPr="00781112" w14:paraId="7FD0F8D0" w14:textId="6F160F3D" w:rsidTr="00845B9B">
        <w:trPr>
          <w:trHeight w:val="340"/>
        </w:trPr>
        <w:tc>
          <w:tcPr>
            <w:tcW w:w="311" w:type="pct"/>
            <w:shd w:val="clear" w:color="auto" w:fill="auto"/>
            <w:vAlign w:val="center"/>
          </w:tcPr>
          <w:p w14:paraId="16DEC104" w14:textId="6A28B34F" w:rsidR="00B67FCE" w:rsidRPr="00781112" w:rsidRDefault="00B67FCE" w:rsidP="00BA3DBE">
            <w:pPr>
              <w:jc w:val="center"/>
              <w:rPr>
                <w:rFonts w:cs="Arial"/>
                <w:color w:val="000000" w:themeColor="text1"/>
                <w:szCs w:val="16"/>
              </w:rPr>
            </w:pPr>
            <w:r w:rsidRPr="00781112">
              <w:rPr>
                <w:rFonts w:cs="Arial"/>
                <w:color w:val="000000" w:themeColor="text1"/>
                <w:szCs w:val="16"/>
              </w:rPr>
              <w:t>Target C2 &gt;=</w:t>
            </w:r>
          </w:p>
        </w:tc>
        <w:tc>
          <w:tcPr>
            <w:tcW w:w="1118" w:type="pct"/>
            <w:shd w:val="clear" w:color="auto" w:fill="auto"/>
            <w:vAlign w:val="center"/>
          </w:tcPr>
          <w:p w14:paraId="7A9F674E" w14:textId="54CCEACA" w:rsidR="00B67FCE" w:rsidRPr="00781112" w:rsidRDefault="00B67FCE" w:rsidP="00AD5583">
            <w:pPr>
              <w:jc w:val="center"/>
              <w:rPr>
                <w:rFonts w:cs="Arial"/>
                <w:color w:val="000000" w:themeColor="text1"/>
                <w:szCs w:val="16"/>
              </w:rPr>
            </w:pPr>
            <w:r w:rsidRPr="00781112">
              <w:rPr>
                <w:rFonts w:cs="Arial"/>
                <w:color w:val="000000" w:themeColor="text1"/>
                <w:szCs w:val="16"/>
              </w:rPr>
              <w:t>50.76%</w:t>
            </w:r>
          </w:p>
        </w:tc>
        <w:tc>
          <w:tcPr>
            <w:tcW w:w="1190" w:type="pct"/>
            <w:vAlign w:val="center"/>
          </w:tcPr>
          <w:p w14:paraId="1A528F77" w14:textId="13F14B9B" w:rsidR="00B67FCE" w:rsidRPr="00781112" w:rsidRDefault="00B67FCE" w:rsidP="00AD5583">
            <w:pPr>
              <w:jc w:val="center"/>
              <w:rPr>
                <w:rFonts w:cs="Arial"/>
                <w:color w:val="000000" w:themeColor="text1"/>
                <w:szCs w:val="16"/>
              </w:rPr>
            </w:pPr>
            <w:r w:rsidRPr="00781112">
              <w:rPr>
                <w:color w:val="000000" w:themeColor="text1"/>
                <w:szCs w:val="16"/>
              </w:rPr>
              <w:t>51.76%</w:t>
            </w:r>
          </w:p>
          <w:p w14:paraId="3C5378CB" w14:textId="5A59E833" w:rsidR="00B67FCE" w:rsidRPr="00781112" w:rsidRDefault="00B67FCE" w:rsidP="00AD5583">
            <w:pPr>
              <w:jc w:val="center"/>
              <w:rPr>
                <w:rFonts w:cs="Arial"/>
                <w:color w:val="000000" w:themeColor="text1"/>
                <w:szCs w:val="16"/>
              </w:rPr>
            </w:pPr>
          </w:p>
        </w:tc>
        <w:tc>
          <w:tcPr>
            <w:tcW w:w="1190" w:type="pct"/>
            <w:vAlign w:val="center"/>
          </w:tcPr>
          <w:p w14:paraId="694DD14B" w14:textId="0FC2BAFA" w:rsidR="00B67FCE" w:rsidRPr="00781112" w:rsidRDefault="00B67FCE" w:rsidP="00AD5583">
            <w:pPr>
              <w:jc w:val="center"/>
              <w:rPr>
                <w:rFonts w:cs="Arial"/>
                <w:color w:val="000000" w:themeColor="text1"/>
                <w:szCs w:val="16"/>
              </w:rPr>
            </w:pPr>
            <w:r w:rsidRPr="00781112">
              <w:rPr>
                <w:color w:val="000000" w:themeColor="text1"/>
                <w:szCs w:val="16"/>
              </w:rPr>
              <w:t>53.26%</w:t>
            </w:r>
          </w:p>
        </w:tc>
        <w:tc>
          <w:tcPr>
            <w:tcW w:w="1190" w:type="pct"/>
            <w:vAlign w:val="center"/>
          </w:tcPr>
          <w:p w14:paraId="69632A5F" w14:textId="59530F4E" w:rsidR="00B67FCE" w:rsidRPr="00781112" w:rsidRDefault="00B67FCE" w:rsidP="00AD5583">
            <w:pPr>
              <w:jc w:val="center"/>
              <w:rPr>
                <w:rFonts w:cs="Arial"/>
                <w:color w:val="000000" w:themeColor="text1"/>
                <w:szCs w:val="16"/>
              </w:rPr>
            </w:pPr>
            <w:r w:rsidRPr="00781112">
              <w:rPr>
                <w:color w:val="000000" w:themeColor="text1"/>
                <w:szCs w:val="16"/>
              </w:rPr>
              <w:t>55.26%</w:t>
            </w:r>
          </w:p>
        </w:tc>
      </w:tr>
    </w:tbl>
    <w:p w14:paraId="49CD323A" w14:textId="0F9742B3" w:rsidR="002D145D" w:rsidRPr="00781112" w:rsidRDefault="002D145D" w:rsidP="004369B2">
      <w:pPr>
        <w:rPr>
          <w:b/>
          <w:color w:val="000000" w:themeColor="text1"/>
        </w:rPr>
      </w:pPr>
      <w:r w:rsidRPr="00781112">
        <w:rPr>
          <w:b/>
          <w:color w:val="000000" w:themeColor="text1"/>
        </w:rPr>
        <w:t xml:space="preserve">Targets: Description of Stakeholder Input </w:t>
      </w:r>
    </w:p>
    <w:p w14:paraId="600CB488" w14:textId="412B2B81" w:rsidR="002D145D" w:rsidRPr="00781112" w:rsidRDefault="002B7490" w:rsidP="002D145D">
      <w:pPr>
        <w:rPr>
          <w:rFonts w:cs="Arial"/>
          <w:color w:val="000000" w:themeColor="text1"/>
          <w:szCs w:val="16"/>
        </w:rPr>
      </w:pPr>
      <w:r w:rsidRPr="00781112">
        <w:rPr>
          <w:rFonts w:cs="Arial"/>
          <w:color w:val="000000" w:themeColor="text1"/>
          <w:szCs w:val="16"/>
        </w:rPr>
        <w:lastRenderedPageBreak/>
        <w:t>Mechanism for Broad Stakeholder Input:</w:t>
        <w:br/>
        <w:t xml:space="preserve">During FFY2022, the State held stakeholder meetings as the mechanism for soliciting broad stakeholder input on the State’s targets in the SPP/APR and any subsequent revisions. The meetings were held in-person for the first time following the COVID-19 pandemic. An online option was available for stakeholders that were not able to meet in person. In the meetings, Stakeholder groups reviewed the FFY2021 data, and the baselines and targets established for FFY 2020-2025. The groups analyzed the data to determine if established baselines and targets established in the prior year, were still an accurate depiction of the state’s performance trajectory. The meetings also allowed time for stakeholders to provide input on improvement strategies and progress for the SPP/APR indicators. The State also revised its methodology for Indicators 4a and 4b in which the information was shared with stakeholders and input was sought. In addition, the State also proposed a revised LEA annual determination rubric to include target indicators. The revised rubric will be used with FFY2023 LEA annual determinations and is consistent with the information in the OSEP Question and Answer document QA 23-01. </w:t>
        <w:br/>
        <w:t/>
        <w:br/>
        <w:t xml:space="preserve">Stakeholder meeting information including meeting logistics and presentations are available on the Special Education Division (SED) website for the public and any interested individual to access. Flyers were created and LEAs were asked to disseminate the information to their staff, parents, and students. The Parent Training Centers (PTCs) were asked to share the meeting information with parents including through social media. Other groups such as tribes, IDEA panel members, the State Special Education Ombud, and other parent advocacy groups were sent invitations to each of the meetings. </w:t>
        <w:br/>
        <w:t/>
        <w:br/>
        <w:t>Any stakeholder that wanted to provide feedback but could not attend the meetings, had an opportunity to do so. On the State’s stakeholder page, individuals can click on the link and share their input with the state staff by completing an input form. The feedback received from the website is also considered when making revisions and establishing targets.</w:t>
        <w:br/>
        <w:t/>
        <w:br/>
        <w:t>Feedback Summary:</w:t>
        <w:br/>
        <w:t>For Indicators 4a and 4b, the State’s methodology was proposed to be changed to meet OSEP requirements as indicated in the FFY2021, SPP/APR OSEP Responses and Required Actions. Stakeholders were presented with the new proposed methodology in which the cell size of 10 requirement was removed, the N size was reduced to 10 and a rate ratio of 3.0 was introduced. In comparison to the previous methodology, where a cell size and N size of 10 were required as well as a risk ratio of 1 percentage point above the state rate. Stakeholders had no objections or concerns with the new methodology. The State will use the new methodology to apply to the Indicator 4 data reported in this FFY2022 State Performance Plan/Annual Performance Report (SPP/APR).</w:t>
        <w:br/>
        <w:t/>
        <w:br/>
        <w:t>Indicator 17, State Systemic Improvement Plan:</w:t>
        <w:br/>
        <w:t xml:space="preserve">1. ECLIPSE program coordinators presented data and program updates to the state IDEA Panel (members include parents, advocates, state staff, and educators) during the 2022-2023 school year. IDEA panel members were engaged in the ECLIPSE program presentation on Indicator 17 and updates. An ECLIPSE panel committee provided qualitative feedback via a Google Form survey. The panel members conveyed the program is making progress in improving literacy outcomes forward for students with disabilities. Recommendations included increasing parental involvement and increased awareness of the program's successes. </w:t>
        <w:br/>
        <w:t>2. A virtual ECLIPSE stakeholder meeting was held during the 2022-2023 school year. Stakeholders in attendance included the ECLIPSE staff, Regional Education Cooperative (REC) coordinators, Special Education Directors, and ECLIPSE school principals. Stakeholders in attendance were provided with ECLIPSE program details for the upcoming school year and verbal feedback about the ECLIPSE Program at the end of the meeting.</w:t>
        <w:br/>
        <w:t xml:space="preserve">3. Parent engagement stakeholder meetings were held in-person and through online platforms where they were provided direct literacy training via hands-on activities. If the meeting was online, materials were provided to the schools prior to the meeting. The Regional Education Cooperative (REC) contractors provided materials, activities, and training to parents in-person. The REC initiated Google Pre and Post surveys following the trainings and it indicated that the level of understanding to support reading at home increased. Parental understanding of what the predicator of reading success was increased dramatically between pre and post surveys. A summary of parent comments included that the engagement sessions provided a lot of great information, it was a fun learning experience, and they looked forward to future meetings. </w:t>
        <w:br/>
        <w:t xml:space="preserve">4. The ECLIPSE staff initiated surveys during 2022-2023 to principals and teachers through Google Forms survey. Teachers showed dramatic increases in their knowledge of the incorporation of engagement strategies with their students due to their coaches. In a pre-survey, administrators listed that professional development on literacy is one of the greatest needs of the teachers they support. They also stated that time and equitable feedback were areas of administrative need. </w:t>
        <w:br/>
        <w:t>5. An online end of year survey was sent to all ECLIPSE stakeholders as the 2022-2023 school year ended. The main consensus from the survey supported the ongoing development of the program to illustrate its impact so adjustments can be made to better inform ourselves and our stakeholders of progress.</w:t>
      </w:r>
    </w:p>
    <w:p w14:paraId="6276C0F6" w14:textId="56252E01" w:rsidR="002D145D" w:rsidRPr="00781112" w:rsidRDefault="002B7490" w:rsidP="002D145D">
      <w:pPr>
        <w:rPr>
          <w:rFonts w:cs="Arial"/>
          <w:color w:val="000000" w:themeColor="text1"/>
          <w:szCs w:val="16"/>
        </w:rPr>
      </w:pPr>
      <w:r w:rsidRPr="00781112">
        <w:rPr>
          <w:rFonts w:cs="Arial"/>
          <w:color w:val="000000" w:themeColor="text1"/>
          <w:szCs w:val="16"/>
        </w:rPr>
        <w:t/>
      </w:r>
    </w:p>
    <w:p w14:paraId="1512BEE4" w14:textId="77777777" w:rsidR="007870F8" w:rsidRPr="00781112" w:rsidRDefault="007870F8" w:rsidP="004369B2">
      <w:pPr>
        <w:rPr>
          <w:color w:val="000000" w:themeColor="text1"/>
        </w:rPr>
      </w:pPr>
    </w:p>
    <w:p w14:paraId="4D0201C3" w14:textId="07142713" w:rsidR="008751D3" w:rsidRPr="00781112" w:rsidRDefault="0047313F">
      <w:pPr>
        <w:rPr>
          <w:b/>
          <w:color w:val="000000" w:themeColor="text1"/>
        </w:rPr>
      </w:pPr>
      <w:r>
        <w:rPr>
          <w:b/>
          <w:color w:val="000000" w:themeColor="text1"/>
        </w:rPr>
        <w:t>FFY 2022 SPP/APR Data</w:t>
      </w:r>
    </w:p>
    <w:p w14:paraId="75F01957" w14:textId="463160A4" w:rsidR="004B2C2D" w:rsidRPr="00781112" w:rsidRDefault="004B2C2D">
      <w:pPr>
        <w:rPr>
          <w:rFonts w:cs="Arial"/>
          <w:b/>
          <w:color w:val="000000" w:themeColor="text1"/>
          <w:szCs w:val="16"/>
        </w:rPr>
      </w:pPr>
      <w:r w:rsidRPr="00781112">
        <w:rPr>
          <w:rFonts w:cs="Arial"/>
          <w:b/>
          <w:color w:val="000000" w:themeColor="text1"/>
          <w:szCs w:val="16"/>
        </w:rPr>
        <w:t>Number of preschool children aged 3 through 5 with IEPs assessed</w:t>
      </w:r>
    </w:p>
    <w:p w14:paraId="6F555236" w14:textId="5F84A3B7" w:rsidR="004B2C2D" w:rsidRPr="00781112" w:rsidRDefault="004B2C2D" w:rsidP="004369B2">
      <w:pPr>
        <w:rPr>
          <w:color w:val="000000" w:themeColor="text1"/>
        </w:rPr>
      </w:pPr>
      <w:r w:rsidRPr="00781112">
        <w:rPr>
          <w:rFonts w:cs="Arial"/>
          <w:color w:val="000000" w:themeColor="text1"/>
          <w:szCs w:val="16"/>
        </w:rPr>
        <w:t>3,234</w:t>
      </w:r>
    </w:p>
    <w:p w14:paraId="6AF5CF56" w14:textId="77777777" w:rsidR="00A80FEB" w:rsidRPr="00781112" w:rsidRDefault="00A80FEB" w:rsidP="004369B2">
      <w:pPr>
        <w:rPr>
          <w:color w:val="000000" w:themeColor="text1"/>
        </w:rPr>
      </w:pPr>
      <w:r w:rsidRPr="00781112">
        <w:rPr>
          <w:b/>
          <w:color w:val="000000" w:themeColor="text1"/>
        </w:rPr>
        <w:t>Outcome A: Positive social-emotional skills (including social relationships)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OUTCOMEA"/>
      </w:tblPr>
      <w:tblGrid>
        <w:gridCol w:w="7111"/>
        <w:gridCol w:w="1675"/>
        <w:gridCol w:w="2004"/>
      </w:tblGrid>
      <w:tr w:rsidR="005C29F8" w:rsidRPr="00781112" w14:paraId="7F9D0F86" w14:textId="5773C98B" w:rsidTr="0033429D">
        <w:trPr>
          <w:trHeight w:val="287"/>
          <w:tblHeader/>
        </w:trPr>
        <w:tc>
          <w:tcPr>
            <w:tcW w:w="3406" w:type="pct"/>
            <w:shd w:val="clear" w:color="auto" w:fill="auto"/>
            <w:vAlign w:val="bottom"/>
          </w:tcPr>
          <w:p w14:paraId="732006A2" w14:textId="4E4F994E" w:rsidR="008751D3" w:rsidRPr="00781112" w:rsidRDefault="00043AAB" w:rsidP="0024351A">
            <w:pPr>
              <w:rPr>
                <w:rFonts w:cs="Arial"/>
                <w:b/>
                <w:color w:val="000000" w:themeColor="text1"/>
                <w:szCs w:val="16"/>
              </w:rPr>
            </w:pPr>
            <w:r w:rsidRPr="00781112">
              <w:rPr>
                <w:rFonts w:cs="Arial"/>
                <w:b/>
                <w:color w:val="000000" w:themeColor="text1"/>
                <w:szCs w:val="16"/>
              </w:rPr>
              <w:t xml:space="preserve">Outcome A </w:t>
            </w:r>
            <w:r w:rsidRPr="00781112">
              <w:rPr>
                <w:rFonts w:cs="Arial"/>
                <w:b/>
                <w:bCs/>
                <w:color w:val="000000" w:themeColor="text1"/>
                <w:szCs w:val="16"/>
              </w:rPr>
              <w:t xml:space="preserve">Progress </w:t>
            </w:r>
            <w:r w:rsidR="009028CA" w:rsidRPr="00781112">
              <w:rPr>
                <w:rFonts w:cs="Arial"/>
                <w:b/>
                <w:bCs/>
                <w:color w:val="000000" w:themeColor="text1"/>
                <w:szCs w:val="16"/>
              </w:rPr>
              <w:t>C</w:t>
            </w:r>
            <w:r w:rsidRPr="00781112">
              <w:rPr>
                <w:rFonts w:cs="Arial"/>
                <w:b/>
                <w:bCs/>
                <w:color w:val="000000" w:themeColor="text1"/>
                <w:szCs w:val="16"/>
              </w:rPr>
              <w:t>ategor</w:t>
            </w:r>
            <w:r w:rsidR="00E91363" w:rsidRPr="00781112">
              <w:rPr>
                <w:rFonts w:cs="Arial"/>
                <w:b/>
                <w:bCs/>
                <w:color w:val="000000" w:themeColor="text1"/>
                <w:szCs w:val="16"/>
              </w:rPr>
              <w:t>y</w:t>
            </w:r>
          </w:p>
        </w:tc>
        <w:tc>
          <w:tcPr>
            <w:tcW w:w="797" w:type="pct"/>
            <w:shd w:val="clear" w:color="auto" w:fill="auto"/>
            <w:vAlign w:val="bottom"/>
          </w:tcPr>
          <w:p w14:paraId="2EAB6060" w14:textId="77777777" w:rsidR="008751D3" w:rsidRPr="00781112" w:rsidRDefault="008751D3" w:rsidP="004369B2">
            <w:pPr>
              <w:jc w:val="center"/>
              <w:rPr>
                <w:rFonts w:cs="Arial"/>
                <w:b/>
                <w:color w:val="000000" w:themeColor="text1"/>
                <w:szCs w:val="16"/>
              </w:rPr>
            </w:pPr>
            <w:r w:rsidRPr="00781112">
              <w:rPr>
                <w:rFonts w:cs="Arial"/>
                <w:b/>
                <w:color w:val="000000" w:themeColor="text1"/>
                <w:szCs w:val="16"/>
              </w:rPr>
              <w:t>Number of children</w:t>
            </w:r>
          </w:p>
        </w:tc>
        <w:tc>
          <w:tcPr>
            <w:tcW w:w="797" w:type="pct"/>
            <w:shd w:val="clear" w:color="auto" w:fill="auto"/>
            <w:vAlign w:val="bottom"/>
          </w:tcPr>
          <w:p w14:paraId="1007C28C" w14:textId="52952731" w:rsidR="008751D3" w:rsidRPr="00781112" w:rsidRDefault="008751D3" w:rsidP="004369B2">
            <w:pPr>
              <w:jc w:val="center"/>
              <w:rPr>
                <w:rFonts w:cs="Arial"/>
                <w:b/>
                <w:color w:val="000000" w:themeColor="text1"/>
                <w:szCs w:val="16"/>
              </w:rPr>
            </w:pPr>
            <w:r w:rsidRPr="00781112">
              <w:rPr>
                <w:rFonts w:cs="Arial"/>
                <w:b/>
                <w:color w:val="000000" w:themeColor="text1"/>
                <w:szCs w:val="16"/>
              </w:rPr>
              <w:t>Percentage of Children</w:t>
            </w:r>
          </w:p>
        </w:tc>
      </w:tr>
      <w:tr w:rsidR="005C29F8" w:rsidRPr="00781112" w14:paraId="0D115F3B" w14:textId="14BF41AA" w:rsidTr="00AB0D6A">
        <w:trPr>
          <w:trHeight w:val="361"/>
        </w:trPr>
        <w:tc>
          <w:tcPr>
            <w:tcW w:w="3406" w:type="pct"/>
            <w:shd w:val="clear" w:color="auto" w:fill="auto"/>
            <w:vAlign w:val="center"/>
          </w:tcPr>
          <w:p w14:paraId="476980EA" w14:textId="77777777" w:rsidR="00A86385" w:rsidRPr="00781112" w:rsidRDefault="00A86385" w:rsidP="00A86385">
            <w:pPr>
              <w:rPr>
                <w:rFonts w:cs="Arial"/>
                <w:szCs w:val="16"/>
              </w:rPr>
            </w:pPr>
            <w:r w:rsidRPr="00781112">
              <w:rPr>
                <w:rFonts w:cs="Arial"/>
                <w:szCs w:val="16"/>
              </w:rPr>
              <w:t>a. Preschool children who did not improve functioning</w:t>
            </w:r>
          </w:p>
        </w:tc>
        <w:tc>
          <w:tcPr>
            <w:tcW w:w="797" w:type="pct"/>
            <w:shd w:val="clear" w:color="auto" w:fill="auto"/>
            <w:vAlign w:val="center"/>
          </w:tcPr>
          <w:p w14:paraId="358366F4" w14:textId="107FC5B1" w:rsidR="00A86385" w:rsidRPr="00781112" w:rsidRDefault="002B7490" w:rsidP="00A018D4">
            <w:pPr>
              <w:jc w:val="center"/>
              <w:rPr>
                <w:rFonts w:cs="Arial"/>
                <w:szCs w:val="16"/>
              </w:rPr>
            </w:pPr>
            <w:r w:rsidRPr="00781112">
              <w:rPr>
                <w:rFonts w:cs="Arial"/>
                <w:szCs w:val="16"/>
              </w:rPr>
              <w:t>102</w:t>
            </w:r>
          </w:p>
        </w:tc>
        <w:tc>
          <w:tcPr>
            <w:tcW w:w="797" w:type="pct"/>
            <w:shd w:val="clear" w:color="auto" w:fill="auto"/>
            <w:vAlign w:val="center"/>
          </w:tcPr>
          <w:p w14:paraId="0846D135" w14:textId="1043D337" w:rsidR="00A86385" w:rsidRPr="00781112" w:rsidRDefault="002B7490" w:rsidP="00A018D4">
            <w:pPr>
              <w:jc w:val="center"/>
              <w:rPr>
                <w:rFonts w:cs="Arial"/>
                <w:szCs w:val="16"/>
              </w:rPr>
            </w:pPr>
            <w:r w:rsidRPr="00781112">
              <w:rPr>
                <w:rFonts w:cs="Arial"/>
                <w:szCs w:val="16"/>
              </w:rPr>
              <w:t>3.15%</w:t>
            </w:r>
          </w:p>
        </w:tc>
      </w:tr>
      <w:tr w:rsidR="005C29F8" w:rsidRPr="00781112" w14:paraId="779019AB" w14:textId="1FD48572" w:rsidTr="00AB0D6A">
        <w:trPr>
          <w:trHeight w:val="361"/>
        </w:trPr>
        <w:tc>
          <w:tcPr>
            <w:tcW w:w="3406" w:type="pct"/>
            <w:shd w:val="clear" w:color="auto" w:fill="auto"/>
            <w:vAlign w:val="center"/>
          </w:tcPr>
          <w:p w14:paraId="6E7F23F0" w14:textId="77777777" w:rsidR="00A86385" w:rsidRPr="00781112" w:rsidRDefault="00A86385" w:rsidP="00A86385">
            <w:pPr>
              <w:rPr>
                <w:rFonts w:cs="Arial"/>
                <w:szCs w:val="16"/>
              </w:rPr>
            </w:pPr>
            <w:r w:rsidRPr="00781112">
              <w:rPr>
                <w:rFonts w:cs="Arial"/>
                <w:szCs w:val="16"/>
              </w:rPr>
              <w:t>b. Preschool children who improved functioning but not sufficient to move nearer to functioning comparable to same-aged peers</w:t>
            </w:r>
          </w:p>
        </w:tc>
        <w:tc>
          <w:tcPr>
            <w:tcW w:w="797" w:type="pct"/>
            <w:shd w:val="clear" w:color="auto" w:fill="auto"/>
            <w:vAlign w:val="center"/>
          </w:tcPr>
          <w:p w14:paraId="1E928F4C" w14:textId="54E616E3" w:rsidR="00A86385" w:rsidRPr="00781112" w:rsidRDefault="002B7490" w:rsidP="00A018D4">
            <w:pPr>
              <w:jc w:val="center"/>
              <w:rPr>
                <w:rFonts w:cs="Arial"/>
                <w:szCs w:val="16"/>
              </w:rPr>
            </w:pPr>
            <w:r w:rsidRPr="00781112">
              <w:rPr>
                <w:rFonts w:cs="Arial"/>
                <w:szCs w:val="16"/>
              </w:rPr>
              <w:t>602</w:t>
            </w:r>
          </w:p>
        </w:tc>
        <w:tc>
          <w:tcPr>
            <w:tcW w:w="797" w:type="pct"/>
            <w:shd w:val="clear" w:color="auto" w:fill="auto"/>
            <w:vAlign w:val="center"/>
          </w:tcPr>
          <w:p w14:paraId="371019D1" w14:textId="49035C13" w:rsidR="00A86385" w:rsidRPr="00781112" w:rsidRDefault="002B7490" w:rsidP="00A018D4">
            <w:pPr>
              <w:jc w:val="center"/>
              <w:rPr>
                <w:rFonts w:cs="Arial"/>
                <w:szCs w:val="16"/>
              </w:rPr>
            </w:pPr>
            <w:r w:rsidRPr="00781112">
              <w:rPr>
                <w:rFonts w:cs="Arial"/>
                <w:szCs w:val="16"/>
              </w:rPr>
              <w:t>18.61%</w:t>
            </w:r>
          </w:p>
        </w:tc>
      </w:tr>
      <w:tr w:rsidR="005C29F8" w:rsidRPr="00781112" w14:paraId="3A078806" w14:textId="7FBB31A0" w:rsidTr="00AB0D6A">
        <w:trPr>
          <w:trHeight w:val="361"/>
        </w:trPr>
        <w:tc>
          <w:tcPr>
            <w:tcW w:w="3406" w:type="pct"/>
            <w:shd w:val="clear" w:color="auto" w:fill="auto"/>
            <w:vAlign w:val="center"/>
          </w:tcPr>
          <w:p w14:paraId="6E35A4C3" w14:textId="77777777" w:rsidR="00A86385" w:rsidRPr="00781112" w:rsidRDefault="00A86385" w:rsidP="00A86385">
            <w:pPr>
              <w:rPr>
                <w:rFonts w:cs="Arial"/>
                <w:szCs w:val="16"/>
              </w:rPr>
            </w:pPr>
            <w:r w:rsidRPr="00781112">
              <w:rPr>
                <w:rFonts w:cs="Arial"/>
                <w:szCs w:val="16"/>
              </w:rPr>
              <w:t>c. Preschool children who improved functioning to a level nearer to same-aged peers but did not reach it</w:t>
            </w:r>
          </w:p>
        </w:tc>
        <w:tc>
          <w:tcPr>
            <w:tcW w:w="797" w:type="pct"/>
            <w:shd w:val="clear" w:color="auto" w:fill="auto"/>
            <w:vAlign w:val="center"/>
          </w:tcPr>
          <w:p w14:paraId="1AFEBF8F" w14:textId="2E4650C8" w:rsidR="00A86385" w:rsidRPr="00781112" w:rsidRDefault="002B7490" w:rsidP="00A018D4">
            <w:pPr>
              <w:jc w:val="center"/>
              <w:rPr>
                <w:rFonts w:cs="Arial"/>
                <w:szCs w:val="16"/>
              </w:rPr>
            </w:pPr>
            <w:r w:rsidRPr="00781112">
              <w:rPr>
                <w:rFonts w:cs="Arial"/>
                <w:szCs w:val="16"/>
              </w:rPr>
              <w:t>1,043</w:t>
            </w:r>
          </w:p>
        </w:tc>
        <w:tc>
          <w:tcPr>
            <w:tcW w:w="797" w:type="pct"/>
            <w:shd w:val="clear" w:color="auto" w:fill="auto"/>
            <w:vAlign w:val="center"/>
          </w:tcPr>
          <w:p w14:paraId="4B6BCB00" w14:textId="047D3E20" w:rsidR="00A86385" w:rsidRPr="00781112" w:rsidRDefault="002B7490" w:rsidP="00A018D4">
            <w:pPr>
              <w:jc w:val="center"/>
              <w:rPr>
                <w:rFonts w:cs="Arial"/>
                <w:szCs w:val="16"/>
              </w:rPr>
            </w:pPr>
            <w:r w:rsidRPr="00781112">
              <w:rPr>
                <w:rFonts w:cs="Arial"/>
                <w:szCs w:val="16"/>
              </w:rPr>
              <w:t>32.25%</w:t>
            </w:r>
          </w:p>
        </w:tc>
      </w:tr>
      <w:tr w:rsidR="005C29F8" w:rsidRPr="00781112" w14:paraId="37EE0376" w14:textId="01578CDB" w:rsidTr="00AB0D6A">
        <w:trPr>
          <w:trHeight w:val="361"/>
        </w:trPr>
        <w:tc>
          <w:tcPr>
            <w:tcW w:w="3406" w:type="pct"/>
            <w:shd w:val="clear" w:color="auto" w:fill="auto"/>
            <w:vAlign w:val="center"/>
          </w:tcPr>
          <w:p w14:paraId="4DFA1510" w14:textId="77777777" w:rsidR="00A86385" w:rsidRPr="00781112" w:rsidRDefault="00A86385" w:rsidP="00A86385">
            <w:pPr>
              <w:rPr>
                <w:rFonts w:cs="Arial"/>
                <w:szCs w:val="16"/>
              </w:rPr>
            </w:pPr>
            <w:r w:rsidRPr="00781112">
              <w:rPr>
                <w:rFonts w:cs="Arial"/>
                <w:szCs w:val="16"/>
              </w:rPr>
              <w:t>d. Preschool children who improved functioning to reach a level comparable to same-aged peers</w:t>
            </w:r>
          </w:p>
        </w:tc>
        <w:tc>
          <w:tcPr>
            <w:tcW w:w="797" w:type="pct"/>
            <w:shd w:val="clear" w:color="auto" w:fill="auto"/>
            <w:vAlign w:val="center"/>
          </w:tcPr>
          <w:p w14:paraId="0E06DA36" w14:textId="47CC0ED8" w:rsidR="00A86385" w:rsidRPr="00781112" w:rsidRDefault="002B7490" w:rsidP="00A018D4">
            <w:pPr>
              <w:jc w:val="center"/>
              <w:rPr>
                <w:rFonts w:cs="Arial"/>
                <w:szCs w:val="16"/>
              </w:rPr>
            </w:pPr>
            <w:r w:rsidRPr="00781112">
              <w:rPr>
                <w:rFonts w:cs="Arial"/>
                <w:szCs w:val="16"/>
              </w:rPr>
              <w:t>812</w:t>
            </w:r>
          </w:p>
        </w:tc>
        <w:tc>
          <w:tcPr>
            <w:tcW w:w="797" w:type="pct"/>
            <w:shd w:val="clear" w:color="auto" w:fill="auto"/>
            <w:vAlign w:val="center"/>
          </w:tcPr>
          <w:p w14:paraId="16C35679" w14:textId="25F05A91" w:rsidR="00A86385" w:rsidRPr="00781112" w:rsidRDefault="002B7490" w:rsidP="00A018D4">
            <w:pPr>
              <w:jc w:val="center"/>
              <w:rPr>
                <w:rFonts w:cs="Arial"/>
                <w:szCs w:val="16"/>
              </w:rPr>
            </w:pPr>
            <w:r w:rsidRPr="00781112">
              <w:rPr>
                <w:rFonts w:cs="Arial"/>
                <w:szCs w:val="16"/>
              </w:rPr>
              <w:t>25.11%</w:t>
            </w:r>
          </w:p>
        </w:tc>
      </w:tr>
      <w:tr w:rsidR="005C29F8" w:rsidRPr="00781112" w14:paraId="2EAC8E4E" w14:textId="5ED91A2D" w:rsidTr="00AB0D6A">
        <w:trPr>
          <w:trHeight w:val="361"/>
        </w:trPr>
        <w:tc>
          <w:tcPr>
            <w:tcW w:w="3406" w:type="pct"/>
            <w:shd w:val="clear" w:color="auto" w:fill="auto"/>
            <w:vAlign w:val="center"/>
          </w:tcPr>
          <w:p w14:paraId="4107A866" w14:textId="77777777" w:rsidR="00A86385" w:rsidRPr="00781112" w:rsidRDefault="00A86385" w:rsidP="00A86385">
            <w:pPr>
              <w:rPr>
                <w:rFonts w:cs="Arial"/>
                <w:szCs w:val="16"/>
              </w:rPr>
            </w:pPr>
            <w:r w:rsidRPr="00781112">
              <w:rPr>
                <w:rFonts w:cs="Arial"/>
                <w:szCs w:val="16"/>
              </w:rPr>
              <w:t>e. Preschool children who maintained functioning at a level comparable to same-aged peers</w:t>
            </w:r>
          </w:p>
        </w:tc>
        <w:tc>
          <w:tcPr>
            <w:tcW w:w="797" w:type="pct"/>
            <w:shd w:val="clear" w:color="auto" w:fill="auto"/>
            <w:vAlign w:val="center"/>
          </w:tcPr>
          <w:p w14:paraId="5DD4256C" w14:textId="3B268EB2" w:rsidR="00A86385" w:rsidRPr="00781112" w:rsidRDefault="002B7490" w:rsidP="00A018D4">
            <w:pPr>
              <w:jc w:val="center"/>
              <w:rPr>
                <w:rFonts w:cs="Arial"/>
                <w:szCs w:val="16"/>
              </w:rPr>
            </w:pPr>
            <w:r w:rsidRPr="00781112">
              <w:rPr>
                <w:rFonts w:cs="Arial"/>
                <w:szCs w:val="16"/>
              </w:rPr>
              <w:t>675</w:t>
            </w:r>
          </w:p>
        </w:tc>
        <w:tc>
          <w:tcPr>
            <w:tcW w:w="797" w:type="pct"/>
            <w:shd w:val="clear" w:color="auto" w:fill="auto"/>
            <w:vAlign w:val="center"/>
          </w:tcPr>
          <w:p w14:paraId="49CE1ADC" w14:textId="7D7D7E9C" w:rsidR="00A86385" w:rsidRPr="00781112" w:rsidRDefault="002B7490" w:rsidP="00A018D4">
            <w:pPr>
              <w:jc w:val="center"/>
              <w:rPr>
                <w:rFonts w:cs="Arial"/>
                <w:szCs w:val="16"/>
              </w:rPr>
            </w:pPr>
            <w:r w:rsidRPr="00781112">
              <w:rPr>
                <w:rFonts w:cs="Arial"/>
                <w:szCs w:val="16"/>
              </w:rPr>
              <w:t>20.87%</w:t>
            </w:r>
          </w:p>
        </w:tc>
      </w:tr>
    </w:tbl>
    <w:p w14:paraId="2CDC19A8" w14:textId="77777777" w:rsidR="00A80FEB" w:rsidRPr="00781112" w:rsidRDefault="00A80FEB" w:rsidP="00A80FEB">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7OUTCOMEADATA"/>
      </w:tblPr>
      <w:tblGrid>
        <w:gridCol w:w="2245"/>
        <w:gridCol w:w="1149"/>
        <w:gridCol w:w="1234"/>
        <w:gridCol w:w="1232"/>
        <w:gridCol w:w="1234"/>
        <w:gridCol w:w="1232"/>
        <w:gridCol w:w="1234"/>
        <w:gridCol w:w="1230"/>
      </w:tblGrid>
      <w:tr w:rsidR="00AA4F85" w:rsidRPr="00781112" w14:paraId="3D9EEDAD" w14:textId="30B2445F" w:rsidTr="00AA4F85">
        <w:trPr>
          <w:trHeight w:val="354"/>
          <w:tblHeader/>
        </w:trPr>
        <w:tc>
          <w:tcPr>
            <w:tcW w:w="1040" w:type="pct"/>
            <w:shd w:val="clear" w:color="auto" w:fill="auto"/>
            <w:vAlign w:val="bottom"/>
          </w:tcPr>
          <w:p w14:paraId="12D11B46" w14:textId="1FAAAC6F" w:rsidR="00AA4F85" w:rsidRPr="00781112" w:rsidRDefault="00AA4F85" w:rsidP="00AA4F85">
            <w:pPr>
              <w:rPr>
                <w:rFonts w:cs="Arial"/>
                <w:color w:val="000000" w:themeColor="text1"/>
                <w:szCs w:val="16"/>
              </w:rPr>
            </w:pPr>
            <w:r w:rsidRPr="00781112">
              <w:rPr>
                <w:rFonts w:cs="Arial"/>
                <w:b/>
                <w:color w:val="000000" w:themeColor="text1"/>
                <w:szCs w:val="16"/>
              </w:rPr>
              <w:t>Outcome A</w:t>
            </w:r>
          </w:p>
        </w:tc>
        <w:tc>
          <w:tcPr>
            <w:tcW w:w="532" w:type="pct"/>
            <w:shd w:val="clear" w:color="auto" w:fill="auto"/>
            <w:vAlign w:val="bottom"/>
          </w:tcPr>
          <w:p w14:paraId="7B100CB7" w14:textId="77777777" w:rsidR="00AA4F85" w:rsidRPr="00781112" w:rsidRDefault="00AA4F85" w:rsidP="00AA4F85">
            <w:pPr>
              <w:jc w:val="center"/>
              <w:rPr>
                <w:rFonts w:cs="Arial"/>
                <w:b/>
                <w:color w:val="000000" w:themeColor="text1"/>
                <w:szCs w:val="16"/>
              </w:rPr>
            </w:pPr>
            <w:r w:rsidRPr="00781112">
              <w:rPr>
                <w:rFonts w:cs="Arial"/>
                <w:b/>
                <w:color w:val="000000" w:themeColor="text1"/>
                <w:szCs w:val="16"/>
              </w:rPr>
              <w:t>Numerator</w:t>
            </w:r>
          </w:p>
        </w:tc>
        <w:tc>
          <w:tcPr>
            <w:tcW w:w="572" w:type="pct"/>
            <w:shd w:val="clear" w:color="auto" w:fill="auto"/>
            <w:vAlign w:val="bottom"/>
          </w:tcPr>
          <w:p w14:paraId="31C4C2D7" w14:textId="77777777" w:rsidR="00AA4F85" w:rsidRPr="00781112" w:rsidRDefault="00AA4F85" w:rsidP="00AA4F85">
            <w:pPr>
              <w:jc w:val="center"/>
              <w:rPr>
                <w:rFonts w:cs="Arial"/>
                <w:b/>
                <w:color w:val="000000" w:themeColor="text1"/>
                <w:szCs w:val="16"/>
              </w:rPr>
            </w:pPr>
            <w:r w:rsidRPr="00781112">
              <w:rPr>
                <w:rFonts w:cs="Arial"/>
                <w:b/>
                <w:color w:val="000000" w:themeColor="text1"/>
                <w:szCs w:val="16"/>
              </w:rPr>
              <w:t>Denominator</w:t>
            </w:r>
          </w:p>
        </w:tc>
        <w:tc>
          <w:tcPr>
            <w:tcW w:w="571" w:type="pct"/>
            <w:shd w:val="clear" w:color="auto" w:fill="auto"/>
            <w:vAlign w:val="bottom"/>
          </w:tcPr>
          <w:p w14:paraId="1634F3BC" w14:textId="2B2BC2EB" w:rsidR="00AA4F85" w:rsidRPr="00CC1061" w:rsidRDefault="00AA4F85" w:rsidP="00AA4F85">
            <w:pPr>
              <w:jc w:val="center"/>
              <w:rPr>
                <w:rFonts w:cs="Arial"/>
                <w:b/>
                <w:bCs/>
                <w:color w:val="000000" w:themeColor="text1"/>
                <w:szCs w:val="16"/>
              </w:rPr>
            </w:pPr>
            <w:r w:rsidRPr="00CC1061">
              <w:rPr>
                <w:b/>
                <w:bCs/>
              </w:rPr>
              <w:t>FFY 2021 Data</w:t>
            </w:r>
          </w:p>
        </w:tc>
        <w:tc>
          <w:tcPr>
            <w:tcW w:w="572" w:type="pct"/>
            <w:shd w:val="clear" w:color="auto" w:fill="auto"/>
            <w:vAlign w:val="bottom"/>
          </w:tcPr>
          <w:p w14:paraId="41DCEE89" w14:textId="48E181FE" w:rsidR="00AA4F85" w:rsidRPr="00CC1061" w:rsidRDefault="00AA4F85" w:rsidP="00AA4F85">
            <w:pPr>
              <w:jc w:val="center"/>
              <w:rPr>
                <w:rFonts w:cs="Arial"/>
                <w:b/>
                <w:bCs/>
                <w:color w:val="000000" w:themeColor="text1"/>
                <w:szCs w:val="16"/>
              </w:rPr>
            </w:pPr>
            <w:r w:rsidRPr="00CC1061">
              <w:rPr>
                <w:b/>
                <w:bCs/>
              </w:rPr>
              <w:t>FFY 2022 Target</w:t>
            </w:r>
          </w:p>
        </w:tc>
        <w:tc>
          <w:tcPr>
            <w:tcW w:w="571" w:type="pct"/>
            <w:shd w:val="clear" w:color="auto" w:fill="auto"/>
            <w:vAlign w:val="bottom"/>
          </w:tcPr>
          <w:p w14:paraId="64737D68" w14:textId="0E44D833" w:rsidR="00AA4F85" w:rsidRPr="00CC1061" w:rsidRDefault="00AA4F85" w:rsidP="00AA4F85">
            <w:pPr>
              <w:jc w:val="center"/>
              <w:rPr>
                <w:rFonts w:cs="Arial"/>
                <w:b/>
                <w:bCs/>
                <w:color w:val="000000" w:themeColor="text1"/>
                <w:szCs w:val="16"/>
              </w:rPr>
            </w:pPr>
            <w:r w:rsidRPr="00CC1061">
              <w:rPr>
                <w:b/>
                <w:bCs/>
              </w:rPr>
              <w:t>FFY 2022 Data</w:t>
            </w:r>
          </w:p>
        </w:tc>
        <w:tc>
          <w:tcPr>
            <w:tcW w:w="572" w:type="pct"/>
            <w:shd w:val="clear" w:color="auto" w:fill="auto"/>
            <w:vAlign w:val="bottom"/>
          </w:tcPr>
          <w:p w14:paraId="4592E227" w14:textId="424684DB" w:rsidR="00AA4F85" w:rsidRPr="00781112" w:rsidRDefault="00AA4F85" w:rsidP="00AA4F85">
            <w:pPr>
              <w:jc w:val="center"/>
              <w:rPr>
                <w:rFonts w:cs="Arial"/>
                <w:b/>
                <w:color w:val="000000" w:themeColor="text1"/>
                <w:szCs w:val="16"/>
              </w:rPr>
            </w:pPr>
            <w:r w:rsidRPr="00781112">
              <w:rPr>
                <w:rFonts w:cs="Arial"/>
                <w:b/>
                <w:color w:val="000000" w:themeColor="text1"/>
                <w:szCs w:val="16"/>
              </w:rPr>
              <w:t>Status</w:t>
            </w:r>
          </w:p>
        </w:tc>
        <w:tc>
          <w:tcPr>
            <w:tcW w:w="571" w:type="pct"/>
            <w:shd w:val="clear" w:color="auto" w:fill="auto"/>
            <w:vAlign w:val="bottom"/>
          </w:tcPr>
          <w:p w14:paraId="41F5B2E6" w14:textId="7085A5D7" w:rsidR="00AA4F85" w:rsidRPr="00781112" w:rsidRDefault="00AA4F85" w:rsidP="00AA4F85">
            <w:pPr>
              <w:jc w:val="center"/>
              <w:rPr>
                <w:rFonts w:cs="Arial"/>
                <w:b/>
                <w:color w:val="000000" w:themeColor="text1"/>
                <w:szCs w:val="16"/>
              </w:rPr>
            </w:pPr>
            <w:r w:rsidRPr="00781112">
              <w:rPr>
                <w:rFonts w:cs="Arial"/>
                <w:b/>
                <w:color w:val="000000" w:themeColor="text1"/>
                <w:szCs w:val="16"/>
              </w:rPr>
              <w:t>Slippage</w:t>
            </w:r>
          </w:p>
        </w:tc>
      </w:tr>
      <w:tr w:rsidR="005C29F8" w:rsidRPr="00781112" w14:paraId="18B94B2E" w14:textId="09DCF8DA" w:rsidTr="00AA4F85">
        <w:trPr>
          <w:trHeight w:val="361"/>
        </w:trPr>
        <w:tc>
          <w:tcPr>
            <w:tcW w:w="1040" w:type="pct"/>
            <w:shd w:val="clear" w:color="auto" w:fill="auto"/>
          </w:tcPr>
          <w:p w14:paraId="423BC0C1" w14:textId="77777777" w:rsidR="00071D42" w:rsidRPr="00781112" w:rsidRDefault="00A86385" w:rsidP="00A018D4">
            <w:pPr>
              <w:rPr>
                <w:rFonts w:cs="Arial"/>
                <w:color w:val="000000" w:themeColor="text1"/>
                <w:szCs w:val="16"/>
              </w:rPr>
            </w:pPr>
            <w:r w:rsidRPr="00781112">
              <w:rPr>
                <w:rFonts w:cs="Arial"/>
                <w:color w:val="000000" w:themeColor="text1"/>
                <w:szCs w:val="16"/>
              </w:rPr>
              <w:t xml:space="preserve">A1. Of those children who entered or exited the program below age expectations in Outcome A, the percent who substantially increased their rate of growth by the time they turned 6 years of age or exited the program. </w:t>
            </w:r>
            <w:r w:rsidRPr="00266107">
              <w:rPr>
                <w:rFonts w:cs="Arial"/>
                <w:i/>
                <w:iCs/>
                <w:color w:val="000000" w:themeColor="text1"/>
                <w:szCs w:val="16"/>
              </w:rPr>
              <w:t>Calculation:(</w:t>
            </w:r>
            <w:proofErr w:type="spellStart"/>
            <w:r w:rsidRPr="00266107">
              <w:rPr>
                <w:rFonts w:cs="Arial"/>
                <w:i/>
                <w:iCs/>
                <w:color w:val="000000" w:themeColor="text1"/>
                <w:szCs w:val="16"/>
              </w:rPr>
              <w:t>c+d</w:t>
            </w:r>
            <w:proofErr w:type="spellEnd"/>
            <w:r w:rsidRPr="00266107">
              <w:rPr>
                <w:rFonts w:cs="Arial"/>
                <w:i/>
                <w:iCs/>
                <w:color w:val="000000" w:themeColor="text1"/>
                <w:szCs w:val="16"/>
              </w:rPr>
              <w:t>)/(</w:t>
            </w:r>
            <w:proofErr w:type="spellStart"/>
            <w:r w:rsidRPr="00266107">
              <w:rPr>
                <w:rFonts w:cs="Arial"/>
                <w:i/>
                <w:iCs/>
                <w:color w:val="000000" w:themeColor="text1"/>
                <w:szCs w:val="16"/>
              </w:rPr>
              <w:t>a+b+c+d</w:t>
            </w:r>
            <w:proofErr w:type="spellEnd"/>
            <w:r w:rsidRPr="00266107">
              <w:rPr>
                <w:rFonts w:cs="Arial"/>
                <w:i/>
                <w:iCs/>
                <w:color w:val="000000" w:themeColor="text1"/>
                <w:szCs w:val="16"/>
              </w:rPr>
              <w:t>)</w:t>
            </w:r>
          </w:p>
        </w:tc>
        <w:tc>
          <w:tcPr>
            <w:tcW w:w="532" w:type="pct"/>
            <w:shd w:val="clear" w:color="auto" w:fill="auto"/>
            <w:vAlign w:val="center"/>
          </w:tcPr>
          <w:p w14:paraId="4154B7AF" w14:textId="22483590" w:rsidR="00A86385" w:rsidRPr="00781112" w:rsidRDefault="002B7490" w:rsidP="00A86385">
            <w:pPr>
              <w:jc w:val="center"/>
              <w:rPr>
                <w:rFonts w:cs="Arial"/>
                <w:color w:val="000000" w:themeColor="text1"/>
                <w:szCs w:val="16"/>
              </w:rPr>
            </w:pPr>
            <w:r w:rsidRPr="00781112">
              <w:rPr>
                <w:rFonts w:cs="Arial"/>
                <w:color w:val="000000" w:themeColor="text1"/>
                <w:szCs w:val="16"/>
              </w:rPr>
              <w:t>1,855</w:t>
            </w:r>
          </w:p>
        </w:tc>
        <w:tc>
          <w:tcPr>
            <w:tcW w:w="572" w:type="pct"/>
            <w:shd w:val="clear" w:color="auto" w:fill="auto"/>
            <w:vAlign w:val="center"/>
          </w:tcPr>
          <w:p w14:paraId="6A178831" w14:textId="564F7234" w:rsidR="00A86385" w:rsidRPr="00781112" w:rsidRDefault="002B7490" w:rsidP="00A86385">
            <w:pPr>
              <w:jc w:val="center"/>
              <w:rPr>
                <w:rFonts w:cs="Arial"/>
                <w:color w:val="000000" w:themeColor="text1"/>
                <w:szCs w:val="16"/>
              </w:rPr>
            </w:pPr>
            <w:r w:rsidRPr="00781112">
              <w:rPr>
                <w:rFonts w:cs="Arial"/>
                <w:color w:val="000000" w:themeColor="text1"/>
                <w:szCs w:val="16"/>
              </w:rPr>
              <w:t>2,559</w:t>
            </w:r>
          </w:p>
        </w:tc>
        <w:tc>
          <w:tcPr>
            <w:tcW w:w="571" w:type="pct"/>
            <w:shd w:val="clear" w:color="auto" w:fill="auto"/>
            <w:vAlign w:val="center"/>
          </w:tcPr>
          <w:p w14:paraId="5EEC0208" w14:textId="526E193A" w:rsidR="00A86385" w:rsidRPr="00781112" w:rsidRDefault="002B7490" w:rsidP="00A86385">
            <w:pPr>
              <w:jc w:val="center"/>
              <w:rPr>
                <w:rFonts w:cs="Arial"/>
                <w:color w:val="000000" w:themeColor="text1"/>
                <w:szCs w:val="16"/>
              </w:rPr>
            </w:pPr>
            <w:r w:rsidRPr="00781112">
              <w:rPr>
                <w:rFonts w:cs="Arial"/>
                <w:color w:val="000000" w:themeColor="text1"/>
                <w:szCs w:val="16"/>
              </w:rPr>
              <w:t>75.02%</w:t>
            </w:r>
          </w:p>
        </w:tc>
        <w:tc>
          <w:tcPr>
            <w:tcW w:w="572" w:type="pct"/>
            <w:shd w:val="clear" w:color="auto" w:fill="auto"/>
            <w:vAlign w:val="center"/>
          </w:tcPr>
          <w:p w14:paraId="4FDFC172" w14:textId="02E04CF5" w:rsidR="00A86385" w:rsidRPr="00781112" w:rsidRDefault="003D7F56">
            <w:pPr>
              <w:jc w:val="center"/>
              <w:rPr>
                <w:color w:val="000000" w:themeColor="text1"/>
              </w:rPr>
            </w:pPr>
            <w:r w:rsidRPr="00781112">
              <w:rPr>
                <w:color w:val="000000" w:themeColor="text1"/>
              </w:rPr>
              <w:t>70.01%</w:t>
            </w:r>
          </w:p>
        </w:tc>
        <w:tc>
          <w:tcPr>
            <w:tcW w:w="571" w:type="pct"/>
            <w:shd w:val="clear" w:color="auto" w:fill="auto"/>
            <w:vAlign w:val="center"/>
          </w:tcPr>
          <w:p w14:paraId="23D0B4EA" w14:textId="4DE98DDB" w:rsidR="00A86385" w:rsidRPr="00781112" w:rsidRDefault="002B7490" w:rsidP="00A86385">
            <w:pPr>
              <w:jc w:val="center"/>
              <w:rPr>
                <w:rFonts w:cs="Arial"/>
                <w:color w:val="000000" w:themeColor="text1"/>
                <w:szCs w:val="16"/>
              </w:rPr>
            </w:pPr>
            <w:r w:rsidRPr="00781112">
              <w:rPr>
                <w:rFonts w:cs="Arial"/>
                <w:color w:val="000000" w:themeColor="text1"/>
                <w:szCs w:val="16"/>
              </w:rPr>
              <w:t>72.49%</w:t>
            </w:r>
          </w:p>
        </w:tc>
        <w:tc>
          <w:tcPr>
            <w:tcW w:w="572" w:type="pct"/>
            <w:shd w:val="clear" w:color="auto" w:fill="auto"/>
            <w:vAlign w:val="center"/>
          </w:tcPr>
          <w:p w14:paraId="64F5CB78" w14:textId="13F3F70F" w:rsidR="00A86385" w:rsidRPr="00781112" w:rsidRDefault="002B7490" w:rsidP="00A86385">
            <w:pPr>
              <w:jc w:val="center"/>
              <w:rPr>
                <w:rFonts w:cs="Arial"/>
                <w:color w:val="000000" w:themeColor="text1"/>
                <w:szCs w:val="16"/>
              </w:rPr>
            </w:pPr>
            <w:r w:rsidRPr="00781112">
              <w:rPr>
                <w:rFonts w:cs="Arial"/>
                <w:color w:val="000000" w:themeColor="text1"/>
                <w:szCs w:val="16"/>
              </w:rPr>
              <w:t>Met target</w:t>
            </w:r>
          </w:p>
        </w:tc>
        <w:tc>
          <w:tcPr>
            <w:tcW w:w="571" w:type="pct"/>
            <w:shd w:val="clear" w:color="auto" w:fill="auto"/>
            <w:vAlign w:val="center"/>
          </w:tcPr>
          <w:p w14:paraId="7D4367C2" w14:textId="1159AE87" w:rsidR="00A86385" w:rsidRPr="00781112" w:rsidRDefault="002B7490" w:rsidP="00A86385">
            <w:pPr>
              <w:jc w:val="center"/>
              <w:rPr>
                <w:rFonts w:cs="Arial"/>
                <w:color w:val="000000" w:themeColor="text1"/>
                <w:szCs w:val="16"/>
              </w:rPr>
            </w:pPr>
            <w:r w:rsidRPr="00781112">
              <w:rPr>
                <w:rFonts w:cs="Arial"/>
                <w:color w:val="000000" w:themeColor="text1"/>
                <w:szCs w:val="16"/>
              </w:rPr>
              <w:t>No Slippage</w:t>
            </w:r>
          </w:p>
        </w:tc>
      </w:tr>
      <w:tr w:rsidR="005C29F8" w:rsidRPr="00781112" w14:paraId="79C043DE" w14:textId="1DF06FE5" w:rsidTr="00AA4F85">
        <w:trPr>
          <w:trHeight w:val="361"/>
        </w:trPr>
        <w:tc>
          <w:tcPr>
            <w:tcW w:w="1040" w:type="pct"/>
            <w:shd w:val="clear" w:color="auto" w:fill="auto"/>
          </w:tcPr>
          <w:p w14:paraId="319F62FD" w14:textId="77777777" w:rsidR="00071D42" w:rsidRPr="00781112" w:rsidRDefault="00A86385" w:rsidP="00A018D4">
            <w:pPr>
              <w:rPr>
                <w:rFonts w:cs="Arial"/>
                <w:color w:val="000000" w:themeColor="text1"/>
                <w:szCs w:val="16"/>
              </w:rPr>
            </w:pPr>
            <w:r w:rsidRPr="00781112">
              <w:rPr>
                <w:rFonts w:cs="Arial"/>
                <w:color w:val="000000" w:themeColor="text1"/>
                <w:szCs w:val="16"/>
              </w:rPr>
              <w:t xml:space="preserve">A2. The percent of preschool children who were functioning within age expectations in Outcome A by the time they turned 6 years of age or exited the program. </w:t>
            </w:r>
            <w:r w:rsidRPr="00266107">
              <w:rPr>
                <w:rFonts w:cs="Arial"/>
                <w:i/>
                <w:iCs/>
                <w:color w:val="000000" w:themeColor="text1"/>
                <w:szCs w:val="16"/>
              </w:rPr>
              <w:t>Calculation: (</w:t>
            </w:r>
            <w:proofErr w:type="spellStart"/>
            <w:r w:rsidRPr="00266107">
              <w:rPr>
                <w:rFonts w:cs="Arial"/>
                <w:i/>
                <w:iCs/>
                <w:color w:val="000000" w:themeColor="text1"/>
                <w:szCs w:val="16"/>
              </w:rPr>
              <w:t>d+e</w:t>
            </w:r>
            <w:proofErr w:type="spellEnd"/>
            <w:r w:rsidRPr="00266107">
              <w:rPr>
                <w:rFonts w:cs="Arial"/>
                <w:i/>
                <w:iCs/>
                <w:color w:val="000000" w:themeColor="text1"/>
                <w:szCs w:val="16"/>
              </w:rPr>
              <w:t>)/(</w:t>
            </w:r>
            <w:proofErr w:type="spellStart"/>
            <w:r w:rsidRPr="00266107">
              <w:rPr>
                <w:rFonts w:cs="Arial"/>
                <w:i/>
                <w:iCs/>
                <w:color w:val="000000" w:themeColor="text1"/>
                <w:szCs w:val="16"/>
              </w:rPr>
              <w:t>a+b+c+d+e</w:t>
            </w:r>
            <w:proofErr w:type="spellEnd"/>
            <w:r w:rsidRPr="00266107">
              <w:rPr>
                <w:rFonts w:cs="Arial"/>
                <w:i/>
                <w:iCs/>
                <w:color w:val="000000" w:themeColor="text1"/>
                <w:szCs w:val="16"/>
              </w:rPr>
              <w:t>)</w:t>
            </w:r>
          </w:p>
        </w:tc>
        <w:tc>
          <w:tcPr>
            <w:tcW w:w="532" w:type="pct"/>
            <w:shd w:val="clear" w:color="auto" w:fill="auto"/>
            <w:vAlign w:val="center"/>
          </w:tcPr>
          <w:p w14:paraId="1EA4F3E8" w14:textId="01AC6416" w:rsidR="00A86385" w:rsidRPr="00781112" w:rsidRDefault="002B7490" w:rsidP="00A86385">
            <w:pPr>
              <w:jc w:val="center"/>
              <w:rPr>
                <w:rFonts w:cs="Arial"/>
                <w:color w:val="000000" w:themeColor="text1"/>
                <w:szCs w:val="16"/>
              </w:rPr>
            </w:pPr>
            <w:r w:rsidRPr="00781112">
              <w:rPr>
                <w:rFonts w:cs="Arial"/>
                <w:color w:val="000000" w:themeColor="text1"/>
                <w:szCs w:val="16"/>
              </w:rPr>
              <w:t>1,487</w:t>
            </w:r>
          </w:p>
        </w:tc>
        <w:tc>
          <w:tcPr>
            <w:tcW w:w="572" w:type="pct"/>
            <w:shd w:val="clear" w:color="auto" w:fill="auto"/>
            <w:vAlign w:val="center"/>
          </w:tcPr>
          <w:p w14:paraId="392DC3C7" w14:textId="706433AB" w:rsidR="00A86385" w:rsidRPr="00781112" w:rsidRDefault="002B7490" w:rsidP="00A86385">
            <w:pPr>
              <w:jc w:val="center"/>
              <w:rPr>
                <w:rFonts w:cs="Arial"/>
                <w:color w:val="000000" w:themeColor="text1"/>
                <w:szCs w:val="16"/>
              </w:rPr>
            </w:pPr>
            <w:r w:rsidRPr="00781112">
              <w:rPr>
                <w:rFonts w:cs="Arial"/>
                <w:color w:val="000000" w:themeColor="text1"/>
                <w:szCs w:val="16"/>
              </w:rPr>
              <w:t>3,234</w:t>
            </w:r>
          </w:p>
        </w:tc>
        <w:tc>
          <w:tcPr>
            <w:tcW w:w="571" w:type="pct"/>
            <w:shd w:val="clear" w:color="auto" w:fill="auto"/>
            <w:vAlign w:val="center"/>
          </w:tcPr>
          <w:p w14:paraId="480CDC79" w14:textId="4F1F0DEC" w:rsidR="00A86385" w:rsidRPr="00781112" w:rsidRDefault="002B7490" w:rsidP="00A86385">
            <w:pPr>
              <w:jc w:val="center"/>
              <w:rPr>
                <w:rFonts w:cs="Arial"/>
                <w:color w:val="000000" w:themeColor="text1"/>
                <w:szCs w:val="16"/>
              </w:rPr>
            </w:pPr>
            <w:r w:rsidRPr="00781112">
              <w:rPr>
                <w:rFonts w:cs="Arial"/>
                <w:color w:val="000000" w:themeColor="text1"/>
                <w:szCs w:val="16"/>
              </w:rPr>
              <w:t>46.95%</w:t>
            </w:r>
          </w:p>
        </w:tc>
        <w:tc>
          <w:tcPr>
            <w:tcW w:w="572" w:type="pct"/>
            <w:shd w:val="clear" w:color="auto" w:fill="auto"/>
            <w:vAlign w:val="center"/>
          </w:tcPr>
          <w:p w14:paraId="4E37244D" w14:textId="286AF534" w:rsidR="00A86385" w:rsidRPr="00781112" w:rsidRDefault="003D7F56">
            <w:pPr>
              <w:jc w:val="center"/>
              <w:rPr>
                <w:color w:val="000000" w:themeColor="text1"/>
              </w:rPr>
            </w:pPr>
            <w:r w:rsidRPr="00781112">
              <w:rPr>
                <w:color w:val="000000" w:themeColor="text1"/>
              </w:rPr>
              <w:t>42.92%</w:t>
            </w:r>
          </w:p>
        </w:tc>
        <w:tc>
          <w:tcPr>
            <w:tcW w:w="571" w:type="pct"/>
            <w:shd w:val="clear" w:color="auto" w:fill="auto"/>
            <w:vAlign w:val="center"/>
          </w:tcPr>
          <w:p w14:paraId="2BBC817C" w14:textId="65BC2730" w:rsidR="00A86385" w:rsidRPr="00781112" w:rsidRDefault="002B7490" w:rsidP="00A86385">
            <w:pPr>
              <w:jc w:val="center"/>
              <w:rPr>
                <w:rFonts w:cs="Arial"/>
                <w:color w:val="000000" w:themeColor="text1"/>
                <w:szCs w:val="16"/>
              </w:rPr>
            </w:pPr>
            <w:r w:rsidRPr="00781112">
              <w:rPr>
                <w:rFonts w:cs="Arial"/>
                <w:color w:val="000000" w:themeColor="text1"/>
                <w:szCs w:val="16"/>
              </w:rPr>
              <w:t>45.98%</w:t>
            </w:r>
          </w:p>
        </w:tc>
        <w:tc>
          <w:tcPr>
            <w:tcW w:w="572" w:type="pct"/>
            <w:shd w:val="clear" w:color="auto" w:fill="auto"/>
            <w:vAlign w:val="center"/>
          </w:tcPr>
          <w:p w14:paraId="3AC16CE0" w14:textId="7E3856A4" w:rsidR="00A86385" w:rsidRPr="00781112" w:rsidRDefault="002B7490" w:rsidP="00A86385">
            <w:pPr>
              <w:jc w:val="center"/>
              <w:rPr>
                <w:rFonts w:cs="Arial"/>
                <w:color w:val="000000" w:themeColor="text1"/>
                <w:szCs w:val="16"/>
              </w:rPr>
            </w:pPr>
            <w:r w:rsidRPr="00781112">
              <w:rPr>
                <w:rFonts w:cs="Arial"/>
                <w:color w:val="000000" w:themeColor="text1"/>
                <w:szCs w:val="16"/>
              </w:rPr>
              <w:t>Met target</w:t>
            </w:r>
          </w:p>
        </w:tc>
        <w:tc>
          <w:tcPr>
            <w:tcW w:w="571" w:type="pct"/>
            <w:shd w:val="clear" w:color="auto" w:fill="auto"/>
            <w:vAlign w:val="center"/>
          </w:tcPr>
          <w:p w14:paraId="2C0165C1" w14:textId="5260DB98" w:rsidR="00A86385" w:rsidRPr="00781112" w:rsidRDefault="002B7490" w:rsidP="00A86385">
            <w:pPr>
              <w:jc w:val="center"/>
              <w:rPr>
                <w:rFonts w:cs="Arial"/>
                <w:color w:val="000000" w:themeColor="text1"/>
                <w:szCs w:val="16"/>
              </w:rPr>
            </w:pPr>
            <w:r w:rsidRPr="00781112">
              <w:rPr>
                <w:rFonts w:cs="Arial"/>
                <w:color w:val="000000" w:themeColor="text1"/>
                <w:szCs w:val="16"/>
              </w:rPr>
              <w:t>No Slippage</w:t>
            </w:r>
          </w:p>
        </w:tc>
      </w:tr>
    </w:tbl>
    <w:p w14:paraId="43C6FD6E" w14:textId="77777777" w:rsidR="00A80FEB" w:rsidRPr="00781112" w:rsidRDefault="00A80FEB" w:rsidP="004369B2">
      <w:pPr>
        <w:rPr>
          <w:color w:val="000000" w:themeColor="text1"/>
        </w:rPr>
      </w:pPr>
      <w:r w:rsidRPr="00781112">
        <w:rPr>
          <w:b/>
          <w:color w:val="000000" w:themeColor="text1"/>
        </w:rPr>
        <w:t>Outcome B: Acquisition and use of knowledge and skills (including early language/communication)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OUTCOMEB"/>
      </w:tblPr>
      <w:tblGrid>
        <w:gridCol w:w="7111"/>
        <w:gridCol w:w="1675"/>
        <w:gridCol w:w="2004"/>
      </w:tblGrid>
      <w:tr w:rsidR="005C29F8" w:rsidRPr="00781112" w14:paraId="637A7029" w14:textId="2CDA80A7" w:rsidTr="0033429D">
        <w:trPr>
          <w:trHeight w:val="361"/>
          <w:tblHeader/>
        </w:trPr>
        <w:tc>
          <w:tcPr>
            <w:tcW w:w="3349" w:type="pct"/>
            <w:shd w:val="clear" w:color="auto" w:fill="auto"/>
            <w:vAlign w:val="bottom"/>
          </w:tcPr>
          <w:p w14:paraId="43F5435F" w14:textId="01DC1145" w:rsidR="00E13B95" w:rsidRPr="00781112" w:rsidRDefault="003E11AE" w:rsidP="0024351A">
            <w:pPr>
              <w:rPr>
                <w:rFonts w:cs="Arial"/>
                <w:color w:val="000000" w:themeColor="text1"/>
                <w:szCs w:val="16"/>
              </w:rPr>
            </w:pPr>
            <w:r w:rsidRPr="00781112">
              <w:rPr>
                <w:rFonts w:cs="Arial"/>
                <w:b/>
                <w:color w:val="000000" w:themeColor="text1"/>
                <w:szCs w:val="16"/>
              </w:rPr>
              <w:t xml:space="preserve">Outcome B </w:t>
            </w:r>
            <w:r w:rsidRPr="00781112">
              <w:rPr>
                <w:rFonts w:cs="Arial"/>
                <w:b/>
                <w:bCs/>
                <w:color w:val="000000" w:themeColor="text1"/>
                <w:szCs w:val="16"/>
              </w:rPr>
              <w:t xml:space="preserve">Progress </w:t>
            </w:r>
            <w:r w:rsidR="009028CA" w:rsidRPr="00781112">
              <w:rPr>
                <w:rFonts w:cs="Arial"/>
                <w:b/>
                <w:bCs/>
                <w:color w:val="000000" w:themeColor="text1"/>
                <w:szCs w:val="16"/>
              </w:rPr>
              <w:t>C</w:t>
            </w:r>
            <w:r w:rsidRPr="00781112">
              <w:rPr>
                <w:rFonts w:cs="Arial"/>
                <w:b/>
                <w:bCs/>
                <w:color w:val="000000" w:themeColor="text1"/>
                <w:szCs w:val="16"/>
              </w:rPr>
              <w:t>ategor</w:t>
            </w:r>
            <w:r w:rsidR="00E91363" w:rsidRPr="00781112">
              <w:rPr>
                <w:rFonts w:cs="Arial"/>
                <w:b/>
                <w:bCs/>
                <w:color w:val="000000" w:themeColor="text1"/>
                <w:szCs w:val="16"/>
              </w:rPr>
              <w:t>y</w:t>
            </w:r>
          </w:p>
        </w:tc>
        <w:tc>
          <w:tcPr>
            <w:tcW w:w="826" w:type="pct"/>
            <w:shd w:val="clear" w:color="auto" w:fill="auto"/>
            <w:vAlign w:val="bottom"/>
          </w:tcPr>
          <w:p w14:paraId="33266842" w14:textId="77777777" w:rsidR="00E13B95" w:rsidRPr="00781112" w:rsidRDefault="00E13B95" w:rsidP="0024351A">
            <w:pPr>
              <w:jc w:val="center"/>
              <w:rPr>
                <w:rFonts w:cs="Arial"/>
                <w:b/>
                <w:color w:val="000000" w:themeColor="text1"/>
                <w:szCs w:val="16"/>
              </w:rPr>
            </w:pPr>
            <w:r w:rsidRPr="00781112">
              <w:rPr>
                <w:rFonts w:cs="Arial"/>
                <w:b/>
                <w:color w:val="000000" w:themeColor="text1"/>
                <w:szCs w:val="16"/>
              </w:rPr>
              <w:t>Number of Children</w:t>
            </w:r>
          </w:p>
        </w:tc>
        <w:tc>
          <w:tcPr>
            <w:tcW w:w="825" w:type="pct"/>
            <w:shd w:val="clear" w:color="auto" w:fill="auto"/>
            <w:vAlign w:val="bottom"/>
          </w:tcPr>
          <w:p w14:paraId="55864E39" w14:textId="3FAA808D" w:rsidR="00E13B95" w:rsidRPr="00781112" w:rsidRDefault="00E13B95" w:rsidP="0024351A">
            <w:pPr>
              <w:jc w:val="center"/>
              <w:rPr>
                <w:rFonts w:cs="Arial"/>
                <w:b/>
                <w:color w:val="000000" w:themeColor="text1"/>
                <w:szCs w:val="16"/>
              </w:rPr>
            </w:pPr>
            <w:r w:rsidRPr="00781112">
              <w:rPr>
                <w:rFonts w:cs="Arial"/>
                <w:b/>
                <w:color w:val="000000" w:themeColor="text1"/>
                <w:szCs w:val="16"/>
              </w:rPr>
              <w:t>Percentage of Children</w:t>
            </w:r>
          </w:p>
        </w:tc>
      </w:tr>
      <w:tr w:rsidR="005C29F8" w:rsidRPr="00781112" w14:paraId="5E399615" w14:textId="1C73CC75" w:rsidTr="00AB0D6A">
        <w:trPr>
          <w:trHeight w:val="361"/>
        </w:trPr>
        <w:tc>
          <w:tcPr>
            <w:tcW w:w="3349" w:type="pct"/>
            <w:shd w:val="clear" w:color="auto" w:fill="auto"/>
          </w:tcPr>
          <w:p w14:paraId="6B2DB9F8" w14:textId="77777777" w:rsidR="00A86385" w:rsidRPr="00781112" w:rsidRDefault="00A86385" w:rsidP="00A86385">
            <w:pPr>
              <w:rPr>
                <w:rFonts w:cs="Arial"/>
                <w:color w:val="000000" w:themeColor="text1"/>
                <w:szCs w:val="16"/>
              </w:rPr>
            </w:pPr>
            <w:r w:rsidRPr="00781112">
              <w:rPr>
                <w:rFonts w:cs="Arial"/>
                <w:color w:val="000000" w:themeColor="text1"/>
                <w:szCs w:val="16"/>
              </w:rPr>
              <w:t>a. Preschool children who did not improve functioning</w:t>
            </w:r>
          </w:p>
        </w:tc>
        <w:tc>
          <w:tcPr>
            <w:tcW w:w="826" w:type="pct"/>
            <w:shd w:val="clear" w:color="auto" w:fill="auto"/>
            <w:vAlign w:val="center"/>
          </w:tcPr>
          <w:p w14:paraId="54446092" w14:textId="4023E756" w:rsidR="00A86385" w:rsidRPr="00781112" w:rsidRDefault="002B7490" w:rsidP="00A018D4">
            <w:pPr>
              <w:jc w:val="center"/>
              <w:rPr>
                <w:rFonts w:cs="Arial"/>
                <w:color w:val="000000" w:themeColor="text1"/>
                <w:szCs w:val="16"/>
              </w:rPr>
            </w:pPr>
            <w:r w:rsidRPr="00781112">
              <w:rPr>
                <w:rFonts w:cs="Arial"/>
                <w:color w:val="000000" w:themeColor="text1"/>
                <w:szCs w:val="16"/>
              </w:rPr>
              <w:t>109</w:t>
            </w:r>
          </w:p>
        </w:tc>
        <w:tc>
          <w:tcPr>
            <w:tcW w:w="825" w:type="pct"/>
            <w:shd w:val="clear" w:color="auto" w:fill="auto"/>
            <w:vAlign w:val="center"/>
          </w:tcPr>
          <w:p w14:paraId="21775FA0" w14:textId="7E6665F3" w:rsidR="00A86385" w:rsidRPr="00781112" w:rsidRDefault="002B7490" w:rsidP="00A018D4">
            <w:pPr>
              <w:jc w:val="center"/>
              <w:rPr>
                <w:rFonts w:cs="Arial"/>
                <w:color w:val="000000" w:themeColor="text1"/>
                <w:szCs w:val="16"/>
              </w:rPr>
            </w:pPr>
            <w:r w:rsidRPr="00781112">
              <w:rPr>
                <w:rFonts w:cs="Arial"/>
                <w:color w:val="000000" w:themeColor="text1"/>
                <w:szCs w:val="16"/>
              </w:rPr>
              <w:t>3.37%</w:t>
            </w:r>
          </w:p>
        </w:tc>
      </w:tr>
      <w:tr w:rsidR="005C29F8" w:rsidRPr="00781112" w14:paraId="0EABFD05" w14:textId="7B9C3CA9" w:rsidTr="00AB0D6A">
        <w:trPr>
          <w:trHeight w:val="361"/>
        </w:trPr>
        <w:tc>
          <w:tcPr>
            <w:tcW w:w="3349" w:type="pct"/>
            <w:shd w:val="clear" w:color="auto" w:fill="auto"/>
          </w:tcPr>
          <w:p w14:paraId="623F83AF" w14:textId="77777777" w:rsidR="00A86385" w:rsidRPr="00781112" w:rsidRDefault="00A86385" w:rsidP="00A86385">
            <w:pPr>
              <w:rPr>
                <w:rFonts w:cs="Arial"/>
                <w:color w:val="000000" w:themeColor="text1"/>
                <w:szCs w:val="16"/>
              </w:rPr>
            </w:pPr>
            <w:r w:rsidRPr="00781112">
              <w:rPr>
                <w:rFonts w:cs="Arial"/>
                <w:color w:val="000000" w:themeColor="text1"/>
                <w:szCs w:val="16"/>
              </w:rPr>
              <w:t>b. Preschool children who improved functioning but not sufficient to move nearer to functioning comparable to same-aged peers</w:t>
            </w:r>
          </w:p>
        </w:tc>
        <w:tc>
          <w:tcPr>
            <w:tcW w:w="826" w:type="pct"/>
            <w:shd w:val="clear" w:color="auto" w:fill="auto"/>
            <w:vAlign w:val="center"/>
          </w:tcPr>
          <w:p w14:paraId="39ABCB88" w14:textId="036353D5" w:rsidR="00A86385" w:rsidRPr="00781112" w:rsidRDefault="002B7490" w:rsidP="00A018D4">
            <w:pPr>
              <w:jc w:val="center"/>
              <w:rPr>
                <w:rFonts w:cs="Arial"/>
                <w:color w:val="000000" w:themeColor="text1"/>
                <w:szCs w:val="16"/>
              </w:rPr>
            </w:pPr>
            <w:r w:rsidRPr="00781112">
              <w:rPr>
                <w:rFonts w:cs="Arial"/>
                <w:color w:val="000000" w:themeColor="text1"/>
                <w:szCs w:val="16"/>
              </w:rPr>
              <w:t>598</w:t>
            </w:r>
          </w:p>
        </w:tc>
        <w:tc>
          <w:tcPr>
            <w:tcW w:w="825" w:type="pct"/>
            <w:shd w:val="clear" w:color="auto" w:fill="auto"/>
            <w:vAlign w:val="center"/>
          </w:tcPr>
          <w:p w14:paraId="33D020CC" w14:textId="0314A001" w:rsidR="00A86385" w:rsidRPr="00781112" w:rsidRDefault="002B7490" w:rsidP="00A018D4">
            <w:pPr>
              <w:jc w:val="center"/>
              <w:rPr>
                <w:rFonts w:cs="Arial"/>
                <w:color w:val="000000" w:themeColor="text1"/>
                <w:szCs w:val="16"/>
              </w:rPr>
            </w:pPr>
            <w:r w:rsidRPr="00781112">
              <w:rPr>
                <w:rFonts w:cs="Arial"/>
                <w:color w:val="000000" w:themeColor="text1"/>
                <w:szCs w:val="16"/>
              </w:rPr>
              <w:t>18.49%</w:t>
            </w:r>
          </w:p>
        </w:tc>
      </w:tr>
      <w:tr w:rsidR="005C29F8" w:rsidRPr="00781112" w14:paraId="2AFEEE7C" w14:textId="52870042" w:rsidTr="00AB0D6A">
        <w:trPr>
          <w:trHeight w:val="361"/>
        </w:trPr>
        <w:tc>
          <w:tcPr>
            <w:tcW w:w="3349" w:type="pct"/>
            <w:shd w:val="clear" w:color="auto" w:fill="auto"/>
          </w:tcPr>
          <w:p w14:paraId="77166FC5" w14:textId="77777777" w:rsidR="00A86385" w:rsidRPr="00781112" w:rsidRDefault="00A86385" w:rsidP="00A86385">
            <w:pPr>
              <w:rPr>
                <w:rFonts w:cs="Arial"/>
                <w:color w:val="000000" w:themeColor="text1"/>
                <w:szCs w:val="16"/>
              </w:rPr>
            </w:pPr>
            <w:r w:rsidRPr="00781112">
              <w:rPr>
                <w:rFonts w:cs="Arial"/>
                <w:color w:val="000000" w:themeColor="text1"/>
                <w:szCs w:val="16"/>
              </w:rPr>
              <w:t>c. Preschool children who improved functioning to a level nearer to same-aged peers but did not reach it</w:t>
            </w:r>
          </w:p>
        </w:tc>
        <w:tc>
          <w:tcPr>
            <w:tcW w:w="826" w:type="pct"/>
            <w:shd w:val="clear" w:color="auto" w:fill="auto"/>
            <w:vAlign w:val="center"/>
          </w:tcPr>
          <w:p w14:paraId="32CAD94B" w14:textId="37477BEB" w:rsidR="00A86385" w:rsidRPr="00781112" w:rsidRDefault="002B7490" w:rsidP="00A018D4">
            <w:pPr>
              <w:jc w:val="center"/>
              <w:rPr>
                <w:rFonts w:cs="Arial"/>
                <w:color w:val="000000" w:themeColor="text1"/>
                <w:szCs w:val="16"/>
              </w:rPr>
            </w:pPr>
            <w:r w:rsidRPr="00781112">
              <w:rPr>
                <w:rFonts w:cs="Arial"/>
                <w:color w:val="000000" w:themeColor="text1"/>
                <w:szCs w:val="16"/>
              </w:rPr>
              <w:t>1,094</w:t>
            </w:r>
          </w:p>
        </w:tc>
        <w:tc>
          <w:tcPr>
            <w:tcW w:w="825" w:type="pct"/>
            <w:shd w:val="clear" w:color="auto" w:fill="auto"/>
            <w:vAlign w:val="center"/>
          </w:tcPr>
          <w:p w14:paraId="2021CF20" w14:textId="181B68B8" w:rsidR="00A86385" w:rsidRPr="00781112" w:rsidRDefault="002B7490" w:rsidP="00A018D4">
            <w:pPr>
              <w:jc w:val="center"/>
              <w:rPr>
                <w:rFonts w:cs="Arial"/>
                <w:color w:val="000000" w:themeColor="text1"/>
                <w:szCs w:val="16"/>
              </w:rPr>
            </w:pPr>
            <w:r w:rsidRPr="00781112">
              <w:rPr>
                <w:rFonts w:cs="Arial"/>
                <w:color w:val="000000" w:themeColor="text1"/>
                <w:szCs w:val="16"/>
              </w:rPr>
              <w:t>33.83%</w:t>
            </w:r>
          </w:p>
        </w:tc>
      </w:tr>
      <w:tr w:rsidR="005C29F8" w:rsidRPr="00781112" w14:paraId="5D450E84" w14:textId="4C13CEB9" w:rsidTr="00AB0D6A">
        <w:trPr>
          <w:trHeight w:val="361"/>
        </w:trPr>
        <w:tc>
          <w:tcPr>
            <w:tcW w:w="3349" w:type="pct"/>
            <w:shd w:val="clear" w:color="auto" w:fill="auto"/>
          </w:tcPr>
          <w:p w14:paraId="110FD587" w14:textId="77777777" w:rsidR="00A86385" w:rsidRPr="00781112" w:rsidRDefault="00A86385" w:rsidP="00A86385">
            <w:pPr>
              <w:rPr>
                <w:rFonts w:cs="Arial"/>
                <w:color w:val="000000" w:themeColor="text1"/>
                <w:szCs w:val="16"/>
              </w:rPr>
            </w:pPr>
            <w:r w:rsidRPr="00781112">
              <w:rPr>
                <w:rFonts w:cs="Arial"/>
                <w:color w:val="000000" w:themeColor="text1"/>
                <w:szCs w:val="16"/>
              </w:rPr>
              <w:t>d. Preschool children who improved functioning to reach a level comparable to same-aged peers</w:t>
            </w:r>
          </w:p>
        </w:tc>
        <w:tc>
          <w:tcPr>
            <w:tcW w:w="826" w:type="pct"/>
            <w:shd w:val="clear" w:color="auto" w:fill="auto"/>
            <w:vAlign w:val="center"/>
          </w:tcPr>
          <w:p w14:paraId="277F64A6" w14:textId="32E985A0" w:rsidR="00A86385" w:rsidRPr="00781112" w:rsidRDefault="002B7490" w:rsidP="00A018D4">
            <w:pPr>
              <w:jc w:val="center"/>
              <w:rPr>
                <w:rFonts w:cs="Arial"/>
                <w:color w:val="000000" w:themeColor="text1"/>
                <w:szCs w:val="16"/>
              </w:rPr>
            </w:pPr>
            <w:r w:rsidRPr="00781112">
              <w:rPr>
                <w:rFonts w:cs="Arial"/>
                <w:color w:val="000000" w:themeColor="text1"/>
                <w:szCs w:val="16"/>
              </w:rPr>
              <w:t>826</w:t>
            </w:r>
          </w:p>
        </w:tc>
        <w:tc>
          <w:tcPr>
            <w:tcW w:w="825" w:type="pct"/>
            <w:shd w:val="clear" w:color="auto" w:fill="auto"/>
            <w:vAlign w:val="center"/>
          </w:tcPr>
          <w:p w14:paraId="2EEE6FB7" w14:textId="6E8D11C4" w:rsidR="00A86385" w:rsidRPr="00781112" w:rsidRDefault="002B7490" w:rsidP="00A018D4">
            <w:pPr>
              <w:jc w:val="center"/>
              <w:rPr>
                <w:rFonts w:cs="Arial"/>
                <w:color w:val="000000" w:themeColor="text1"/>
                <w:szCs w:val="16"/>
              </w:rPr>
            </w:pPr>
            <w:r w:rsidRPr="00781112">
              <w:rPr>
                <w:rFonts w:cs="Arial"/>
                <w:color w:val="000000" w:themeColor="text1"/>
                <w:szCs w:val="16"/>
              </w:rPr>
              <w:t>25.54%</w:t>
            </w:r>
          </w:p>
        </w:tc>
      </w:tr>
      <w:tr w:rsidR="005C29F8" w:rsidRPr="00781112" w14:paraId="108FFB57" w14:textId="0C409786" w:rsidTr="00AB0D6A">
        <w:trPr>
          <w:trHeight w:val="361"/>
        </w:trPr>
        <w:tc>
          <w:tcPr>
            <w:tcW w:w="3349" w:type="pct"/>
            <w:shd w:val="clear" w:color="auto" w:fill="auto"/>
          </w:tcPr>
          <w:p w14:paraId="3D4AD278" w14:textId="77777777" w:rsidR="00A86385" w:rsidRPr="00781112" w:rsidRDefault="00A86385" w:rsidP="00A86385">
            <w:pPr>
              <w:rPr>
                <w:rFonts w:cs="Arial"/>
                <w:color w:val="000000" w:themeColor="text1"/>
                <w:szCs w:val="16"/>
              </w:rPr>
            </w:pPr>
            <w:r w:rsidRPr="00781112">
              <w:rPr>
                <w:rFonts w:cs="Arial"/>
                <w:color w:val="000000" w:themeColor="text1"/>
                <w:szCs w:val="16"/>
              </w:rPr>
              <w:t>e. Preschool children who maintained functioning at a level comparable to same-aged peers</w:t>
            </w:r>
          </w:p>
        </w:tc>
        <w:tc>
          <w:tcPr>
            <w:tcW w:w="826" w:type="pct"/>
            <w:shd w:val="clear" w:color="auto" w:fill="auto"/>
            <w:vAlign w:val="center"/>
          </w:tcPr>
          <w:p w14:paraId="7A790A60" w14:textId="08E1839F" w:rsidR="00A86385" w:rsidRPr="00781112" w:rsidRDefault="002B7490" w:rsidP="00A018D4">
            <w:pPr>
              <w:jc w:val="center"/>
              <w:rPr>
                <w:rFonts w:cs="Arial"/>
                <w:color w:val="000000" w:themeColor="text1"/>
                <w:szCs w:val="16"/>
              </w:rPr>
            </w:pPr>
            <w:r w:rsidRPr="00781112">
              <w:rPr>
                <w:rFonts w:cs="Arial"/>
                <w:color w:val="000000" w:themeColor="text1"/>
                <w:szCs w:val="16"/>
              </w:rPr>
              <w:t>607</w:t>
            </w:r>
          </w:p>
        </w:tc>
        <w:tc>
          <w:tcPr>
            <w:tcW w:w="825" w:type="pct"/>
            <w:shd w:val="clear" w:color="auto" w:fill="auto"/>
            <w:vAlign w:val="center"/>
          </w:tcPr>
          <w:p w14:paraId="2501B391" w14:textId="1634A6F5" w:rsidR="00A86385" w:rsidRPr="00781112" w:rsidRDefault="002B7490" w:rsidP="00A018D4">
            <w:pPr>
              <w:jc w:val="center"/>
              <w:rPr>
                <w:rFonts w:cs="Arial"/>
                <w:color w:val="000000" w:themeColor="text1"/>
                <w:szCs w:val="16"/>
              </w:rPr>
            </w:pPr>
            <w:r w:rsidRPr="00781112">
              <w:rPr>
                <w:rFonts w:cs="Arial"/>
                <w:color w:val="000000" w:themeColor="text1"/>
                <w:szCs w:val="16"/>
              </w:rPr>
              <w:t>18.77%</w:t>
            </w:r>
          </w:p>
        </w:tc>
      </w:tr>
    </w:tbl>
    <w:p w14:paraId="7EA9F2D2" w14:textId="77777777" w:rsidR="00A80FEB" w:rsidRPr="00781112" w:rsidRDefault="00A80FEB" w:rsidP="00A80FEB">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7OUTCOMEBDATA"/>
      </w:tblPr>
      <w:tblGrid>
        <w:gridCol w:w="2159"/>
        <w:gridCol w:w="1262"/>
        <w:gridCol w:w="1262"/>
        <w:gridCol w:w="1172"/>
        <w:gridCol w:w="1260"/>
        <w:gridCol w:w="1260"/>
        <w:gridCol w:w="1049"/>
        <w:gridCol w:w="1366"/>
      </w:tblGrid>
      <w:tr w:rsidR="00AA4F85" w:rsidRPr="00781112" w14:paraId="29447607" w14:textId="4B3B706C" w:rsidTr="00AA4F85">
        <w:trPr>
          <w:tblHeader/>
        </w:trPr>
        <w:tc>
          <w:tcPr>
            <w:tcW w:w="1000" w:type="pct"/>
            <w:shd w:val="clear" w:color="auto" w:fill="auto"/>
            <w:vAlign w:val="bottom"/>
          </w:tcPr>
          <w:p w14:paraId="58D567A9" w14:textId="7BD30860" w:rsidR="00AA4F85" w:rsidRPr="00781112" w:rsidRDefault="00AA4F85" w:rsidP="00AA4F85">
            <w:pPr>
              <w:rPr>
                <w:b/>
                <w:color w:val="000000" w:themeColor="text1"/>
              </w:rPr>
            </w:pPr>
            <w:r w:rsidRPr="00781112">
              <w:rPr>
                <w:b/>
                <w:color w:val="000000" w:themeColor="text1"/>
              </w:rPr>
              <w:t>Outcome B</w:t>
            </w:r>
          </w:p>
        </w:tc>
        <w:tc>
          <w:tcPr>
            <w:tcW w:w="585" w:type="pct"/>
            <w:shd w:val="clear" w:color="auto" w:fill="auto"/>
            <w:vAlign w:val="bottom"/>
          </w:tcPr>
          <w:p w14:paraId="0DF6A486" w14:textId="77777777" w:rsidR="00AA4F85" w:rsidRPr="00781112" w:rsidRDefault="00AA4F85" w:rsidP="00AA4F85">
            <w:pPr>
              <w:rPr>
                <w:b/>
                <w:color w:val="000000" w:themeColor="text1"/>
              </w:rPr>
            </w:pPr>
            <w:r w:rsidRPr="00781112">
              <w:rPr>
                <w:b/>
                <w:color w:val="000000" w:themeColor="text1"/>
              </w:rPr>
              <w:t>Numerator</w:t>
            </w:r>
          </w:p>
        </w:tc>
        <w:tc>
          <w:tcPr>
            <w:tcW w:w="585" w:type="pct"/>
            <w:shd w:val="clear" w:color="auto" w:fill="auto"/>
            <w:vAlign w:val="bottom"/>
          </w:tcPr>
          <w:p w14:paraId="4A127242" w14:textId="77777777" w:rsidR="00AA4F85" w:rsidRPr="00781112" w:rsidRDefault="00AA4F85" w:rsidP="00AA4F85">
            <w:pPr>
              <w:rPr>
                <w:b/>
                <w:color w:val="000000" w:themeColor="text1"/>
              </w:rPr>
            </w:pPr>
            <w:r w:rsidRPr="00781112">
              <w:rPr>
                <w:b/>
                <w:color w:val="000000" w:themeColor="text1"/>
              </w:rPr>
              <w:t>Denominator</w:t>
            </w:r>
          </w:p>
        </w:tc>
        <w:tc>
          <w:tcPr>
            <w:tcW w:w="543" w:type="pct"/>
            <w:shd w:val="clear" w:color="auto" w:fill="auto"/>
            <w:vAlign w:val="bottom"/>
          </w:tcPr>
          <w:p w14:paraId="03649132" w14:textId="0226D7BA" w:rsidR="00AA4F85" w:rsidRPr="00CC1061" w:rsidRDefault="00AA4F85" w:rsidP="00CC1061">
            <w:pPr>
              <w:jc w:val="center"/>
              <w:rPr>
                <w:b/>
                <w:bCs/>
                <w:color w:val="000000" w:themeColor="text1"/>
              </w:rPr>
            </w:pPr>
            <w:r w:rsidRPr="00CC1061">
              <w:rPr>
                <w:b/>
                <w:bCs/>
              </w:rPr>
              <w:t>FFY 2021 Data</w:t>
            </w:r>
          </w:p>
        </w:tc>
        <w:tc>
          <w:tcPr>
            <w:tcW w:w="584" w:type="pct"/>
            <w:shd w:val="clear" w:color="auto" w:fill="auto"/>
            <w:vAlign w:val="bottom"/>
          </w:tcPr>
          <w:p w14:paraId="3AFAEBC5" w14:textId="272E9AB7" w:rsidR="00AA4F85" w:rsidRPr="00CC1061" w:rsidRDefault="00AA4F85" w:rsidP="00CC1061">
            <w:pPr>
              <w:jc w:val="center"/>
              <w:rPr>
                <w:b/>
                <w:bCs/>
                <w:color w:val="000000" w:themeColor="text1"/>
              </w:rPr>
            </w:pPr>
            <w:r w:rsidRPr="00CC1061">
              <w:rPr>
                <w:b/>
                <w:bCs/>
              </w:rPr>
              <w:t>FFY 2022 Target</w:t>
            </w:r>
          </w:p>
        </w:tc>
        <w:tc>
          <w:tcPr>
            <w:tcW w:w="584" w:type="pct"/>
            <w:shd w:val="clear" w:color="auto" w:fill="auto"/>
            <w:vAlign w:val="bottom"/>
          </w:tcPr>
          <w:p w14:paraId="40B6360D" w14:textId="41F23566" w:rsidR="00AA4F85" w:rsidRPr="00CC1061" w:rsidRDefault="00AA4F85" w:rsidP="00CC1061">
            <w:pPr>
              <w:jc w:val="center"/>
              <w:rPr>
                <w:b/>
                <w:bCs/>
                <w:color w:val="000000" w:themeColor="text1"/>
              </w:rPr>
            </w:pPr>
            <w:r w:rsidRPr="00CC1061">
              <w:rPr>
                <w:b/>
                <w:bCs/>
              </w:rPr>
              <w:t>FFY 2022 Data</w:t>
            </w:r>
          </w:p>
        </w:tc>
        <w:tc>
          <w:tcPr>
            <w:tcW w:w="486" w:type="pct"/>
            <w:shd w:val="clear" w:color="auto" w:fill="auto"/>
            <w:vAlign w:val="bottom"/>
          </w:tcPr>
          <w:p w14:paraId="17C85F8A" w14:textId="625B06E9" w:rsidR="00AA4F85" w:rsidRPr="00781112" w:rsidRDefault="00AA4F85" w:rsidP="00AA4F85">
            <w:pPr>
              <w:rPr>
                <w:b/>
                <w:color w:val="000000" w:themeColor="text1"/>
              </w:rPr>
            </w:pPr>
            <w:r w:rsidRPr="00781112">
              <w:rPr>
                <w:b/>
                <w:color w:val="000000" w:themeColor="text1"/>
              </w:rPr>
              <w:t>Status</w:t>
            </w:r>
          </w:p>
        </w:tc>
        <w:tc>
          <w:tcPr>
            <w:tcW w:w="633" w:type="pct"/>
            <w:shd w:val="clear" w:color="auto" w:fill="auto"/>
            <w:vAlign w:val="bottom"/>
          </w:tcPr>
          <w:p w14:paraId="4254BB19" w14:textId="15C403FF" w:rsidR="00AA4F85" w:rsidRPr="00781112" w:rsidRDefault="00AA4F85" w:rsidP="00AA4F85">
            <w:pPr>
              <w:rPr>
                <w:b/>
                <w:color w:val="000000" w:themeColor="text1"/>
              </w:rPr>
            </w:pPr>
            <w:r w:rsidRPr="00781112">
              <w:rPr>
                <w:b/>
                <w:color w:val="000000" w:themeColor="text1"/>
              </w:rPr>
              <w:t>Slippage</w:t>
            </w:r>
          </w:p>
        </w:tc>
      </w:tr>
      <w:tr w:rsidR="005C29F8" w:rsidRPr="00781112" w14:paraId="6493B1D4" w14:textId="479A7C15" w:rsidTr="00AA4F85">
        <w:tc>
          <w:tcPr>
            <w:tcW w:w="1000" w:type="pct"/>
            <w:shd w:val="clear" w:color="auto" w:fill="auto"/>
          </w:tcPr>
          <w:p w14:paraId="095FBDAA" w14:textId="77777777" w:rsidR="00071D42" w:rsidRPr="00781112" w:rsidRDefault="00A86385" w:rsidP="00A018D4">
            <w:pPr>
              <w:rPr>
                <w:rFonts w:cs="Arial"/>
                <w:color w:val="000000" w:themeColor="text1"/>
                <w:szCs w:val="16"/>
              </w:rPr>
            </w:pPr>
            <w:r w:rsidRPr="00781112">
              <w:rPr>
                <w:rFonts w:cs="Arial"/>
                <w:color w:val="000000" w:themeColor="text1"/>
                <w:szCs w:val="16"/>
              </w:rPr>
              <w:t xml:space="preserve">B1. Of those children who entered or exited the program below age expectations in Outcome B, the percent who substantially increased their rate of growth by the time they turned 6 years of </w:t>
            </w:r>
            <w:r w:rsidRPr="00781112">
              <w:rPr>
                <w:rFonts w:cs="Arial"/>
                <w:color w:val="000000" w:themeColor="text1"/>
                <w:szCs w:val="16"/>
              </w:rPr>
              <w:lastRenderedPageBreak/>
              <w:t xml:space="preserve">age or exited the program. </w:t>
            </w:r>
            <w:r w:rsidRPr="00266107">
              <w:rPr>
                <w:rFonts w:cs="Arial"/>
                <w:i/>
                <w:iCs/>
                <w:color w:val="000000" w:themeColor="text1"/>
                <w:szCs w:val="16"/>
              </w:rPr>
              <w:t>Calculation: (</w:t>
            </w:r>
            <w:proofErr w:type="spellStart"/>
            <w:r w:rsidRPr="00266107">
              <w:rPr>
                <w:rFonts w:cs="Arial"/>
                <w:i/>
                <w:iCs/>
                <w:color w:val="000000" w:themeColor="text1"/>
                <w:szCs w:val="16"/>
              </w:rPr>
              <w:t>c+d</w:t>
            </w:r>
            <w:proofErr w:type="spellEnd"/>
            <w:r w:rsidRPr="00266107">
              <w:rPr>
                <w:rFonts w:cs="Arial"/>
                <w:i/>
                <w:iCs/>
                <w:color w:val="000000" w:themeColor="text1"/>
                <w:szCs w:val="16"/>
              </w:rPr>
              <w:t>)/(</w:t>
            </w:r>
            <w:proofErr w:type="spellStart"/>
            <w:r w:rsidRPr="00266107">
              <w:rPr>
                <w:rFonts w:cs="Arial"/>
                <w:i/>
                <w:iCs/>
                <w:color w:val="000000" w:themeColor="text1"/>
                <w:szCs w:val="16"/>
              </w:rPr>
              <w:t>a+b+c+d</w:t>
            </w:r>
            <w:proofErr w:type="spellEnd"/>
            <w:r w:rsidRPr="00266107">
              <w:rPr>
                <w:rFonts w:cs="Arial"/>
                <w:i/>
                <w:iCs/>
                <w:color w:val="000000" w:themeColor="text1"/>
                <w:szCs w:val="16"/>
              </w:rPr>
              <w:t>)</w:t>
            </w:r>
          </w:p>
        </w:tc>
        <w:tc>
          <w:tcPr>
            <w:tcW w:w="585" w:type="pct"/>
            <w:shd w:val="clear" w:color="auto" w:fill="auto"/>
            <w:vAlign w:val="center"/>
          </w:tcPr>
          <w:p w14:paraId="250FBF70" w14:textId="269E9F95" w:rsidR="00A86385" w:rsidRPr="00781112" w:rsidRDefault="002B7490" w:rsidP="00A018D4">
            <w:pPr>
              <w:jc w:val="center"/>
              <w:rPr>
                <w:rFonts w:cs="Arial"/>
                <w:color w:val="000000" w:themeColor="text1"/>
                <w:szCs w:val="16"/>
              </w:rPr>
            </w:pPr>
            <w:r w:rsidRPr="00781112">
              <w:rPr>
                <w:rFonts w:cs="Arial"/>
                <w:color w:val="000000" w:themeColor="text1"/>
                <w:szCs w:val="16"/>
              </w:rPr>
              <w:lastRenderedPageBreak/>
              <w:t>1,920</w:t>
            </w:r>
          </w:p>
        </w:tc>
        <w:tc>
          <w:tcPr>
            <w:tcW w:w="585" w:type="pct"/>
            <w:shd w:val="clear" w:color="auto" w:fill="auto"/>
            <w:vAlign w:val="center"/>
          </w:tcPr>
          <w:p w14:paraId="682FF5CA" w14:textId="4D1E8D34" w:rsidR="00A86385" w:rsidRPr="00781112" w:rsidRDefault="002B7490" w:rsidP="00A018D4">
            <w:pPr>
              <w:jc w:val="center"/>
              <w:rPr>
                <w:rFonts w:cs="Arial"/>
                <w:color w:val="000000" w:themeColor="text1"/>
                <w:szCs w:val="16"/>
              </w:rPr>
            </w:pPr>
            <w:r w:rsidRPr="00781112">
              <w:rPr>
                <w:rFonts w:cs="Arial"/>
                <w:color w:val="000000" w:themeColor="text1"/>
                <w:szCs w:val="16"/>
              </w:rPr>
              <w:t>2,627</w:t>
            </w:r>
          </w:p>
        </w:tc>
        <w:tc>
          <w:tcPr>
            <w:tcW w:w="543" w:type="pct"/>
            <w:shd w:val="clear" w:color="auto" w:fill="auto"/>
            <w:vAlign w:val="center"/>
          </w:tcPr>
          <w:p w14:paraId="07D855DC" w14:textId="52076A3B" w:rsidR="00A86385" w:rsidRPr="00781112" w:rsidRDefault="002B7490" w:rsidP="00A018D4">
            <w:pPr>
              <w:jc w:val="center"/>
              <w:rPr>
                <w:rFonts w:cs="Arial"/>
                <w:color w:val="000000" w:themeColor="text1"/>
                <w:szCs w:val="16"/>
              </w:rPr>
            </w:pPr>
            <w:r w:rsidRPr="00781112">
              <w:rPr>
                <w:rFonts w:cs="Arial"/>
                <w:color w:val="000000" w:themeColor="text1"/>
                <w:szCs w:val="16"/>
              </w:rPr>
              <w:t>73.87%</w:t>
            </w:r>
          </w:p>
        </w:tc>
        <w:tc>
          <w:tcPr>
            <w:tcW w:w="584" w:type="pct"/>
            <w:shd w:val="clear" w:color="auto" w:fill="auto"/>
            <w:vAlign w:val="center"/>
          </w:tcPr>
          <w:p w14:paraId="2830610A" w14:textId="6D7B3DE8" w:rsidR="00A86385" w:rsidRPr="00781112" w:rsidRDefault="002B7490" w:rsidP="00A018D4">
            <w:pPr>
              <w:jc w:val="center"/>
              <w:rPr>
                <w:rFonts w:cs="Arial"/>
                <w:color w:val="000000" w:themeColor="text1"/>
                <w:szCs w:val="16"/>
              </w:rPr>
            </w:pPr>
            <w:r w:rsidRPr="00781112">
              <w:rPr>
                <w:rFonts w:cs="Arial"/>
                <w:color w:val="000000" w:themeColor="text1"/>
                <w:szCs w:val="16"/>
              </w:rPr>
              <w:t>70.03%</w:t>
            </w:r>
          </w:p>
        </w:tc>
        <w:tc>
          <w:tcPr>
            <w:tcW w:w="584" w:type="pct"/>
            <w:shd w:val="clear" w:color="auto" w:fill="auto"/>
            <w:vAlign w:val="center"/>
          </w:tcPr>
          <w:p w14:paraId="12F538E0" w14:textId="1332D172" w:rsidR="00A86385" w:rsidRPr="00781112" w:rsidRDefault="002B7490" w:rsidP="00A018D4">
            <w:pPr>
              <w:jc w:val="center"/>
              <w:rPr>
                <w:rFonts w:cs="Arial"/>
                <w:color w:val="000000" w:themeColor="text1"/>
                <w:szCs w:val="16"/>
              </w:rPr>
            </w:pPr>
            <w:r w:rsidRPr="00781112">
              <w:rPr>
                <w:rFonts w:cs="Arial"/>
                <w:color w:val="000000" w:themeColor="text1"/>
                <w:szCs w:val="16"/>
              </w:rPr>
              <w:t>73.09%</w:t>
            </w:r>
          </w:p>
        </w:tc>
        <w:tc>
          <w:tcPr>
            <w:tcW w:w="486" w:type="pct"/>
            <w:shd w:val="clear" w:color="auto" w:fill="auto"/>
            <w:vAlign w:val="center"/>
          </w:tcPr>
          <w:p w14:paraId="68592CBC" w14:textId="66F66CA8" w:rsidR="00A86385"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633" w:type="pct"/>
            <w:shd w:val="clear" w:color="auto" w:fill="auto"/>
            <w:vAlign w:val="center"/>
          </w:tcPr>
          <w:p w14:paraId="0C970ED8" w14:textId="7AA3F255" w:rsidR="00A86385"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5C29F8" w:rsidRPr="00781112" w14:paraId="41A2A4C8" w14:textId="1A212673" w:rsidTr="00AA4F85">
        <w:tc>
          <w:tcPr>
            <w:tcW w:w="1000" w:type="pct"/>
            <w:shd w:val="clear" w:color="auto" w:fill="auto"/>
          </w:tcPr>
          <w:p w14:paraId="2DEF6925" w14:textId="77777777" w:rsidR="00071D42" w:rsidRPr="00781112" w:rsidRDefault="00A86385" w:rsidP="00A018D4">
            <w:pPr>
              <w:rPr>
                <w:rFonts w:cs="Arial"/>
                <w:color w:val="000000" w:themeColor="text1"/>
                <w:szCs w:val="16"/>
              </w:rPr>
            </w:pPr>
            <w:r w:rsidRPr="00781112">
              <w:rPr>
                <w:rFonts w:cs="Arial"/>
                <w:color w:val="000000" w:themeColor="text1"/>
                <w:szCs w:val="16"/>
              </w:rPr>
              <w:t xml:space="preserve">B2. The percent of preschool children who were functioning within age expectations in Outcome B by the time they turned 6 years of age or exited the program. </w:t>
            </w:r>
            <w:r w:rsidRPr="00266107">
              <w:rPr>
                <w:rFonts w:cs="Arial"/>
                <w:i/>
                <w:iCs/>
                <w:color w:val="000000" w:themeColor="text1"/>
                <w:szCs w:val="16"/>
              </w:rPr>
              <w:t>Calculation: (</w:t>
            </w:r>
            <w:proofErr w:type="spellStart"/>
            <w:r w:rsidRPr="00266107">
              <w:rPr>
                <w:rFonts w:cs="Arial"/>
                <w:i/>
                <w:iCs/>
                <w:color w:val="000000" w:themeColor="text1"/>
                <w:szCs w:val="16"/>
              </w:rPr>
              <w:t>d+e</w:t>
            </w:r>
            <w:proofErr w:type="spellEnd"/>
            <w:r w:rsidRPr="00266107">
              <w:rPr>
                <w:rFonts w:cs="Arial"/>
                <w:i/>
                <w:iCs/>
                <w:color w:val="000000" w:themeColor="text1"/>
                <w:szCs w:val="16"/>
              </w:rPr>
              <w:t>)/(</w:t>
            </w:r>
            <w:proofErr w:type="spellStart"/>
            <w:r w:rsidRPr="00266107">
              <w:rPr>
                <w:rFonts w:cs="Arial"/>
                <w:i/>
                <w:iCs/>
                <w:color w:val="000000" w:themeColor="text1"/>
                <w:szCs w:val="16"/>
              </w:rPr>
              <w:t>a+b+c+d+e</w:t>
            </w:r>
            <w:proofErr w:type="spellEnd"/>
            <w:r w:rsidRPr="00266107">
              <w:rPr>
                <w:rFonts w:cs="Arial"/>
                <w:i/>
                <w:iCs/>
                <w:color w:val="000000" w:themeColor="text1"/>
                <w:szCs w:val="16"/>
              </w:rPr>
              <w:t>)</w:t>
            </w:r>
          </w:p>
        </w:tc>
        <w:tc>
          <w:tcPr>
            <w:tcW w:w="585" w:type="pct"/>
            <w:shd w:val="clear" w:color="auto" w:fill="auto"/>
            <w:vAlign w:val="center"/>
          </w:tcPr>
          <w:p w14:paraId="3ABF54A2" w14:textId="3376A45C" w:rsidR="00A86385" w:rsidRPr="00781112" w:rsidRDefault="002B7490" w:rsidP="00A018D4">
            <w:pPr>
              <w:jc w:val="center"/>
              <w:rPr>
                <w:rFonts w:cs="Arial"/>
                <w:color w:val="000000" w:themeColor="text1"/>
                <w:szCs w:val="16"/>
              </w:rPr>
            </w:pPr>
            <w:r w:rsidRPr="00781112">
              <w:rPr>
                <w:rFonts w:cs="Arial"/>
                <w:color w:val="000000" w:themeColor="text1"/>
                <w:szCs w:val="16"/>
              </w:rPr>
              <w:t>1,433</w:t>
            </w:r>
          </w:p>
        </w:tc>
        <w:tc>
          <w:tcPr>
            <w:tcW w:w="585" w:type="pct"/>
            <w:shd w:val="clear" w:color="auto" w:fill="auto"/>
            <w:vAlign w:val="center"/>
          </w:tcPr>
          <w:p w14:paraId="591EA1FE" w14:textId="556EFD96" w:rsidR="00A86385" w:rsidRPr="00781112" w:rsidRDefault="002B7490" w:rsidP="00A018D4">
            <w:pPr>
              <w:jc w:val="center"/>
              <w:rPr>
                <w:rFonts w:cs="Arial"/>
                <w:color w:val="000000" w:themeColor="text1"/>
                <w:szCs w:val="16"/>
              </w:rPr>
            </w:pPr>
            <w:r w:rsidRPr="00781112">
              <w:rPr>
                <w:rFonts w:cs="Arial"/>
                <w:color w:val="000000" w:themeColor="text1"/>
                <w:szCs w:val="16"/>
              </w:rPr>
              <w:t>3,234</w:t>
            </w:r>
          </w:p>
        </w:tc>
        <w:tc>
          <w:tcPr>
            <w:tcW w:w="543" w:type="pct"/>
            <w:shd w:val="clear" w:color="auto" w:fill="auto"/>
            <w:vAlign w:val="center"/>
          </w:tcPr>
          <w:p w14:paraId="0B86042E" w14:textId="01488A08" w:rsidR="00A86385" w:rsidRPr="00781112" w:rsidRDefault="002B7490" w:rsidP="00A018D4">
            <w:pPr>
              <w:jc w:val="center"/>
              <w:rPr>
                <w:rFonts w:cs="Arial"/>
                <w:color w:val="000000" w:themeColor="text1"/>
                <w:szCs w:val="16"/>
              </w:rPr>
            </w:pPr>
            <w:r w:rsidRPr="00781112">
              <w:rPr>
                <w:rFonts w:cs="Arial"/>
                <w:color w:val="000000" w:themeColor="text1"/>
                <w:szCs w:val="16"/>
              </w:rPr>
              <w:t>43.64%</w:t>
            </w:r>
          </w:p>
        </w:tc>
        <w:tc>
          <w:tcPr>
            <w:tcW w:w="584" w:type="pct"/>
            <w:shd w:val="clear" w:color="auto" w:fill="auto"/>
            <w:vAlign w:val="center"/>
          </w:tcPr>
          <w:p w14:paraId="33474719" w14:textId="0E1ED729" w:rsidR="00A86385" w:rsidRPr="00781112" w:rsidRDefault="002B7490" w:rsidP="00A018D4">
            <w:pPr>
              <w:jc w:val="center"/>
              <w:rPr>
                <w:rFonts w:cs="Arial"/>
                <w:color w:val="000000" w:themeColor="text1"/>
                <w:szCs w:val="16"/>
              </w:rPr>
            </w:pPr>
            <w:r w:rsidRPr="00781112">
              <w:rPr>
                <w:rFonts w:cs="Arial"/>
                <w:color w:val="000000" w:themeColor="text1"/>
                <w:szCs w:val="16"/>
              </w:rPr>
              <w:t>38.09%</w:t>
            </w:r>
          </w:p>
        </w:tc>
        <w:tc>
          <w:tcPr>
            <w:tcW w:w="584" w:type="pct"/>
            <w:shd w:val="clear" w:color="auto" w:fill="auto"/>
            <w:vAlign w:val="center"/>
          </w:tcPr>
          <w:p w14:paraId="073970A2" w14:textId="5A7FF3FA" w:rsidR="00A86385" w:rsidRPr="00781112" w:rsidRDefault="002B7490" w:rsidP="00A018D4">
            <w:pPr>
              <w:jc w:val="center"/>
              <w:rPr>
                <w:rFonts w:cs="Arial"/>
                <w:color w:val="000000" w:themeColor="text1"/>
                <w:szCs w:val="16"/>
              </w:rPr>
            </w:pPr>
            <w:r w:rsidRPr="00781112">
              <w:rPr>
                <w:rFonts w:cs="Arial"/>
                <w:color w:val="000000" w:themeColor="text1"/>
                <w:szCs w:val="16"/>
              </w:rPr>
              <w:t>44.31%</w:t>
            </w:r>
          </w:p>
        </w:tc>
        <w:tc>
          <w:tcPr>
            <w:tcW w:w="486" w:type="pct"/>
            <w:shd w:val="clear" w:color="auto" w:fill="auto"/>
            <w:vAlign w:val="center"/>
          </w:tcPr>
          <w:p w14:paraId="2B7E9ACC" w14:textId="45CB2456" w:rsidR="00A86385"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633" w:type="pct"/>
            <w:shd w:val="clear" w:color="auto" w:fill="auto"/>
            <w:vAlign w:val="center"/>
          </w:tcPr>
          <w:p w14:paraId="04CCC32D" w14:textId="64DEC314" w:rsidR="00A86385"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12AAE7F9" w14:textId="77777777" w:rsidR="00A80FEB" w:rsidRPr="00781112" w:rsidRDefault="00A80FEB" w:rsidP="004369B2">
      <w:pPr>
        <w:rPr>
          <w:color w:val="000000" w:themeColor="text1"/>
        </w:rPr>
      </w:pPr>
      <w:r w:rsidRPr="00781112">
        <w:rPr>
          <w:b/>
          <w:color w:val="000000" w:themeColor="text1"/>
        </w:rPr>
        <w:t>Outcome C: Use of appropriate behaviors to meet their needs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OUTCOMEC"/>
      </w:tblPr>
      <w:tblGrid>
        <w:gridCol w:w="7093"/>
        <w:gridCol w:w="1684"/>
        <w:gridCol w:w="2013"/>
      </w:tblGrid>
      <w:tr w:rsidR="005C29F8" w:rsidRPr="00781112" w14:paraId="5A5015FC" w14:textId="4FA08BD6" w:rsidTr="0033429D">
        <w:trPr>
          <w:trHeight w:val="361"/>
          <w:tblHeader/>
        </w:trPr>
        <w:tc>
          <w:tcPr>
            <w:tcW w:w="3349" w:type="pct"/>
            <w:shd w:val="clear" w:color="auto" w:fill="auto"/>
            <w:vAlign w:val="bottom"/>
          </w:tcPr>
          <w:p w14:paraId="4191FDB2" w14:textId="72ED8C9D" w:rsidR="002F2379" w:rsidRPr="00781112" w:rsidRDefault="009028CA" w:rsidP="0024351A">
            <w:pPr>
              <w:rPr>
                <w:rFonts w:cs="Arial"/>
                <w:color w:val="000000" w:themeColor="text1"/>
                <w:szCs w:val="16"/>
              </w:rPr>
            </w:pPr>
            <w:r w:rsidRPr="00781112">
              <w:rPr>
                <w:rFonts w:cs="Arial"/>
                <w:b/>
                <w:color w:val="000000" w:themeColor="text1"/>
                <w:szCs w:val="16"/>
              </w:rPr>
              <w:t xml:space="preserve">Outcome C </w:t>
            </w:r>
            <w:r w:rsidRPr="00781112">
              <w:rPr>
                <w:rFonts w:cs="Arial"/>
                <w:b/>
                <w:bCs/>
                <w:color w:val="000000" w:themeColor="text1"/>
                <w:szCs w:val="16"/>
              </w:rPr>
              <w:t>Progress Categor</w:t>
            </w:r>
            <w:r w:rsidR="00E91363" w:rsidRPr="00781112">
              <w:rPr>
                <w:rFonts w:cs="Arial"/>
                <w:b/>
                <w:bCs/>
                <w:color w:val="000000" w:themeColor="text1"/>
                <w:szCs w:val="16"/>
              </w:rPr>
              <w:t>y</w:t>
            </w:r>
          </w:p>
        </w:tc>
        <w:tc>
          <w:tcPr>
            <w:tcW w:w="826" w:type="pct"/>
            <w:shd w:val="clear" w:color="auto" w:fill="auto"/>
            <w:vAlign w:val="bottom"/>
          </w:tcPr>
          <w:p w14:paraId="18BE5F06" w14:textId="77777777" w:rsidR="002F2379" w:rsidRPr="00781112" w:rsidRDefault="002F2379" w:rsidP="0024351A">
            <w:pPr>
              <w:jc w:val="center"/>
              <w:rPr>
                <w:rFonts w:cs="Arial"/>
                <w:b/>
                <w:color w:val="000000" w:themeColor="text1"/>
                <w:szCs w:val="16"/>
              </w:rPr>
            </w:pPr>
            <w:r w:rsidRPr="00781112">
              <w:rPr>
                <w:rFonts w:cs="Arial"/>
                <w:b/>
                <w:color w:val="000000" w:themeColor="text1"/>
                <w:szCs w:val="16"/>
              </w:rPr>
              <w:t>Number of Children</w:t>
            </w:r>
          </w:p>
        </w:tc>
        <w:tc>
          <w:tcPr>
            <w:tcW w:w="825" w:type="pct"/>
            <w:shd w:val="clear" w:color="auto" w:fill="auto"/>
            <w:vAlign w:val="bottom"/>
          </w:tcPr>
          <w:p w14:paraId="5D2176F1" w14:textId="0AB04833" w:rsidR="002F2379" w:rsidRPr="00781112" w:rsidRDefault="002F2379" w:rsidP="0024351A">
            <w:pPr>
              <w:jc w:val="center"/>
              <w:rPr>
                <w:rFonts w:cs="Arial"/>
                <w:b/>
                <w:color w:val="000000" w:themeColor="text1"/>
                <w:szCs w:val="16"/>
              </w:rPr>
            </w:pPr>
            <w:r w:rsidRPr="00781112">
              <w:rPr>
                <w:rFonts w:cs="Arial"/>
                <w:b/>
                <w:color w:val="000000" w:themeColor="text1"/>
                <w:szCs w:val="16"/>
              </w:rPr>
              <w:t>Percentage of Children</w:t>
            </w:r>
          </w:p>
        </w:tc>
      </w:tr>
      <w:tr w:rsidR="005C29F8" w:rsidRPr="00781112" w14:paraId="091128D7" w14:textId="67DCF276" w:rsidTr="00AB0D6A">
        <w:trPr>
          <w:trHeight w:val="361"/>
        </w:trPr>
        <w:tc>
          <w:tcPr>
            <w:tcW w:w="3349" w:type="pct"/>
            <w:shd w:val="clear" w:color="auto" w:fill="auto"/>
          </w:tcPr>
          <w:p w14:paraId="4D685636" w14:textId="77777777" w:rsidR="00A86385" w:rsidRPr="00781112" w:rsidRDefault="00A86385" w:rsidP="00A86385">
            <w:pPr>
              <w:rPr>
                <w:rFonts w:cs="Arial"/>
                <w:color w:val="000000" w:themeColor="text1"/>
                <w:szCs w:val="16"/>
              </w:rPr>
            </w:pPr>
            <w:r w:rsidRPr="00781112">
              <w:rPr>
                <w:rFonts w:cs="Arial"/>
                <w:color w:val="000000" w:themeColor="text1"/>
                <w:szCs w:val="16"/>
              </w:rPr>
              <w:t>a. Preschool children who did not improve functioning</w:t>
            </w:r>
          </w:p>
        </w:tc>
        <w:tc>
          <w:tcPr>
            <w:tcW w:w="826" w:type="pct"/>
            <w:shd w:val="clear" w:color="auto" w:fill="auto"/>
            <w:vAlign w:val="center"/>
          </w:tcPr>
          <w:p w14:paraId="36C04483" w14:textId="33014E3B" w:rsidR="00A86385" w:rsidRPr="00781112" w:rsidRDefault="002B7490" w:rsidP="00A018D4">
            <w:pPr>
              <w:jc w:val="center"/>
              <w:rPr>
                <w:rFonts w:cs="Arial"/>
                <w:color w:val="000000" w:themeColor="text1"/>
                <w:szCs w:val="16"/>
              </w:rPr>
            </w:pPr>
            <w:r w:rsidRPr="00781112">
              <w:rPr>
                <w:rFonts w:cs="Arial"/>
                <w:color w:val="000000" w:themeColor="text1"/>
                <w:szCs w:val="16"/>
              </w:rPr>
              <w:t>111</w:t>
            </w:r>
          </w:p>
        </w:tc>
        <w:tc>
          <w:tcPr>
            <w:tcW w:w="825" w:type="pct"/>
            <w:shd w:val="clear" w:color="auto" w:fill="auto"/>
            <w:vAlign w:val="center"/>
          </w:tcPr>
          <w:p w14:paraId="224E7CD3" w14:textId="5C0B6B10" w:rsidR="00A86385" w:rsidRPr="00781112" w:rsidRDefault="002B7490" w:rsidP="00A018D4">
            <w:pPr>
              <w:jc w:val="center"/>
              <w:rPr>
                <w:rFonts w:cs="Arial"/>
                <w:color w:val="000000" w:themeColor="text1"/>
                <w:szCs w:val="16"/>
              </w:rPr>
            </w:pPr>
            <w:r w:rsidRPr="00781112">
              <w:rPr>
                <w:rFonts w:cs="Arial"/>
                <w:color w:val="000000" w:themeColor="text1"/>
                <w:szCs w:val="16"/>
              </w:rPr>
              <w:t>3.43%</w:t>
            </w:r>
          </w:p>
        </w:tc>
      </w:tr>
      <w:tr w:rsidR="005C29F8" w:rsidRPr="00781112" w14:paraId="0DFF86FC" w14:textId="381769F8" w:rsidTr="00AB0D6A">
        <w:trPr>
          <w:trHeight w:val="361"/>
        </w:trPr>
        <w:tc>
          <w:tcPr>
            <w:tcW w:w="3349" w:type="pct"/>
            <w:shd w:val="clear" w:color="auto" w:fill="auto"/>
          </w:tcPr>
          <w:p w14:paraId="72586C03" w14:textId="77777777" w:rsidR="00A86385" w:rsidRPr="00781112" w:rsidRDefault="00A86385" w:rsidP="00A86385">
            <w:pPr>
              <w:rPr>
                <w:rFonts w:cs="Arial"/>
                <w:color w:val="000000" w:themeColor="text1"/>
                <w:szCs w:val="16"/>
              </w:rPr>
            </w:pPr>
            <w:r w:rsidRPr="00781112">
              <w:rPr>
                <w:rFonts w:cs="Arial"/>
                <w:color w:val="000000" w:themeColor="text1"/>
                <w:szCs w:val="16"/>
              </w:rPr>
              <w:t>b. Preschool children who improved functioning but not sufficient to move nearer to functioning comparable to same-aged peers</w:t>
            </w:r>
          </w:p>
        </w:tc>
        <w:tc>
          <w:tcPr>
            <w:tcW w:w="826" w:type="pct"/>
            <w:shd w:val="clear" w:color="auto" w:fill="auto"/>
            <w:vAlign w:val="center"/>
          </w:tcPr>
          <w:p w14:paraId="453499DD" w14:textId="60CEBF1E" w:rsidR="00A86385" w:rsidRPr="00781112" w:rsidRDefault="002B7490" w:rsidP="00A018D4">
            <w:pPr>
              <w:jc w:val="center"/>
              <w:rPr>
                <w:rFonts w:cs="Arial"/>
                <w:color w:val="000000" w:themeColor="text1"/>
                <w:szCs w:val="16"/>
              </w:rPr>
            </w:pPr>
            <w:r w:rsidRPr="00781112">
              <w:rPr>
                <w:rFonts w:cs="Arial"/>
                <w:color w:val="000000" w:themeColor="text1"/>
                <w:szCs w:val="16"/>
              </w:rPr>
              <w:t>519</w:t>
            </w:r>
          </w:p>
        </w:tc>
        <w:tc>
          <w:tcPr>
            <w:tcW w:w="825" w:type="pct"/>
            <w:shd w:val="clear" w:color="auto" w:fill="auto"/>
            <w:vAlign w:val="center"/>
          </w:tcPr>
          <w:p w14:paraId="75491539" w14:textId="4C6956ED" w:rsidR="00A86385" w:rsidRPr="00781112" w:rsidRDefault="002B7490" w:rsidP="00A018D4">
            <w:pPr>
              <w:jc w:val="center"/>
              <w:rPr>
                <w:rFonts w:cs="Arial"/>
                <w:color w:val="000000" w:themeColor="text1"/>
                <w:szCs w:val="16"/>
              </w:rPr>
            </w:pPr>
            <w:r w:rsidRPr="00781112">
              <w:rPr>
                <w:rFonts w:cs="Arial"/>
                <w:color w:val="000000" w:themeColor="text1"/>
                <w:szCs w:val="16"/>
              </w:rPr>
              <w:t>16.05%</w:t>
            </w:r>
          </w:p>
        </w:tc>
      </w:tr>
      <w:tr w:rsidR="005C29F8" w:rsidRPr="00781112" w14:paraId="055A4C9A" w14:textId="0FC02C83" w:rsidTr="00AB0D6A">
        <w:trPr>
          <w:trHeight w:val="395"/>
        </w:trPr>
        <w:tc>
          <w:tcPr>
            <w:tcW w:w="3349" w:type="pct"/>
            <w:shd w:val="clear" w:color="auto" w:fill="auto"/>
          </w:tcPr>
          <w:p w14:paraId="1EEA20E7" w14:textId="77777777" w:rsidR="00A86385" w:rsidRPr="00781112" w:rsidRDefault="00A86385" w:rsidP="00A86385">
            <w:pPr>
              <w:rPr>
                <w:rFonts w:cs="Arial"/>
                <w:color w:val="000000" w:themeColor="text1"/>
                <w:szCs w:val="16"/>
              </w:rPr>
            </w:pPr>
            <w:r w:rsidRPr="00781112">
              <w:rPr>
                <w:rFonts w:cs="Arial"/>
                <w:color w:val="000000" w:themeColor="text1"/>
                <w:szCs w:val="16"/>
              </w:rPr>
              <w:t>c. Preschool children who improved functioning to a level nearer to same-aged peers but did not reach it</w:t>
            </w:r>
          </w:p>
        </w:tc>
        <w:tc>
          <w:tcPr>
            <w:tcW w:w="826" w:type="pct"/>
            <w:shd w:val="clear" w:color="auto" w:fill="auto"/>
            <w:vAlign w:val="center"/>
          </w:tcPr>
          <w:p w14:paraId="16FD0FF8" w14:textId="15197C29" w:rsidR="00A86385" w:rsidRPr="00781112" w:rsidRDefault="002B7490" w:rsidP="00A018D4">
            <w:pPr>
              <w:jc w:val="center"/>
              <w:rPr>
                <w:rFonts w:cs="Arial"/>
                <w:color w:val="000000" w:themeColor="text1"/>
                <w:szCs w:val="16"/>
              </w:rPr>
            </w:pPr>
            <w:r w:rsidRPr="00781112">
              <w:rPr>
                <w:rFonts w:cs="Arial"/>
                <w:color w:val="000000" w:themeColor="text1"/>
                <w:szCs w:val="16"/>
              </w:rPr>
              <w:t>898</w:t>
            </w:r>
          </w:p>
        </w:tc>
        <w:tc>
          <w:tcPr>
            <w:tcW w:w="825" w:type="pct"/>
            <w:shd w:val="clear" w:color="auto" w:fill="auto"/>
            <w:vAlign w:val="center"/>
          </w:tcPr>
          <w:p w14:paraId="5A785A5B" w14:textId="096612D9" w:rsidR="00A86385" w:rsidRPr="00781112" w:rsidRDefault="002B7490" w:rsidP="00A018D4">
            <w:pPr>
              <w:jc w:val="center"/>
              <w:rPr>
                <w:rFonts w:cs="Arial"/>
                <w:color w:val="000000" w:themeColor="text1"/>
                <w:szCs w:val="16"/>
              </w:rPr>
            </w:pPr>
            <w:r w:rsidRPr="00781112">
              <w:rPr>
                <w:rFonts w:cs="Arial"/>
                <w:color w:val="000000" w:themeColor="text1"/>
                <w:szCs w:val="16"/>
              </w:rPr>
              <w:t>27.77%</w:t>
            </w:r>
          </w:p>
        </w:tc>
      </w:tr>
      <w:tr w:rsidR="005C29F8" w:rsidRPr="00781112" w14:paraId="116C43B5" w14:textId="562F3ACF" w:rsidTr="00AB0D6A">
        <w:trPr>
          <w:trHeight w:val="361"/>
        </w:trPr>
        <w:tc>
          <w:tcPr>
            <w:tcW w:w="3349" w:type="pct"/>
            <w:shd w:val="clear" w:color="auto" w:fill="auto"/>
          </w:tcPr>
          <w:p w14:paraId="74396990" w14:textId="77777777" w:rsidR="00A86385" w:rsidRPr="00781112" w:rsidRDefault="00A86385" w:rsidP="00A86385">
            <w:pPr>
              <w:rPr>
                <w:rFonts w:cs="Arial"/>
                <w:color w:val="000000" w:themeColor="text1"/>
                <w:szCs w:val="16"/>
              </w:rPr>
            </w:pPr>
            <w:r w:rsidRPr="00781112">
              <w:rPr>
                <w:rFonts w:cs="Arial"/>
                <w:color w:val="000000" w:themeColor="text1"/>
                <w:szCs w:val="16"/>
              </w:rPr>
              <w:t>d. Preschool children who improved functioning to reach a level comparable to same-aged peers</w:t>
            </w:r>
          </w:p>
        </w:tc>
        <w:tc>
          <w:tcPr>
            <w:tcW w:w="826" w:type="pct"/>
            <w:shd w:val="clear" w:color="auto" w:fill="auto"/>
            <w:vAlign w:val="center"/>
          </w:tcPr>
          <w:p w14:paraId="5993AD4D" w14:textId="0747815C" w:rsidR="00A86385" w:rsidRPr="00781112" w:rsidRDefault="002B7490" w:rsidP="00A018D4">
            <w:pPr>
              <w:jc w:val="center"/>
              <w:rPr>
                <w:rFonts w:cs="Arial"/>
                <w:color w:val="000000" w:themeColor="text1"/>
                <w:szCs w:val="16"/>
              </w:rPr>
            </w:pPr>
            <w:r w:rsidRPr="00781112">
              <w:rPr>
                <w:rFonts w:cs="Arial"/>
                <w:color w:val="000000" w:themeColor="text1"/>
                <w:szCs w:val="16"/>
              </w:rPr>
              <w:t>795</w:t>
            </w:r>
          </w:p>
        </w:tc>
        <w:tc>
          <w:tcPr>
            <w:tcW w:w="825" w:type="pct"/>
            <w:shd w:val="clear" w:color="auto" w:fill="auto"/>
            <w:vAlign w:val="center"/>
          </w:tcPr>
          <w:p w14:paraId="6CF00AA9" w14:textId="2DDC2AAD" w:rsidR="00A86385" w:rsidRPr="00781112" w:rsidRDefault="002B7490" w:rsidP="00A018D4">
            <w:pPr>
              <w:jc w:val="center"/>
              <w:rPr>
                <w:rFonts w:cs="Arial"/>
                <w:color w:val="000000" w:themeColor="text1"/>
                <w:szCs w:val="16"/>
              </w:rPr>
            </w:pPr>
            <w:r w:rsidRPr="00781112">
              <w:rPr>
                <w:rFonts w:cs="Arial"/>
                <w:color w:val="000000" w:themeColor="text1"/>
                <w:szCs w:val="16"/>
              </w:rPr>
              <w:t>24.58%</w:t>
            </w:r>
          </w:p>
        </w:tc>
      </w:tr>
      <w:tr w:rsidR="005C29F8" w:rsidRPr="00781112" w14:paraId="4BA9BE51" w14:textId="4FD5F213" w:rsidTr="00AB0D6A">
        <w:trPr>
          <w:trHeight w:val="361"/>
        </w:trPr>
        <w:tc>
          <w:tcPr>
            <w:tcW w:w="3349" w:type="pct"/>
            <w:shd w:val="clear" w:color="auto" w:fill="auto"/>
          </w:tcPr>
          <w:p w14:paraId="016E3D57" w14:textId="77777777" w:rsidR="00A86385" w:rsidRPr="00781112" w:rsidRDefault="00A86385" w:rsidP="00A86385">
            <w:pPr>
              <w:rPr>
                <w:rFonts w:cs="Arial"/>
                <w:color w:val="000000" w:themeColor="text1"/>
                <w:szCs w:val="16"/>
              </w:rPr>
            </w:pPr>
            <w:r w:rsidRPr="00781112">
              <w:rPr>
                <w:rFonts w:cs="Arial"/>
                <w:color w:val="000000" w:themeColor="text1"/>
                <w:szCs w:val="16"/>
              </w:rPr>
              <w:t>e. Preschool children who maintained functioning at a level comparable to same-aged peers</w:t>
            </w:r>
          </w:p>
        </w:tc>
        <w:tc>
          <w:tcPr>
            <w:tcW w:w="826" w:type="pct"/>
            <w:shd w:val="clear" w:color="auto" w:fill="auto"/>
            <w:vAlign w:val="center"/>
          </w:tcPr>
          <w:p w14:paraId="7D33EA20" w14:textId="42CC1D2C" w:rsidR="00A86385" w:rsidRPr="00781112" w:rsidRDefault="002B7490" w:rsidP="00A018D4">
            <w:pPr>
              <w:jc w:val="center"/>
              <w:rPr>
                <w:rFonts w:cs="Arial"/>
                <w:color w:val="000000" w:themeColor="text1"/>
                <w:szCs w:val="16"/>
              </w:rPr>
            </w:pPr>
            <w:r w:rsidRPr="00781112">
              <w:rPr>
                <w:rFonts w:cs="Arial"/>
                <w:color w:val="000000" w:themeColor="text1"/>
                <w:szCs w:val="16"/>
              </w:rPr>
              <w:t>911</w:t>
            </w:r>
          </w:p>
        </w:tc>
        <w:tc>
          <w:tcPr>
            <w:tcW w:w="825" w:type="pct"/>
            <w:shd w:val="clear" w:color="auto" w:fill="auto"/>
            <w:vAlign w:val="center"/>
          </w:tcPr>
          <w:p w14:paraId="5DB4A655" w14:textId="2961CB8C" w:rsidR="00A86385" w:rsidRPr="00781112" w:rsidRDefault="002B7490" w:rsidP="00A018D4">
            <w:pPr>
              <w:jc w:val="center"/>
              <w:rPr>
                <w:rFonts w:cs="Arial"/>
                <w:color w:val="000000" w:themeColor="text1"/>
                <w:szCs w:val="16"/>
              </w:rPr>
            </w:pPr>
            <w:r w:rsidRPr="00781112">
              <w:rPr>
                <w:rFonts w:cs="Arial"/>
                <w:color w:val="000000" w:themeColor="text1"/>
                <w:szCs w:val="16"/>
              </w:rPr>
              <w:t>28.17%</w:t>
            </w:r>
          </w:p>
        </w:tc>
      </w:tr>
    </w:tbl>
    <w:p w14:paraId="49F715FF" w14:textId="77777777" w:rsidR="00A80FEB" w:rsidRPr="00781112" w:rsidRDefault="00A80FEB" w:rsidP="00A80FEB">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7OUTCOMECDATA"/>
      </w:tblPr>
      <w:tblGrid>
        <w:gridCol w:w="2156"/>
        <w:gridCol w:w="1260"/>
        <w:gridCol w:w="1260"/>
        <w:gridCol w:w="1172"/>
        <w:gridCol w:w="1260"/>
        <w:gridCol w:w="1349"/>
        <w:gridCol w:w="991"/>
        <w:gridCol w:w="1342"/>
      </w:tblGrid>
      <w:tr w:rsidR="00AA4F85" w:rsidRPr="00781112" w14:paraId="6D854191" w14:textId="189CF04C" w:rsidTr="00AB0D6A">
        <w:trPr>
          <w:trHeight w:val="354"/>
          <w:tblHeader/>
        </w:trPr>
        <w:tc>
          <w:tcPr>
            <w:tcW w:w="999" w:type="pct"/>
            <w:shd w:val="clear" w:color="auto" w:fill="auto"/>
            <w:vAlign w:val="bottom"/>
          </w:tcPr>
          <w:p w14:paraId="2713B90C" w14:textId="70596E6D" w:rsidR="00AA4F85" w:rsidRPr="00781112" w:rsidRDefault="00AA4F85" w:rsidP="00AA4F85">
            <w:pPr>
              <w:rPr>
                <w:rFonts w:cs="Arial"/>
                <w:b/>
                <w:bCs/>
                <w:color w:val="000000" w:themeColor="text1"/>
                <w:szCs w:val="16"/>
              </w:rPr>
            </w:pPr>
            <w:r w:rsidRPr="00781112">
              <w:rPr>
                <w:rFonts w:cs="Arial"/>
                <w:b/>
                <w:bCs/>
                <w:color w:val="000000" w:themeColor="text1"/>
                <w:szCs w:val="16"/>
              </w:rPr>
              <w:t>Outcome C</w:t>
            </w:r>
          </w:p>
        </w:tc>
        <w:tc>
          <w:tcPr>
            <w:tcW w:w="584" w:type="pct"/>
            <w:shd w:val="clear" w:color="auto" w:fill="auto"/>
            <w:vAlign w:val="bottom"/>
          </w:tcPr>
          <w:p w14:paraId="3AAEB9EE" w14:textId="77777777" w:rsidR="00AA4F85" w:rsidRPr="00781112" w:rsidRDefault="00AA4F85" w:rsidP="00AA4F85">
            <w:pPr>
              <w:jc w:val="center"/>
              <w:rPr>
                <w:rFonts w:cs="Arial"/>
                <w:b/>
                <w:color w:val="000000" w:themeColor="text1"/>
                <w:szCs w:val="16"/>
              </w:rPr>
            </w:pPr>
            <w:r w:rsidRPr="00781112">
              <w:rPr>
                <w:rFonts w:cs="Arial"/>
                <w:b/>
                <w:color w:val="000000" w:themeColor="text1"/>
                <w:szCs w:val="16"/>
              </w:rPr>
              <w:t>Numerator</w:t>
            </w:r>
          </w:p>
        </w:tc>
        <w:tc>
          <w:tcPr>
            <w:tcW w:w="584" w:type="pct"/>
            <w:shd w:val="clear" w:color="auto" w:fill="auto"/>
            <w:vAlign w:val="bottom"/>
          </w:tcPr>
          <w:p w14:paraId="5C1FBE9E" w14:textId="77777777" w:rsidR="00AA4F85" w:rsidRPr="00781112" w:rsidRDefault="00AA4F85" w:rsidP="00AA4F85">
            <w:pPr>
              <w:jc w:val="center"/>
              <w:rPr>
                <w:rFonts w:cs="Arial"/>
                <w:b/>
                <w:color w:val="000000" w:themeColor="text1"/>
                <w:szCs w:val="16"/>
              </w:rPr>
            </w:pPr>
            <w:r w:rsidRPr="00781112">
              <w:rPr>
                <w:rFonts w:cs="Arial"/>
                <w:b/>
                <w:color w:val="000000" w:themeColor="text1"/>
                <w:szCs w:val="16"/>
              </w:rPr>
              <w:t>Denominator</w:t>
            </w:r>
          </w:p>
        </w:tc>
        <w:tc>
          <w:tcPr>
            <w:tcW w:w="543" w:type="pct"/>
            <w:shd w:val="clear" w:color="auto" w:fill="auto"/>
            <w:vAlign w:val="bottom"/>
          </w:tcPr>
          <w:p w14:paraId="7E124690" w14:textId="03F76F83" w:rsidR="00AA4F85" w:rsidRPr="00CC1061" w:rsidRDefault="00AA4F85" w:rsidP="00AA4F85">
            <w:pPr>
              <w:jc w:val="center"/>
              <w:rPr>
                <w:rFonts w:cs="Arial"/>
                <w:b/>
                <w:bCs/>
                <w:color w:val="000000" w:themeColor="text1"/>
                <w:szCs w:val="16"/>
              </w:rPr>
            </w:pPr>
            <w:r w:rsidRPr="00CC1061">
              <w:rPr>
                <w:b/>
                <w:bCs/>
              </w:rPr>
              <w:t>FFY 2021 Data</w:t>
            </w:r>
          </w:p>
        </w:tc>
        <w:tc>
          <w:tcPr>
            <w:tcW w:w="584" w:type="pct"/>
            <w:shd w:val="clear" w:color="auto" w:fill="auto"/>
            <w:vAlign w:val="bottom"/>
          </w:tcPr>
          <w:p w14:paraId="7E59D447" w14:textId="467DA5D1" w:rsidR="00AA4F85" w:rsidRPr="00CC1061" w:rsidRDefault="00AA4F85" w:rsidP="00AA4F85">
            <w:pPr>
              <w:jc w:val="center"/>
              <w:rPr>
                <w:rFonts w:cs="Arial"/>
                <w:b/>
                <w:bCs/>
                <w:color w:val="000000" w:themeColor="text1"/>
                <w:szCs w:val="16"/>
              </w:rPr>
            </w:pPr>
            <w:r w:rsidRPr="00CC1061">
              <w:rPr>
                <w:b/>
                <w:bCs/>
              </w:rPr>
              <w:t>FFY 2022 Target</w:t>
            </w:r>
          </w:p>
        </w:tc>
        <w:tc>
          <w:tcPr>
            <w:tcW w:w="625" w:type="pct"/>
            <w:shd w:val="clear" w:color="auto" w:fill="auto"/>
            <w:vAlign w:val="bottom"/>
          </w:tcPr>
          <w:p w14:paraId="48E0A776" w14:textId="5D4F29BA" w:rsidR="00AA4F85" w:rsidRPr="00CC1061" w:rsidRDefault="00AA4F85" w:rsidP="00AA4F85">
            <w:pPr>
              <w:jc w:val="center"/>
              <w:rPr>
                <w:rFonts w:cs="Arial"/>
                <w:b/>
                <w:bCs/>
                <w:color w:val="000000" w:themeColor="text1"/>
                <w:szCs w:val="16"/>
              </w:rPr>
            </w:pPr>
            <w:r w:rsidRPr="00CC1061">
              <w:rPr>
                <w:b/>
                <w:bCs/>
              </w:rPr>
              <w:t>FFY 2022 Data</w:t>
            </w:r>
          </w:p>
        </w:tc>
        <w:tc>
          <w:tcPr>
            <w:tcW w:w="459" w:type="pct"/>
            <w:shd w:val="clear" w:color="auto" w:fill="auto"/>
            <w:vAlign w:val="bottom"/>
          </w:tcPr>
          <w:p w14:paraId="1271E5C2" w14:textId="7C29A2B3" w:rsidR="00AA4F85" w:rsidRPr="00781112" w:rsidRDefault="00AA4F85" w:rsidP="00AA4F85">
            <w:pPr>
              <w:jc w:val="center"/>
              <w:rPr>
                <w:rFonts w:cs="Arial"/>
                <w:b/>
                <w:color w:val="000000" w:themeColor="text1"/>
                <w:szCs w:val="16"/>
              </w:rPr>
            </w:pPr>
            <w:r w:rsidRPr="00781112">
              <w:rPr>
                <w:rFonts w:cs="Arial"/>
                <w:b/>
                <w:color w:val="000000" w:themeColor="text1"/>
                <w:szCs w:val="16"/>
              </w:rPr>
              <w:t>Status</w:t>
            </w:r>
          </w:p>
        </w:tc>
        <w:tc>
          <w:tcPr>
            <w:tcW w:w="622" w:type="pct"/>
            <w:shd w:val="clear" w:color="auto" w:fill="auto"/>
            <w:vAlign w:val="bottom"/>
          </w:tcPr>
          <w:p w14:paraId="57BB5D90" w14:textId="5C773F81" w:rsidR="00AA4F85" w:rsidRPr="00781112" w:rsidRDefault="00AA4F85" w:rsidP="00AA4F85">
            <w:pPr>
              <w:jc w:val="center"/>
              <w:rPr>
                <w:rFonts w:cs="Arial"/>
                <w:b/>
                <w:color w:val="000000" w:themeColor="text1"/>
                <w:szCs w:val="16"/>
              </w:rPr>
            </w:pPr>
            <w:r w:rsidRPr="00781112">
              <w:rPr>
                <w:rFonts w:cs="Arial"/>
                <w:b/>
                <w:color w:val="000000" w:themeColor="text1"/>
                <w:szCs w:val="16"/>
              </w:rPr>
              <w:t>Slippage</w:t>
            </w:r>
          </w:p>
        </w:tc>
      </w:tr>
      <w:tr w:rsidR="005C29F8" w:rsidRPr="00781112" w14:paraId="060DACA6" w14:textId="4A0141DE" w:rsidTr="00AB0D6A">
        <w:trPr>
          <w:trHeight w:val="361"/>
        </w:trPr>
        <w:tc>
          <w:tcPr>
            <w:tcW w:w="999" w:type="pct"/>
            <w:shd w:val="clear" w:color="auto" w:fill="auto"/>
          </w:tcPr>
          <w:p w14:paraId="53F10B71" w14:textId="77777777" w:rsidR="00757D21" w:rsidRPr="00781112" w:rsidRDefault="00A86385" w:rsidP="00E526FC">
            <w:pPr>
              <w:rPr>
                <w:rFonts w:cs="Arial"/>
                <w:color w:val="000000" w:themeColor="text1"/>
                <w:szCs w:val="16"/>
              </w:rPr>
            </w:pPr>
            <w:r w:rsidRPr="00781112">
              <w:rPr>
                <w:rFonts w:cs="Arial"/>
                <w:color w:val="000000" w:themeColor="text1"/>
                <w:szCs w:val="16"/>
              </w:rPr>
              <w:t>C1. Of those children who entered or exited the program below age expectations in Outcome C, the percent who substantially increased their rate of growth by the time they turned 6 years of age or exited the program.</w:t>
            </w:r>
          </w:p>
          <w:p w14:paraId="78844CD5" w14:textId="49EF12B7" w:rsidR="00A86385" w:rsidRPr="00781112" w:rsidRDefault="00757D21" w:rsidP="00E526FC">
            <w:pPr>
              <w:rPr>
                <w:rFonts w:cs="Arial"/>
                <w:color w:val="000000" w:themeColor="text1"/>
                <w:szCs w:val="16"/>
              </w:rPr>
            </w:pPr>
            <w:r w:rsidRPr="00781112">
              <w:rPr>
                <w:rFonts w:cs="Arial"/>
                <w:i/>
                <w:iCs/>
                <w:color w:val="C00000"/>
                <w:szCs w:val="16"/>
              </w:rPr>
              <w:t>Calculation:(</w:t>
            </w:r>
            <w:proofErr w:type="spellStart"/>
            <w:r w:rsidRPr="00781112">
              <w:rPr>
                <w:rFonts w:cs="Arial"/>
                <w:i/>
                <w:iCs/>
                <w:color w:val="C00000"/>
                <w:szCs w:val="16"/>
              </w:rPr>
              <w:t>c+d</w:t>
            </w:r>
            <w:proofErr w:type="spellEnd"/>
            <w:r w:rsidRPr="00781112">
              <w:rPr>
                <w:rFonts w:cs="Arial"/>
                <w:i/>
                <w:iCs/>
                <w:color w:val="C00000"/>
                <w:szCs w:val="16"/>
              </w:rPr>
              <w:t>)/(</w:t>
            </w:r>
            <w:proofErr w:type="spellStart"/>
            <w:r w:rsidRPr="00781112">
              <w:rPr>
                <w:rFonts w:cs="Arial"/>
                <w:i/>
                <w:iCs/>
                <w:color w:val="C00000"/>
                <w:szCs w:val="16"/>
              </w:rPr>
              <w:t>a+b+c+d</w:t>
            </w:r>
            <w:proofErr w:type="spellEnd"/>
            <w:r w:rsidRPr="00781112">
              <w:rPr>
                <w:rFonts w:cs="Arial"/>
                <w:i/>
                <w:iCs/>
                <w:color w:val="C00000"/>
                <w:szCs w:val="16"/>
              </w:rPr>
              <w:t>)</w:t>
            </w:r>
            <w:r w:rsidR="00A86385" w:rsidRPr="00781112">
              <w:rPr>
                <w:rFonts w:cs="Arial"/>
                <w:color w:val="000000" w:themeColor="text1"/>
                <w:szCs w:val="16"/>
              </w:rPr>
              <w:t xml:space="preserve"> </w:t>
            </w:r>
          </w:p>
        </w:tc>
        <w:tc>
          <w:tcPr>
            <w:tcW w:w="584" w:type="pct"/>
            <w:shd w:val="clear" w:color="auto" w:fill="auto"/>
            <w:vAlign w:val="center"/>
          </w:tcPr>
          <w:p w14:paraId="06847B86" w14:textId="57D8DF81" w:rsidR="00A86385" w:rsidRPr="00781112" w:rsidRDefault="002B7490" w:rsidP="00A018D4">
            <w:pPr>
              <w:jc w:val="center"/>
              <w:rPr>
                <w:rFonts w:cs="Arial"/>
                <w:color w:val="000000" w:themeColor="text1"/>
                <w:szCs w:val="16"/>
              </w:rPr>
            </w:pPr>
            <w:r w:rsidRPr="00781112">
              <w:rPr>
                <w:rFonts w:cs="Arial"/>
                <w:color w:val="000000" w:themeColor="text1"/>
                <w:szCs w:val="16"/>
              </w:rPr>
              <w:t>1,693</w:t>
            </w:r>
          </w:p>
        </w:tc>
        <w:tc>
          <w:tcPr>
            <w:tcW w:w="584" w:type="pct"/>
            <w:shd w:val="clear" w:color="auto" w:fill="auto"/>
            <w:vAlign w:val="center"/>
          </w:tcPr>
          <w:p w14:paraId="238365C6" w14:textId="3568431D" w:rsidR="00A86385" w:rsidRPr="00781112" w:rsidRDefault="002B7490" w:rsidP="00A018D4">
            <w:pPr>
              <w:jc w:val="center"/>
              <w:rPr>
                <w:rFonts w:cs="Arial"/>
                <w:color w:val="000000" w:themeColor="text1"/>
                <w:szCs w:val="16"/>
              </w:rPr>
            </w:pPr>
            <w:r w:rsidRPr="00781112">
              <w:rPr>
                <w:rFonts w:cs="Arial"/>
                <w:color w:val="000000" w:themeColor="text1"/>
                <w:szCs w:val="16"/>
              </w:rPr>
              <w:t>2,323</w:t>
            </w:r>
          </w:p>
        </w:tc>
        <w:tc>
          <w:tcPr>
            <w:tcW w:w="543" w:type="pct"/>
            <w:shd w:val="clear" w:color="auto" w:fill="auto"/>
            <w:vAlign w:val="center"/>
          </w:tcPr>
          <w:p w14:paraId="4D92698F" w14:textId="1CB8B6A4" w:rsidR="00A86385" w:rsidRPr="00781112" w:rsidRDefault="002B7490" w:rsidP="00A018D4">
            <w:pPr>
              <w:jc w:val="center"/>
              <w:rPr>
                <w:rFonts w:cs="Arial"/>
                <w:color w:val="000000" w:themeColor="text1"/>
                <w:szCs w:val="16"/>
              </w:rPr>
            </w:pPr>
            <w:r w:rsidRPr="00781112">
              <w:rPr>
                <w:rFonts w:cs="Arial"/>
                <w:color w:val="000000" w:themeColor="text1"/>
                <w:szCs w:val="16"/>
              </w:rPr>
              <w:t>75.23%</w:t>
            </w:r>
          </w:p>
        </w:tc>
        <w:tc>
          <w:tcPr>
            <w:tcW w:w="584" w:type="pct"/>
            <w:shd w:val="clear" w:color="auto" w:fill="auto"/>
            <w:vAlign w:val="center"/>
          </w:tcPr>
          <w:p w14:paraId="282346A8" w14:textId="638BF2E5" w:rsidR="00A86385" w:rsidRPr="00781112" w:rsidRDefault="002B7490" w:rsidP="00A018D4">
            <w:pPr>
              <w:jc w:val="center"/>
              <w:rPr>
                <w:rFonts w:cs="Arial"/>
                <w:color w:val="000000" w:themeColor="text1"/>
                <w:szCs w:val="16"/>
              </w:rPr>
            </w:pPr>
            <w:r w:rsidRPr="00781112">
              <w:rPr>
                <w:rFonts w:cs="Arial"/>
                <w:color w:val="000000" w:themeColor="text1"/>
                <w:szCs w:val="16"/>
              </w:rPr>
              <w:t>69.91%</w:t>
            </w:r>
          </w:p>
        </w:tc>
        <w:tc>
          <w:tcPr>
            <w:tcW w:w="625" w:type="pct"/>
            <w:shd w:val="clear" w:color="auto" w:fill="auto"/>
            <w:vAlign w:val="center"/>
          </w:tcPr>
          <w:p w14:paraId="02E42936" w14:textId="312E4B4A" w:rsidR="00A86385" w:rsidRPr="00781112" w:rsidRDefault="002B7490" w:rsidP="00A018D4">
            <w:pPr>
              <w:jc w:val="center"/>
              <w:rPr>
                <w:rFonts w:cs="Arial"/>
                <w:color w:val="000000" w:themeColor="text1"/>
                <w:szCs w:val="16"/>
              </w:rPr>
            </w:pPr>
            <w:r w:rsidRPr="00781112">
              <w:rPr>
                <w:rFonts w:cs="Arial"/>
                <w:color w:val="000000" w:themeColor="text1"/>
                <w:szCs w:val="16"/>
              </w:rPr>
              <w:t>72.88%</w:t>
            </w:r>
          </w:p>
        </w:tc>
        <w:tc>
          <w:tcPr>
            <w:tcW w:w="459" w:type="pct"/>
            <w:shd w:val="clear" w:color="auto" w:fill="auto"/>
            <w:vAlign w:val="center"/>
          </w:tcPr>
          <w:p w14:paraId="1B13A98E" w14:textId="3F3B6900" w:rsidR="00A86385"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622" w:type="pct"/>
            <w:shd w:val="clear" w:color="auto" w:fill="auto"/>
            <w:vAlign w:val="center"/>
          </w:tcPr>
          <w:p w14:paraId="2D48B259" w14:textId="3185C0C7" w:rsidR="00A86385"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5C29F8" w:rsidRPr="00781112" w14:paraId="01CBC0C6" w14:textId="58EECBDC" w:rsidTr="00AB0D6A">
        <w:trPr>
          <w:trHeight w:val="361"/>
        </w:trPr>
        <w:tc>
          <w:tcPr>
            <w:tcW w:w="999" w:type="pct"/>
            <w:shd w:val="clear" w:color="auto" w:fill="auto"/>
          </w:tcPr>
          <w:p w14:paraId="080A6F16" w14:textId="77777777" w:rsidR="00A86385" w:rsidRPr="00781112" w:rsidRDefault="00A86385" w:rsidP="00E526FC">
            <w:pPr>
              <w:rPr>
                <w:rFonts w:cs="Arial"/>
                <w:color w:val="000000" w:themeColor="text1"/>
                <w:szCs w:val="16"/>
              </w:rPr>
            </w:pPr>
            <w:r w:rsidRPr="00781112">
              <w:rPr>
                <w:rFonts w:cs="Arial"/>
                <w:color w:val="000000" w:themeColor="text1"/>
                <w:szCs w:val="16"/>
              </w:rPr>
              <w:t xml:space="preserve">C2. The percent of preschool children who were functioning within age expectations in Outcome C by the time they turned 6 years of age or exited the program. </w:t>
            </w:r>
          </w:p>
          <w:p w14:paraId="3AD697BE" w14:textId="13545BB0" w:rsidR="00757D21" w:rsidRPr="0075451F" w:rsidRDefault="00757D21" w:rsidP="00E526FC">
            <w:pPr>
              <w:rPr>
                <w:rFonts w:cs="Arial"/>
                <w:color w:val="000000" w:themeColor="text1"/>
                <w:szCs w:val="16"/>
                <w:lang w:val="es-ES"/>
              </w:rPr>
            </w:pPr>
            <w:proofErr w:type="spellStart"/>
            <w:r w:rsidRPr="0075451F">
              <w:rPr>
                <w:rFonts w:cs="Arial"/>
                <w:i/>
                <w:iCs/>
                <w:color w:val="C00000"/>
                <w:szCs w:val="16"/>
                <w:lang w:val="es-ES"/>
              </w:rPr>
              <w:t>Calculation</w:t>
            </w:r>
            <w:proofErr w:type="spellEnd"/>
            <w:r w:rsidRPr="0075451F">
              <w:rPr>
                <w:rFonts w:cs="Arial"/>
                <w:i/>
                <w:iCs/>
                <w:color w:val="C00000"/>
                <w:szCs w:val="16"/>
                <w:lang w:val="es-ES"/>
              </w:rPr>
              <w:t>: (</w:t>
            </w:r>
            <w:proofErr w:type="spellStart"/>
            <w:r w:rsidRPr="0075451F">
              <w:rPr>
                <w:rFonts w:cs="Arial"/>
                <w:i/>
                <w:iCs/>
                <w:color w:val="C00000"/>
                <w:szCs w:val="16"/>
                <w:lang w:val="es-ES"/>
              </w:rPr>
              <w:t>d+e</w:t>
            </w:r>
            <w:proofErr w:type="spellEnd"/>
            <w:r w:rsidRPr="0075451F">
              <w:rPr>
                <w:rFonts w:cs="Arial"/>
                <w:i/>
                <w:iCs/>
                <w:color w:val="C00000"/>
                <w:szCs w:val="16"/>
                <w:lang w:val="es-ES"/>
              </w:rPr>
              <w:t>)/(</w:t>
            </w:r>
            <w:proofErr w:type="spellStart"/>
            <w:r w:rsidRPr="0075451F">
              <w:rPr>
                <w:rFonts w:cs="Arial"/>
                <w:i/>
                <w:iCs/>
                <w:color w:val="C00000"/>
                <w:szCs w:val="16"/>
                <w:lang w:val="es-ES"/>
              </w:rPr>
              <w:t>a+b+c+d+e</w:t>
            </w:r>
            <w:proofErr w:type="spellEnd"/>
            <w:r w:rsidRPr="0075451F">
              <w:rPr>
                <w:rFonts w:cs="Arial"/>
                <w:i/>
                <w:iCs/>
                <w:color w:val="C00000"/>
                <w:szCs w:val="16"/>
                <w:lang w:val="es-ES"/>
              </w:rPr>
              <w:t>)</w:t>
            </w:r>
          </w:p>
        </w:tc>
        <w:tc>
          <w:tcPr>
            <w:tcW w:w="584" w:type="pct"/>
            <w:shd w:val="clear" w:color="auto" w:fill="auto"/>
            <w:vAlign w:val="center"/>
          </w:tcPr>
          <w:p w14:paraId="55881F07" w14:textId="24379895" w:rsidR="00E526FC" w:rsidRPr="00781112" w:rsidRDefault="002B7490" w:rsidP="00A018D4">
            <w:pPr>
              <w:jc w:val="center"/>
              <w:rPr>
                <w:rFonts w:cs="Arial"/>
                <w:color w:val="000000" w:themeColor="text1"/>
                <w:szCs w:val="16"/>
              </w:rPr>
            </w:pPr>
            <w:r w:rsidRPr="00781112">
              <w:rPr>
                <w:rFonts w:cs="Arial"/>
                <w:color w:val="000000" w:themeColor="text1"/>
                <w:szCs w:val="16"/>
              </w:rPr>
              <w:t>1,706</w:t>
            </w:r>
          </w:p>
        </w:tc>
        <w:tc>
          <w:tcPr>
            <w:tcW w:w="584" w:type="pct"/>
            <w:shd w:val="clear" w:color="auto" w:fill="auto"/>
            <w:vAlign w:val="center"/>
          </w:tcPr>
          <w:p w14:paraId="621B2290" w14:textId="0CB78FA1" w:rsidR="00E526FC" w:rsidRPr="00781112" w:rsidRDefault="002B7490" w:rsidP="00A018D4">
            <w:pPr>
              <w:jc w:val="center"/>
              <w:rPr>
                <w:rFonts w:cs="Arial"/>
                <w:color w:val="000000" w:themeColor="text1"/>
                <w:szCs w:val="16"/>
              </w:rPr>
            </w:pPr>
            <w:r w:rsidRPr="00781112">
              <w:rPr>
                <w:rFonts w:cs="Arial"/>
                <w:color w:val="000000" w:themeColor="text1"/>
                <w:szCs w:val="16"/>
              </w:rPr>
              <w:t>3,234</w:t>
            </w:r>
          </w:p>
        </w:tc>
        <w:tc>
          <w:tcPr>
            <w:tcW w:w="543" w:type="pct"/>
            <w:shd w:val="clear" w:color="auto" w:fill="auto"/>
            <w:vAlign w:val="center"/>
          </w:tcPr>
          <w:p w14:paraId="62DBFBFA" w14:textId="0CDB12CF" w:rsidR="00A86385" w:rsidRPr="00781112" w:rsidRDefault="002B7490" w:rsidP="00A018D4">
            <w:pPr>
              <w:jc w:val="center"/>
              <w:rPr>
                <w:rFonts w:cs="Arial"/>
                <w:color w:val="000000" w:themeColor="text1"/>
                <w:szCs w:val="16"/>
              </w:rPr>
            </w:pPr>
            <w:r w:rsidRPr="00781112">
              <w:rPr>
                <w:rFonts w:cs="Arial"/>
                <w:color w:val="000000" w:themeColor="text1"/>
                <w:szCs w:val="16"/>
              </w:rPr>
              <w:t>54.23%</w:t>
            </w:r>
          </w:p>
        </w:tc>
        <w:tc>
          <w:tcPr>
            <w:tcW w:w="584" w:type="pct"/>
            <w:shd w:val="clear" w:color="auto" w:fill="auto"/>
            <w:vAlign w:val="center"/>
          </w:tcPr>
          <w:p w14:paraId="63A1936F" w14:textId="04F440D6" w:rsidR="00A86385" w:rsidRPr="00781112" w:rsidRDefault="002B7490" w:rsidP="00A018D4">
            <w:pPr>
              <w:jc w:val="center"/>
              <w:rPr>
                <w:rFonts w:cs="Arial"/>
                <w:color w:val="000000" w:themeColor="text1"/>
                <w:szCs w:val="16"/>
              </w:rPr>
            </w:pPr>
            <w:r w:rsidRPr="00781112">
              <w:rPr>
                <w:rFonts w:cs="Arial"/>
                <w:color w:val="000000" w:themeColor="text1"/>
                <w:szCs w:val="16"/>
              </w:rPr>
              <w:t>50.76%</w:t>
            </w:r>
          </w:p>
        </w:tc>
        <w:tc>
          <w:tcPr>
            <w:tcW w:w="625" w:type="pct"/>
            <w:shd w:val="clear" w:color="auto" w:fill="auto"/>
            <w:vAlign w:val="center"/>
          </w:tcPr>
          <w:p w14:paraId="4609D20B" w14:textId="7D9B89C4" w:rsidR="00A86385" w:rsidRPr="00781112" w:rsidRDefault="002B7490" w:rsidP="00A018D4">
            <w:pPr>
              <w:jc w:val="center"/>
              <w:rPr>
                <w:rFonts w:cs="Arial"/>
                <w:color w:val="000000" w:themeColor="text1"/>
                <w:szCs w:val="16"/>
              </w:rPr>
            </w:pPr>
            <w:r w:rsidRPr="00781112">
              <w:rPr>
                <w:rFonts w:cs="Arial"/>
                <w:color w:val="000000" w:themeColor="text1"/>
                <w:szCs w:val="16"/>
              </w:rPr>
              <w:t>52.75%</w:t>
            </w:r>
          </w:p>
        </w:tc>
        <w:tc>
          <w:tcPr>
            <w:tcW w:w="459" w:type="pct"/>
            <w:shd w:val="clear" w:color="auto" w:fill="auto"/>
            <w:vAlign w:val="center"/>
          </w:tcPr>
          <w:p w14:paraId="5F56D20D" w14:textId="6A83021F" w:rsidR="00A86385"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622" w:type="pct"/>
            <w:shd w:val="clear" w:color="auto" w:fill="auto"/>
            <w:vAlign w:val="center"/>
          </w:tcPr>
          <w:p w14:paraId="5C0F945B" w14:textId="613A8501" w:rsidR="00A86385"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105291D6" w14:textId="2B417D4B" w:rsidR="009B37A2" w:rsidRPr="00781112" w:rsidRDefault="009B37A2" w:rsidP="00B3121C">
      <w:pPr>
        <w:rPr>
          <w:color w:val="000000" w:themeColor="text1"/>
        </w:rPr>
      </w:pPr>
    </w:p>
    <w:p w14:paraId="399E6348" w14:textId="36EEF00B" w:rsidR="004B2C2D" w:rsidRPr="00781112" w:rsidRDefault="004B2C2D" w:rsidP="007D435F">
      <w:pPr>
        <w:rPr>
          <w:rFonts w:cs="Arial"/>
          <w:b/>
          <w:color w:val="000000" w:themeColor="text1"/>
          <w:szCs w:val="16"/>
        </w:rPr>
      </w:pPr>
      <w:r w:rsidRPr="00781112">
        <w:rPr>
          <w:rFonts w:cs="Arial"/>
          <w:b/>
          <w:color w:val="000000" w:themeColor="text1"/>
          <w:szCs w:val="16"/>
        </w:rPr>
        <w:t>Does the State include in the numerator and denominator only children who received special education and related services for at least six months during the age span of three through five years? (yes/no)</w:t>
      </w:r>
    </w:p>
    <w:p w14:paraId="35B562FF" w14:textId="1FE02532" w:rsidR="005033CE" w:rsidRPr="00781112" w:rsidRDefault="004B2C2D" w:rsidP="007D435F">
      <w:pPr>
        <w:rPr>
          <w:rFonts w:cs="Arial"/>
          <w:color w:val="000000" w:themeColor="text1"/>
          <w:szCs w:val="16"/>
        </w:rPr>
      </w:pPr>
      <w:r w:rsidRPr="00781112">
        <w:rPr>
          <w:rFonts w:cs="Arial"/>
          <w:color w:val="000000" w:themeColor="text1"/>
          <w:szCs w:val="16"/>
        </w:rPr>
        <w:t>YES</w:t>
      </w:r>
    </w:p>
    <w:tbl>
      <w:tblPr>
        <w:tblStyle w:val="TableGrid"/>
        <w:tblW w:w="5000" w:type="pct"/>
        <w:tblCellMar>
          <w:left w:w="115" w:type="dxa"/>
          <w:right w:w="115" w:type="dxa"/>
        </w:tblCellMar>
        <w:tblLook w:val="04A0" w:firstRow="1" w:lastRow="0" w:firstColumn="1" w:lastColumn="0" w:noHBand="0" w:noVBand="1"/>
        <w:tblCaption w:val="B07SAMPLINGUSED"/>
      </w:tblPr>
      <w:tblGrid>
        <w:gridCol w:w="8318"/>
        <w:gridCol w:w="2472"/>
      </w:tblGrid>
      <w:tr w:rsidR="005C29F8" w:rsidRPr="00781112" w14:paraId="0BD085FB" w14:textId="77777777" w:rsidTr="0033429D">
        <w:trPr>
          <w:tblHeader/>
        </w:trPr>
        <w:tc>
          <w:tcPr>
            <w:tcW w:w="3855" w:type="pct"/>
            <w:tcBorders>
              <w:top w:val="single" w:sz="4" w:space="0" w:color="auto"/>
              <w:left w:val="single" w:sz="4" w:space="0" w:color="auto"/>
            </w:tcBorders>
            <w:shd w:val="clear" w:color="auto" w:fill="auto"/>
          </w:tcPr>
          <w:p w14:paraId="5AC005B4" w14:textId="48902820" w:rsidR="00B461E1" w:rsidRPr="00781112" w:rsidRDefault="001D6B3B" w:rsidP="00A80FEB">
            <w:pPr>
              <w:rPr>
                <w:rFonts w:cs="Arial"/>
                <w:b/>
                <w:bCs/>
                <w:color w:val="000000" w:themeColor="text1"/>
                <w:szCs w:val="16"/>
              </w:rPr>
            </w:pPr>
            <w:r w:rsidRPr="00781112">
              <w:rPr>
                <w:rFonts w:cs="Arial"/>
                <w:b/>
                <w:bCs/>
                <w:color w:val="000000" w:themeColor="text1"/>
                <w:szCs w:val="16"/>
              </w:rPr>
              <w:t>Sampling Question</w:t>
            </w:r>
          </w:p>
        </w:tc>
        <w:tc>
          <w:tcPr>
            <w:tcW w:w="1145" w:type="pct"/>
            <w:tcBorders>
              <w:top w:val="single" w:sz="4" w:space="0" w:color="auto"/>
            </w:tcBorders>
            <w:shd w:val="clear" w:color="auto" w:fill="auto"/>
          </w:tcPr>
          <w:p w14:paraId="13A7BBAF" w14:textId="0D22562B" w:rsidR="00B461E1" w:rsidRPr="00781112" w:rsidRDefault="00B461E1"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58275667" w14:textId="54710A2D" w:rsidTr="000A4757">
        <w:tc>
          <w:tcPr>
            <w:tcW w:w="3855" w:type="pct"/>
            <w:shd w:val="clear" w:color="auto" w:fill="auto"/>
          </w:tcPr>
          <w:p w14:paraId="390A3887" w14:textId="13D1E4BC" w:rsidR="00B461E1" w:rsidRPr="00781112" w:rsidRDefault="00B461E1" w:rsidP="00A80FEB">
            <w:pPr>
              <w:rPr>
                <w:rFonts w:cs="Arial"/>
                <w:color w:val="000000" w:themeColor="text1"/>
                <w:szCs w:val="16"/>
              </w:rPr>
            </w:pPr>
            <w:r w:rsidRPr="00781112">
              <w:rPr>
                <w:rFonts w:cs="Arial"/>
                <w:color w:val="000000" w:themeColor="text1"/>
                <w:szCs w:val="16"/>
              </w:rPr>
              <w:t xml:space="preserve">Was sampling used? </w:t>
            </w:r>
          </w:p>
        </w:tc>
        <w:tc>
          <w:tcPr>
            <w:tcW w:w="1145" w:type="pct"/>
            <w:shd w:val="clear" w:color="auto" w:fill="auto"/>
          </w:tcPr>
          <w:p w14:paraId="057F9293" w14:textId="70B8666C" w:rsidR="00B461E1" w:rsidRPr="00781112" w:rsidRDefault="002B7490" w:rsidP="00A018D4">
            <w:pPr>
              <w:jc w:val="center"/>
              <w:rPr>
                <w:rFonts w:cs="Arial"/>
                <w:color w:val="000000" w:themeColor="text1"/>
                <w:szCs w:val="16"/>
              </w:rPr>
            </w:pPr>
            <w:r w:rsidRPr="00781112">
              <w:rPr>
                <w:rFonts w:cs="Arial"/>
                <w:color w:val="000000" w:themeColor="text1"/>
                <w:szCs w:val="16"/>
              </w:rPr>
              <w:t>NO</w:t>
            </w:r>
          </w:p>
        </w:tc>
      </w:tr>
    </w:tbl>
    <w:p w14:paraId="4EF81044" w14:textId="4100A680" w:rsidR="004B2C2D" w:rsidRPr="00781112" w:rsidRDefault="004B2C2D" w:rsidP="00A80FEB">
      <w:pPr>
        <w:rPr>
          <w:rFonts w:cs="Arial"/>
          <w:b/>
          <w:color w:val="000000" w:themeColor="text1"/>
          <w:szCs w:val="16"/>
        </w:rPr>
      </w:pPr>
      <w:r w:rsidRPr="00781112">
        <w:rPr>
          <w:rFonts w:cs="Arial"/>
          <w:b/>
          <w:color w:val="000000" w:themeColor="text1"/>
          <w:szCs w:val="16"/>
        </w:rPr>
        <w:t>Did you use the Early Childhood Outcomes Center (ECO) Child Outcomes Summary (COS) process? (yes/no)</w:t>
      </w:r>
    </w:p>
    <w:p w14:paraId="6C4FBAA6" w14:textId="1B6DC98D" w:rsidR="004B2C2D" w:rsidRPr="00781112" w:rsidRDefault="004B2C2D" w:rsidP="00A80FEB">
      <w:pPr>
        <w:rPr>
          <w:rFonts w:cs="Arial"/>
          <w:color w:val="000000" w:themeColor="text1"/>
          <w:szCs w:val="16"/>
        </w:rPr>
      </w:pPr>
      <w:r w:rsidRPr="00781112">
        <w:rPr>
          <w:rFonts w:cs="Arial"/>
          <w:color w:val="000000" w:themeColor="text1"/>
          <w:szCs w:val="16"/>
        </w:rPr>
        <w:t>YES</w:t>
      </w:r>
    </w:p>
    <w:p w14:paraId="015A471A" w14:textId="77777777" w:rsidR="004611C1" w:rsidRPr="00781112" w:rsidRDefault="004611C1" w:rsidP="00401663">
      <w:pPr>
        <w:rPr>
          <w:rFonts w:cs="Arial"/>
          <w:b/>
          <w:color w:val="000000" w:themeColor="text1"/>
          <w:szCs w:val="16"/>
        </w:rPr>
      </w:pPr>
      <w:bookmarkStart w:id="49" w:name="_Toc382082381"/>
      <w:bookmarkStart w:id="50" w:name="_Toc392159306"/>
      <w:r w:rsidRPr="00781112">
        <w:rPr>
          <w:rFonts w:cs="Arial"/>
          <w:b/>
          <w:color w:val="000000" w:themeColor="text1"/>
          <w:szCs w:val="16"/>
        </w:rPr>
        <w:t>List the instruments and procedures used to gather data for this indicator.</w:t>
      </w:r>
    </w:p>
    <w:p w14:paraId="48A16E25" w14:textId="1F2C8CE0" w:rsidR="009B37A2" w:rsidRPr="00781112" w:rsidRDefault="002B7490" w:rsidP="007D435F">
      <w:pPr>
        <w:rPr>
          <w:rFonts w:cs="Arial"/>
          <w:color w:val="000000" w:themeColor="text1"/>
          <w:szCs w:val="16"/>
        </w:rPr>
      </w:pPr>
      <w:r w:rsidRPr="00781112">
        <w:rPr>
          <w:rFonts w:cs="Arial"/>
          <w:color w:val="000000" w:themeColor="text1"/>
          <w:szCs w:val="16"/>
        </w:rPr>
        <w:t>The State has four approved instruments from which LEAs can select the instrument they want to use for gathering data for this indicator. The approved instruments are Brigance, Creative Curriculum, Work Sampling, and NM Pre-K Observational Assessment. LEAs may also petition the Special Education Division to request to use a different instrument. The Special Education Division can elect to approve or disapprove the instrument proposed by the LEA. If a non-approved instrument is used by an LEA, the state's database will cause an error notifying the LEA the instrument is not approved.  The LEA will be required to review the error and correct it immediately if it was due to a data entry error.  If a non-approved instrument was used, the LEA will need to assess the student using an approved instrument.  At that time, the LEA will submit a data note and enter the data the next reporting period.</w:t>
        <w:br/>
        <w:t/>
        <w:br/>
        <w:t>Students with disabilities, ages 3 to 5, receiving special education and related services must have an entry and exit early childhood assessment completed each year the child is receiving services. The students are assessed in three content areas: Behavior, Social Emotional and Language Acquisition. Students enrolled in an early childhood program for more than 30 days from the end of the school year, are required to have an early childhood entry assessment completed. The early childhood entry assessment is required to be administered within 30 days from the child’s program start date, in the current school year. Early childhood exit assessments are administered at least six months after the entry assessment was administered. An exit assessment is required if the student was enrolled in the program for at least six months.</w:t>
        <w:br/>
        <w:t/>
        <w:br/>
        <w:t>LEAs utilize the Childhood Outcomes Summary Form (COSF) calculator to identify a Progress Achieved Code which best identifies each child's level of performance. The data from the entry and exit assessments are then reported in the STARS system. The entry and exit data can be reported during any of the four State reporting periods, 40, 80, 120 and End of Year; however, the State requires the data to be reported in STARS at the earliest reporting period after the assessment was administered.</w:t>
      </w:r>
    </w:p>
    <w:p w14:paraId="393ECB24" w14:textId="77777777" w:rsidR="00221EC9" w:rsidRPr="00781112" w:rsidRDefault="00221EC9" w:rsidP="004369B2">
      <w:pPr>
        <w:rPr>
          <w:b/>
          <w:color w:val="000000" w:themeColor="text1"/>
        </w:rPr>
      </w:pPr>
      <w:r w:rsidRPr="00781112">
        <w:rPr>
          <w:b/>
          <w:color w:val="000000" w:themeColor="text1"/>
        </w:rPr>
        <w:t>Provide additional information about this indicator (optional)</w:t>
      </w:r>
    </w:p>
    <w:p w14:paraId="0215673F" w14:textId="7230C48B" w:rsidR="009B37A2" w:rsidRPr="00781112" w:rsidRDefault="002B7490" w:rsidP="007D435F">
      <w:pPr>
        <w:rPr>
          <w:rFonts w:cs="Arial"/>
          <w:color w:val="000000" w:themeColor="text1"/>
          <w:szCs w:val="16"/>
        </w:rPr>
      </w:pPr>
      <w:r w:rsidRPr="00781112">
        <w:rPr>
          <w:rFonts w:cs="Arial"/>
          <w:color w:val="000000" w:themeColor="text1"/>
          <w:szCs w:val="16"/>
        </w:rPr>
        <w:t/>
      </w:r>
    </w:p>
    <w:p w14:paraId="729220FB" w14:textId="2C05A12E" w:rsidR="000A2C83" w:rsidRPr="00781112" w:rsidRDefault="00C96236" w:rsidP="008645AD">
      <w:pPr>
        <w:pStyle w:val="Heading2"/>
      </w:pPr>
      <w:r w:rsidRPr="00781112">
        <w:t>7</w:t>
      </w:r>
      <w:r w:rsidR="00444A9D" w:rsidRPr="00781112">
        <w:t xml:space="preserve"> </w:t>
      </w:r>
      <w:r w:rsidRPr="00781112">
        <w:t xml:space="preserve">- </w:t>
      </w:r>
      <w:r w:rsidR="000A2C83" w:rsidRPr="00781112">
        <w:t>Prior FFY Required Actions</w:t>
      </w:r>
    </w:p>
    <w:p w14:paraId="6B082508" w14:textId="28E3454C" w:rsidR="000A2C83" w:rsidRPr="00781112" w:rsidRDefault="002B7490" w:rsidP="000A2C83">
      <w:pPr>
        <w:rPr>
          <w:rFonts w:cs="Arial"/>
          <w:color w:val="000000" w:themeColor="text1"/>
          <w:szCs w:val="16"/>
        </w:rPr>
      </w:pPr>
      <w:r w:rsidRPr="00781112">
        <w:rPr>
          <w:rFonts w:cs="Arial"/>
          <w:color w:val="000000" w:themeColor="text1"/>
          <w:szCs w:val="16"/>
        </w:rPr>
        <w:t>None</w:t>
      </w:r>
    </w:p>
    <w:p w14:paraId="342951AE" w14:textId="530DEEBF" w:rsidR="00B1280F" w:rsidRPr="00781112" w:rsidRDefault="00B1280F" w:rsidP="000A2C83">
      <w:pPr>
        <w:rPr>
          <w:rFonts w:cs="Arial"/>
          <w:color w:val="000000" w:themeColor="text1"/>
          <w:szCs w:val="16"/>
        </w:rPr>
      </w:pPr>
    </w:p>
    <w:p w14:paraId="311D27F5" w14:textId="36383184" w:rsidR="000A2C83" w:rsidRPr="00781112" w:rsidRDefault="000A2C83" w:rsidP="000A2C83">
      <w:pPr>
        <w:rPr>
          <w:rFonts w:cs="Arial"/>
          <w:color w:val="000000" w:themeColor="text1"/>
          <w:szCs w:val="16"/>
        </w:rPr>
      </w:pPr>
      <w:r w:rsidRPr="00781112">
        <w:rPr>
          <w:rFonts w:cs="Arial"/>
          <w:color w:val="000000" w:themeColor="text1"/>
          <w:szCs w:val="16"/>
        </w:rPr>
        <w:t xml:space="preserve"> </w:t>
      </w:r>
    </w:p>
    <w:p w14:paraId="4844645A" w14:textId="6F051FE6" w:rsidR="00221EC9" w:rsidRPr="00781112" w:rsidRDefault="00C96236" w:rsidP="008645AD">
      <w:pPr>
        <w:pStyle w:val="Heading2"/>
      </w:pPr>
      <w:r w:rsidRPr="00781112">
        <w:t>7 - OSEP Response</w:t>
      </w:r>
    </w:p>
    <w:p w14:paraId="408E3220" w14:textId="3BF99ADA" w:rsidR="009B37A2" w:rsidRPr="00781112" w:rsidRDefault="002B7490" w:rsidP="001F692C">
      <w:pPr>
        <w:rPr>
          <w:rFonts w:cs="Arial"/>
          <w:color w:val="000000" w:themeColor="text1"/>
          <w:szCs w:val="16"/>
        </w:rPr>
      </w:pPr>
      <w:r w:rsidRPr="00781112">
        <w:rPr>
          <w:rFonts w:cs="Arial"/>
          <w:color w:val="000000" w:themeColor="text1"/>
          <w:szCs w:val="16"/>
        </w:rPr>
        <w:t/>
      </w:r>
    </w:p>
    <w:p w14:paraId="50C7CF43" w14:textId="32A5B19E" w:rsidR="00221EC9" w:rsidRPr="00781112" w:rsidRDefault="00C96236" w:rsidP="008645AD">
      <w:pPr>
        <w:pStyle w:val="Heading2"/>
      </w:pPr>
      <w:r w:rsidRPr="00781112">
        <w:t>7 - Required Actions</w:t>
      </w:r>
    </w:p>
    <w:p w14:paraId="4FFE0FC1" w14:textId="3673A3A2" w:rsidR="00415684" w:rsidRDefault="002B7490" w:rsidP="006D5DC4">
      <w:pPr>
        <w:rPr>
          <w:rFonts w:cs="Arial"/>
          <w:color w:val="000000" w:themeColor="text1"/>
          <w:szCs w:val="16"/>
        </w:rPr>
      </w:pPr>
      <w:r w:rsidRPr="00781112">
        <w:rPr>
          <w:rFonts w:cs="Arial"/>
          <w:color w:val="000000" w:themeColor="text1"/>
          <w:szCs w:val="16"/>
        </w:rPr>
        <w:t/>
      </w:r>
    </w:p>
    <w:p w14:paraId="0D594D0E" w14:textId="77777777" w:rsidR="00415684" w:rsidRDefault="00415684">
      <w:pPr>
        <w:spacing w:before="0" w:after="200" w:line="276" w:lineRule="auto"/>
        <w:rPr>
          <w:rFonts w:cs="Arial"/>
          <w:color w:val="000000" w:themeColor="text1"/>
          <w:szCs w:val="16"/>
        </w:rPr>
      </w:pPr>
      <w:r>
        <w:rPr>
          <w:rFonts w:cs="Arial"/>
          <w:color w:val="000000" w:themeColor="text1"/>
          <w:szCs w:val="16"/>
        </w:rPr>
        <w:br w:type="page"/>
      </w:r>
    </w:p>
    <w:p w14:paraId="3BCCFF07" w14:textId="13DF3424" w:rsidR="00B3462E" w:rsidRPr="00781112" w:rsidRDefault="00B3462E" w:rsidP="000444E2">
      <w:pPr>
        <w:pStyle w:val="Heading1"/>
        <w:rPr>
          <w:color w:val="000000" w:themeColor="text1"/>
          <w:sz w:val="22"/>
        </w:rPr>
      </w:pPr>
      <w:r w:rsidRPr="00781112">
        <w:rPr>
          <w:color w:val="000000" w:themeColor="text1"/>
          <w:sz w:val="22"/>
        </w:rPr>
        <w:lastRenderedPageBreak/>
        <w:t>Indicator 8: Parent involvement</w:t>
      </w:r>
      <w:bookmarkEnd w:id="49"/>
      <w:bookmarkEnd w:id="50"/>
    </w:p>
    <w:p w14:paraId="66FBCA03" w14:textId="77777777" w:rsidR="00B654C1" w:rsidRPr="00781112" w:rsidRDefault="00B654C1" w:rsidP="00A018D4">
      <w:pPr>
        <w:rPr>
          <w:color w:val="000000" w:themeColor="text1"/>
          <w:szCs w:val="20"/>
        </w:rPr>
      </w:pPr>
      <w:bookmarkStart w:id="51" w:name="_Toc392159307"/>
      <w:r w:rsidRPr="00781112">
        <w:rPr>
          <w:b/>
          <w:color w:val="000000" w:themeColor="text1"/>
          <w:sz w:val="20"/>
          <w:szCs w:val="20"/>
        </w:rPr>
        <w:t>Instructions and Measurement</w:t>
      </w:r>
    </w:p>
    <w:p w14:paraId="42608CC1" w14:textId="182D7ADF" w:rsidR="00CC634E" w:rsidRPr="00781112" w:rsidRDefault="00CC634E"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090EFEAD" w14:textId="77777777" w:rsidR="009C613A" w:rsidRPr="00781112" w:rsidRDefault="00CC634E" w:rsidP="006424B2">
      <w:pPr>
        <w:rPr>
          <w:rFonts w:cs="Arial"/>
          <w:color w:val="000000" w:themeColor="text1"/>
          <w:szCs w:val="16"/>
        </w:rPr>
      </w:pPr>
      <w:r w:rsidRPr="00781112">
        <w:rPr>
          <w:rFonts w:cs="Arial"/>
          <w:b/>
          <w:color w:val="000000" w:themeColor="text1"/>
          <w:szCs w:val="16"/>
        </w:rPr>
        <w:t>Results indicator:</w:t>
      </w:r>
      <w:r w:rsidR="00131842" w:rsidRPr="00781112">
        <w:rPr>
          <w:rFonts w:cs="Arial"/>
          <w:color w:val="000000" w:themeColor="text1"/>
          <w:szCs w:val="16"/>
        </w:rPr>
        <w:t xml:space="preserve"> </w:t>
      </w:r>
      <w:r w:rsidRPr="00781112">
        <w:rPr>
          <w:rFonts w:cs="Arial"/>
          <w:color w:val="000000" w:themeColor="text1"/>
          <w:szCs w:val="16"/>
        </w:rPr>
        <w:t>Percent of parents with a child receiving special education services who report that schools facilitated parent involvement as a means of improving services and results for children with disabilities.</w:t>
      </w:r>
    </w:p>
    <w:p w14:paraId="0D04A075" w14:textId="3BF2EC6D" w:rsidR="00CC634E" w:rsidRPr="00781112" w:rsidRDefault="00CC634E" w:rsidP="006424B2">
      <w:pPr>
        <w:rPr>
          <w:rFonts w:cs="Arial"/>
          <w:color w:val="000000" w:themeColor="text1"/>
          <w:szCs w:val="16"/>
        </w:rPr>
      </w:pPr>
      <w:r w:rsidRPr="00781112">
        <w:rPr>
          <w:rFonts w:cs="Arial"/>
          <w:color w:val="000000" w:themeColor="text1"/>
          <w:szCs w:val="16"/>
        </w:rPr>
        <w:t>(20 U.S.C. 1416(a)(3)(A))</w:t>
      </w:r>
    </w:p>
    <w:p w14:paraId="59F98396" w14:textId="77777777" w:rsidR="009C613A" w:rsidRPr="00781112" w:rsidRDefault="009C613A" w:rsidP="004369B2">
      <w:pPr>
        <w:rPr>
          <w:color w:val="000000" w:themeColor="text1"/>
        </w:rPr>
      </w:pPr>
      <w:r w:rsidRPr="00781112">
        <w:rPr>
          <w:b/>
          <w:color w:val="000000" w:themeColor="text1"/>
        </w:rPr>
        <w:t>Data Source</w:t>
      </w:r>
    </w:p>
    <w:p w14:paraId="543A03AF" w14:textId="13B8F95C" w:rsidR="009C613A" w:rsidRPr="00781112" w:rsidRDefault="009C613A" w:rsidP="00286BDF">
      <w:pPr>
        <w:rPr>
          <w:rFonts w:cs="Arial"/>
          <w:color w:val="000000" w:themeColor="text1"/>
          <w:szCs w:val="16"/>
        </w:rPr>
      </w:pPr>
      <w:r w:rsidRPr="00781112">
        <w:rPr>
          <w:rFonts w:cs="Arial"/>
          <w:color w:val="000000" w:themeColor="text1"/>
          <w:szCs w:val="16"/>
        </w:rPr>
        <w:t>State selected data source.</w:t>
      </w:r>
    </w:p>
    <w:p w14:paraId="50AC2385" w14:textId="77777777" w:rsidR="009C613A" w:rsidRPr="00781112" w:rsidRDefault="009C613A" w:rsidP="004369B2">
      <w:pPr>
        <w:rPr>
          <w:color w:val="000000" w:themeColor="text1"/>
        </w:rPr>
      </w:pPr>
      <w:r w:rsidRPr="00781112">
        <w:rPr>
          <w:b/>
          <w:color w:val="000000" w:themeColor="text1"/>
        </w:rPr>
        <w:t>Measurement</w:t>
      </w:r>
    </w:p>
    <w:p w14:paraId="5E1A0E28" w14:textId="46D6A5D9" w:rsidR="009C613A" w:rsidRPr="00781112" w:rsidRDefault="009C613A" w:rsidP="00286BDF">
      <w:pPr>
        <w:rPr>
          <w:rFonts w:cs="Arial"/>
          <w:color w:val="000000" w:themeColor="text1"/>
          <w:szCs w:val="16"/>
        </w:rPr>
      </w:pPr>
      <w:r w:rsidRPr="00781112">
        <w:rPr>
          <w:rFonts w:cs="Arial"/>
          <w:color w:val="000000" w:themeColor="text1"/>
          <w:szCs w:val="16"/>
        </w:rPr>
        <w:t>Percent</w:t>
      </w:r>
      <w:r w:rsidRPr="00781112">
        <w:rPr>
          <w:rFonts w:cs="Arial"/>
          <w:color w:val="000000" w:themeColor="text1"/>
          <w:szCs w:val="16"/>
          <w:shd w:val="clear" w:color="auto" w:fill="FFFFFF"/>
        </w:rPr>
        <w:t xml:space="preserve"> = </w:t>
      </w:r>
      <w:r w:rsidR="00655C91" w:rsidRPr="00781112">
        <w:rPr>
          <w:rFonts w:cs="Arial"/>
          <w:color w:val="000000" w:themeColor="text1"/>
          <w:szCs w:val="16"/>
          <w:shd w:val="clear" w:color="auto" w:fill="FFFFFF"/>
        </w:rPr>
        <w:t>[</w:t>
      </w:r>
      <w:r w:rsidRPr="00781112">
        <w:rPr>
          <w:rFonts w:cs="Arial"/>
          <w:color w:val="000000" w:themeColor="text1"/>
          <w:szCs w:val="16"/>
          <w:shd w:val="clear" w:color="auto" w:fill="FFFFFF"/>
        </w:rPr>
        <w:t>(# of respondent parents who report schools facilitated parent involvement as a means of improving services and results for children with disabilities) divided by the (total # of respondent parents of children with disabilities)</w:t>
      </w:r>
      <w:r w:rsidR="00655C91" w:rsidRPr="00781112">
        <w:rPr>
          <w:rFonts w:cs="Arial"/>
          <w:color w:val="000000" w:themeColor="text1"/>
          <w:szCs w:val="16"/>
          <w:shd w:val="clear" w:color="auto" w:fill="FFFFFF"/>
        </w:rPr>
        <w:t>]</w:t>
      </w:r>
      <w:r w:rsidRPr="00781112">
        <w:rPr>
          <w:rFonts w:cs="Arial"/>
          <w:color w:val="000000" w:themeColor="text1"/>
          <w:szCs w:val="16"/>
          <w:shd w:val="clear" w:color="auto" w:fill="FFFFFF"/>
        </w:rPr>
        <w:t xml:space="preserve"> times 100.</w:t>
      </w:r>
    </w:p>
    <w:p w14:paraId="289E0D18" w14:textId="5D04C177" w:rsidR="009C613A" w:rsidRPr="00781112" w:rsidRDefault="009C613A" w:rsidP="004369B2">
      <w:pPr>
        <w:rPr>
          <w:color w:val="000000" w:themeColor="text1"/>
        </w:rPr>
      </w:pPr>
      <w:r w:rsidRPr="00781112">
        <w:rPr>
          <w:b/>
          <w:color w:val="000000" w:themeColor="text1"/>
        </w:rPr>
        <w:t>Instructions</w:t>
      </w:r>
    </w:p>
    <w:p w14:paraId="60A1EAFB" w14:textId="4B89C130" w:rsidR="002D7AD6" w:rsidRPr="00781112" w:rsidRDefault="002D7AD6" w:rsidP="00286BDF">
      <w:pPr>
        <w:rPr>
          <w:rFonts w:cs="Arial"/>
          <w:color w:val="000000" w:themeColor="text1"/>
          <w:szCs w:val="16"/>
        </w:rPr>
      </w:pPr>
      <w:r w:rsidRPr="00781112">
        <w:rPr>
          <w:rFonts w:cs="Arial"/>
          <w:i/>
          <w:iCs/>
          <w:color w:val="000000" w:themeColor="text1"/>
          <w:szCs w:val="16"/>
        </w:rPr>
        <w:t>Sampling </w:t>
      </w:r>
      <w:r w:rsidRPr="00781112">
        <w:rPr>
          <w:rFonts w:cs="Arial"/>
          <w:b/>
          <w:bCs/>
          <w:i/>
          <w:iCs/>
          <w:color w:val="000000" w:themeColor="text1"/>
          <w:szCs w:val="16"/>
        </w:rPr>
        <w:t>of parents from whom response is requested</w:t>
      </w:r>
      <w:r w:rsidRPr="00781112">
        <w:rPr>
          <w:rFonts w:cs="Arial"/>
          <w:i/>
          <w:iCs/>
          <w:color w:val="000000" w:themeColor="text1"/>
          <w:szCs w:val="16"/>
        </w:rPr>
        <w:t> is allowed.</w:t>
      </w:r>
      <w:r w:rsidRPr="00781112">
        <w:rPr>
          <w:rFonts w:cs="Arial"/>
          <w:color w:val="000000" w:themeColor="text1"/>
          <w:szCs w:val="16"/>
        </w:rPr>
        <w:t xml:space="preserve"> </w:t>
      </w:r>
      <w:r w:rsidRPr="00781112">
        <w:rPr>
          <w:rFonts w:cs="Arial"/>
          <w:i/>
          <w:iCs/>
          <w:color w:val="000000" w:themeColor="text1"/>
          <w:szCs w:val="16"/>
        </w:rPr>
        <w:t>When sampling is used, submit a description of the sampling methodology outlining how the design will yield valid and reliable estimates. (See </w:t>
      </w:r>
      <w:r w:rsidRPr="00781112">
        <w:rPr>
          <w:rFonts w:cs="Arial"/>
          <w:i/>
          <w:iCs/>
          <w:color w:val="000000" w:themeColor="text1"/>
          <w:szCs w:val="16"/>
          <w:u w:val="single"/>
        </w:rPr>
        <w:t>General Instructions</w:t>
      </w:r>
      <w:r w:rsidRPr="00781112">
        <w:rPr>
          <w:rFonts w:cs="Arial"/>
          <w:i/>
          <w:iCs/>
          <w:color w:val="000000" w:themeColor="text1"/>
          <w:szCs w:val="16"/>
        </w:rPr>
        <w:t xml:space="preserve"> on page </w:t>
      </w:r>
      <w:r w:rsidR="006170BD">
        <w:rPr>
          <w:rFonts w:cs="Arial"/>
          <w:i/>
          <w:iCs/>
          <w:color w:val="000000" w:themeColor="text1"/>
          <w:szCs w:val="16"/>
        </w:rPr>
        <w:t>3</w:t>
      </w:r>
      <w:r w:rsidRPr="00781112">
        <w:rPr>
          <w:rFonts w:cs="Arial"/>
          <w:i/>
          <w:iCs/>
          <w:color w:val="000000" w:themeColor="text1"/>
          <w:szCs w:val="16"/>
        </w:rPr>
        <w:t xml:space="preserve"> for additional instructions on sampling.)</w:t>
      </w:r>
    </w:p>
    <w:p w14:paraId="3EC08FBA" w14:textId="77777777" w:rsidR="002D7AD6" w:rsidRPr="00781112" w:rsidRDefault="002D7AD6" w:rsidP="00286BDF">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7C56A5AA" w14:textId="77777777" w:rsidR="002D7AD6" w:rsidRPr="00781112" w:rsidRDefault="002D7AD6" w:rsidP="00286BDF">
      <w:pPr>
        <w:rPr>
          <w:rFonts w:cs="Arial"/>
          <w:color w:val="000000" w:themeColor="text1"/>
          <w:szCs w:val="16"/>
        </w:rPr>
      </w:pPr>
      <w:r w:rsidRPr="00781112">
        <w:rPr>
          <w:rFonts w:cs="Arial"/>
          <w:color w:val="000000" w:themeColor="text1"/>
          <w:szCs w:val="16"/>
        </w:rPr>
        <w:t>Provide the actual numbers used in the calculation.</w:t>
      </w:r>
    </w:p>
    <w:p w14:paraId="231E5575" w14:textId="77777777" w:rsidR="002D7AD6" w:rsidRPr="00781112" w:rsidRDefault="002D7AD6" w:rsidP="00286BDF">
      <w:pPr>
        <w:rPr>
          <w:rFonts w:cs="Arial"/>
          <w:color w:val="000000" w:themeColor="text1"/>
          <w:szCs w:val="16"/>
        </w:rPr>
      </w:pPr>
      <w:r w:rsidRPr="00781112">
        <w:rPr>
          <w:rFonts w:cs="Arial"/>
          <w:color w:val="000000" w:themeColor="text1"/>
          <w:szCs w:val="16"/>
        </w:rPr>
        <w:t>If the State is using a separate data collection methodology for preschool children, the State must provide separate baseline data, targets, and actual target data or discuss the procedures used to combine data from school age and preschool data collection methodologies in a manner that is valid and reliable.</w:t>
      </w:r>
    </w:p>
    <w:p w14:paraId="5DC13627" w14:textId="77777777" w:rsidR="002D7AD6" w:rsidRPr="00781112" w:rsidRDefault="002D7AD6" w:rsidP="00286BDF">
      <w:pPr>
        <w:rPr>
          <w:rFonts w:cs="Arial"/>
          <w:color w:val="000000" w:themeColor="text1"/>
          <w:szCs w:val="16"/>
        </w:rPr>
      </w:pPr>
      <w:r w:rsidRPr="00781112">
        <w:rPr>
          <w:rFonts w:cs="Arial"/>
          <w:color w:val="000000" w:themeColor="text1"/>
          <w:szCs w:val="16"/>
        </w:rPr>
        <w:t>While a survey is not required for this indicator, a State using a survey must submit a copy of any new or revised survey with its SPP/APR.</w:t>
      </w:r>
    </w:p>
    <w:p w14:paraId="75233790" w14:textId="6A11D847" w:rsidR="004A6352" w:rsidRPr="00781112" w:rsidRDefault="002D7AD6" w:rsidP="004A6352">
      <w:pPr>
        <w:rPr>
          <w:rFonts w:cs="Arial"/>
          <w:szCs w:val="16"/>
        </w:rPr>
      </w:pPr>
      <w:r w:rsidRPr="00781112">
        <w:rPr>
          <w:rFonts w:cs="Arial"/>
          <w:color w:val="000000" w:themeColor="text1"/>
          <w:szCs w:val="16"/>
        </w:rPr>
        <w:t xml:space="preserve">Report the number of parents to whom the surveys were distributed </w:t>
      </w:r>
      <w:r w:rsidR="004A6352" w:rsidRPr="00781112">
        <w:rPr>
          <w:rFonts w:cs="Arial"/>
          <w:szCs w:val="16"/>
        </w:rPr>
        <w:t>and the number of respondent parents. The survey response rate is automatically calculated using the submitted data.</w:t>
      </w:r>
    </w:p>
    <w:p w14:paraId="4699B320" w14:textId="6AE8C10D" w:rsidR="009C74BD" w:rsidRDefault="009C74BD" w:rsidP="009C74BD">
      <w:pPr>
        <w:rPr>
          <w:rFonts w:cs="Arial"/>
          <w:szCs w:val="16"/>
        </w:rPr>
      </w:pPr>
      <w:r w:rsidRPr="00781112">
        <w:rPr>
          <w:rFonts w:cs="Arial"/>
          <w:szCs w:val="16"/>
        </w:rPr>
        <w:t>States must compare the response rate for the reporting year to the response rate for the previous year (e.g., in the FFY 2022 SPP/APR, compare the FFY 2022 response rate to the FFY 2021 response rate) and describe strategies that will be implemented which are expected to increase the response rate, particularly for those groups that are underrepresented.</w:t>
      </w:r>
    </w:p>
    <w:p w14:paraId="3BB52D43" w14:textId="77777777" w:rsidR="004D1797" w:rsidRPr="00BA3DBE" w:rsidRDefault="004D1797" w:rsidP="00BA3DBE">
      <w:pPr>
        <w:rPr>
          <w:rFonts w:cs="Arial"/>
          <w:color w:val="000000" w:themeColor="text1"/>
          <w:szCs w:val="16"/>
        </w:rPr>
      </w:pPr>
      <w:bookmarkStart w:id="52" w:name="_Hlk116647902"/>
      <w:r w:rsidRPr="00BA3DBE">
        <w:rPr>
          <w:rFonts w:cs="Arial"/>
          <w:color w:val="000000" w:themeColor="text1"/>
          <w:szCs w:val="16"/>
        </w:rPr>
        <w:t>The State must also analyze the response rate to identify potential nonresponse bias and take steps to reduce any identified bias and promote response from a broad cross-section of parents of children with disabilities.</w:t>
      </w:r>
    </w:p>
    <w:p w14:paraId="05793710" w14:textId="6D08B911" w:rsidR="006170BD" w:rsidRDefault="004D1797" w:rsidP="009C74BD">
      <w:r>
        <w:t>I</w:t>
      </w:r>
      <w:r w:rsidR="00DF5951">
        <w:t xml:space="preserve">nclude in the State’s analysis the extent to which the demographics of the children for whom parents responded are representative of the demographics of children receiving special education services. States must consider race/ethnicity. In addition, the State’s analysis must also include at least one of the following demographics: age of the student, disability category, gender, geographic location, and/or another demographic category approved through the stakeholder input process. </w:t>
      </w:r>
    </w:p>
    <w:p w14:paraId="4A1F1567" w14:textId="62D0F5F9" w:rsidR="00DF5951" w:rsidRDefault="00DF5951" w:rsidP="009C74BD">
      <w:r>
        <w:t xml:space="preserve">States must describe the metric used to determine representativeness (e.g., +/- 3% discrepancy in the proportion of responders compared to target group). </w:t>
      </w:r>
    </w:p>
    <w:p w14:paraId="64177BBB" w14:textId="77777777" w:rsidR="00DF5951" w:rsidRDefault="00DF5951" w:rsidP="009C74BD">
      <w:r>
        <w:t xml:space="preserve">If the analysis shows that the demographics of the children for whom parents responding are not representative of the demographics of children receiving special education services in the State, describe the strategies that the State will use to ensure that in the future the response data are representative of those demographics. In identifying such strategies, the State should consider factors such as how the State distributed the survey to parents (e.g., by mail, by e-mail, on-line, by telephone, in-person through school personnel), and how responses were collected. </w:t>
      </w:r>
    </w:p>
    <w:p w14:paraId="4D74BEFB" w14:textId="7AC91DF2" w:rsidR="00DF5951" w:rsidRPr="00781112" w:rsidRDefault="00DF5951" w:rsidP="009C74BD">
      <w:pPr>
        <w:rPr>
          <w:rFonts w:cs="Arial"/>
          <w:szCs w:val="16"/>
        </w:rPr>
      </w:pPr>
      <w:r>
        <w:t>States are encouraged to work in collaboration with their OSEP-funded parent centers in collecting data.</w:t>
      </w:r>
    </w:p>
    <w:bookmarkEnd w:id="52"/>
    <w:p w14:paraId="2EF00B98" w14:textId="1D44A6D0" w:rsidR="000B547A" w:rsidRPr="00781112" w:rsidRDefault="00752BAF" w:rsidP="008645AD">
      <w:pPr>
        <w:pStyle w:val="Heading2"/>
      </w:pPr>
      <w:r w:rsidRPr="00781112">
        <w:t>8</w:t>
      </w:r>
      <w:r w:rsidR="001F6BAA" w:rsidRPr="00781112">
        <w:t xml:space="preserve"> </w:t>
      </w:r>
      <w:r w:rsidRPr="00781112">
        <w:t xml:space="preserve">- </w:t>
      </w:r>
      <w:r w:rsidR="000B547A" w:rsidRPr="00781112">
        <w:t>Indicator Data</w:t>
      </w:r>
    </w:p>
    <w:tbl>
      <w:tblPr>
        <w:tblStyle w:val="TableGrid"/>
        <w:tblW w:w="10800" w:type="dxa"/>
        <w:tblLook w:val="04A0" w:firstRow="1" w:lastRow="0" w:firstColumn="1" w:lastColumn="0" w:noHBand="0" w:noVBand="1"/>
        <w:tblCaption w:val="B08INDDATA"/>
      </w:tblPr>
      <w:tblGrid>
        <w:gridCol w:w="8324"/>
        <w:gridCol w:w="2476"/>
      </w:tblGrid>
      <w:tr w:rsidR="005C29F8" w:rsidRPr="00781112" w14:paraId="74873645" w14:textId="77777777" w:rsidTr="0033429D">
        <w:trPr>
          <w:tblHeader/>
        </w:trPr>
        <w:tc>
          <w:tcPr>
            <w:tcW w:w="8324" w:type="dxa"/>
          </w:tcPr>
          <w:p w14:paraId="08995901" w14:textId="6A8EBD47" w:rsidR="000B547A" w:rsidRPr="00781112" w:rsidRDefault="002E111A" w:rsidP="00286BDF">
            <w:pPr>
              <w:rPr>
                <w:rFonts w:cs="Arial"/>
                <w:b/>
                <w:bCs/>
                <w:color w:val="000000" w:themeColor="text1"/>
                <w:szCs w:val="16"/>
              </w:rPr>
            </w:pPr>
            <w:r w:rsidRPr="00781112">
              <w:rPr>
                <w:rFonts w:cs="Arial"/>
                <w:b/>
                <w:bCs/>
                <w:color w:val="000000" w:themeColor="text1"/>
                <w:szCs w:val="16"/>
              </w:rPr>
              <w:t>Question</w:t>
            </w:r>
          </w:p>
        </w:tc>
        <w:tc>
          <w:tcPr>
            <w:tcW w:w="2476" w:type="dxa"/>
          </w:tcPr>
          <w:p w14:paraId="7DF826E5" w14:textId="55897261" w:rsidR="000B547A" w:rsidRPr="00781112" w:rsidRDefault="000B547A" w:rsidP="001011BB">
            <w:pPr>
              <w:jc w:val="center"/>
              <w:rPr>
                <w:rFonts w:cs="Arial"/>
                <w:b/>
                <w:color w:val="000000" w:themeColor="text1"/>
                <w:szCs w:val="16"/>
              </w:rPr>
            </w:pPr>
            <w:r w:rsidRPr="00781112">
              <w:rPr>
                <w:rFonts w:cs="Arial"/>
                <w:b/>
                <w:color w:val="000000" w:themeColor="text1"/>
                <w:szCs w:val="16"/>
              </w:rPr>
              <w:t xml:space="preserve">Yes / No </w:t>
            </w:r>
          </w:p>
        </w:tc>
      </w:tr>
      <w:tr w:rsidR="005C29F8" w:rsidRPr="00781112" w14:paraId="1461C216" w14:textId="7FAEFB03" w:rsidTr="00487CBD">
        <w:trPr>
          <w:trHeight w:val="215"/>
        </w:trPr>
        <w:tc>
          <w:tcPr>
            <w:tcW w:w="8324" w:type="dxa"/>
          </w:tcPr>
          <w:p w14:paraId="443084C1" w14:textId="2A55FAF5" w:rsidR="000B547A" w:rsidRPr="00781112" w:rsidRDefault="000B547A" w:rsidP="00286BDF">
            <w:pPr>
              <w:rPr>
                <w:rFonts w:cs="Arial"/>
                <w:color w:val="000000" w:themeColor="text1"/>
                <w:szCs w:val="16"/>
              </w:rPr>
            </w:pPr>
            <w:r w:rsidRPr="00781112">
              <w:rPr>
                <w:rFonts w:cs="Arial"/>
                <w:color w:val="000000" w:themeColor="text1"/>
                <w:szCs w:val="16"/>
              </w:rPr>
              <w:t xml:space="preserve">Do you use a separate data collection methodology for preschool children? </w:t>
            </w:r>
          </w:p>
        </w:tc>
        <w:tc>
          <w:tcPr>
            <w:tcW w:w="2476" w:type="dxa"/>
          </w:tcPr>
          <w:p w14:paraId="11B72775" w14:textId="3F895E29" w:rsidR="000B547A" w:rsidRPr="00781112" w:rsidRDefault="002B7490" w:rsidP="00A018D4">
            <w:pPr>
              <w:jc w:val="center"/>
              <w:rPr>
                <w:rFonts w:cs="Arial"/>
                <w:color w:val="000000" w:themeColor="text1"/>
                <w:szCs w:val="16"/>
              </w:rPr>
            </w:pPr>
            <w:r w:rsidRPr="00781112">
              <w:rPr>
                <w:rFonts w:cs="Arial"/>
                <w:color w:val="000000" w:themeColor="text1"/>
                <w:szCs w:val="16"/>
              </w:rPr>
              <w:t>NO</w:t>
            </w:r>
          </w:p>
        </w:tc>
      </w:tr>
    </w:tbl>
    <w:bookmarkEnd w:id="51"/>
    <w:p w14:paraId="4CE8E077" w14:textId="24912129" w:rsidR="00487CBD" w:rsidRPr="00781112" w:rsidRDefault="00487CBD" w:rsidP="00487CBD">
      <w:pPr>
        <w:rPr>
          <w:b/>
          <w:color w:val="000000" w:themeColor="text1"/>
        </w:rPr>
      </w:pPr>
      <w:r w:rsidRPr="00781112">
        <w:rPr>
          <w:b/>
          <w:color w:val="000000" w:themeColor="text1"/>
        </w:rPr>
        <w:t xml:space="preserve">Targets: Description of Stakeholder Input </w:t>
      </w:r>
    </w:p>
    <w:p w14:paraId="1CF8039C" w14:textId="30DA616B" w:rsidR="00487CBD" w:rsidRPr="00781112" w:rsidRDefault="00487CBD" w:rsidP="00487CBD">
      <w:pPr>
        <w:rPr>
          <w:rFonts w:cs="Arial"/>
          <w:color w:val="000000" w:themeColor="text1"/>
          <w:szCs w:val="16"/>
        </w:rPr>
      </w:pPr>
      <w:r w:rsidRPr="00781112">
        <w:rPr>
          <w:rFonts w:cs="Arial"/>
          <w:color w:val="000000" w:themeColor="text1"/>
          <w:szCs w:val="16"/>
        </w:rPr>
        <w:t>Mechanism for Broad Stakeholder Input:</w:t>
        <w:br/>
        <w:t xml:space="preserve">During FFY2022, the State held stakeholder meetings as the mechanism for soliciting broad stakeholder input on the State’s targets in the SPP/APR and any subsequent revisions. The meetings were held in-person for the first time following the COVID-19 pandemic. An online option was available for stakeholders that were not able to meet in person. In the meetings, Stakeholder groups reviewed the FFY2021 data, and the baselines and targets established for FFY 2020-2025. The groups analyzed the data to determine if established baselines and targets established in the prior year, were still an accurate depiction of the state’s performance trajectory. The meetings also allowed time for stakeholders to provide input on improvement strategies and progress for the SPP/APR indicators. The State also revised its methodology for Indicators 4a and 4b in which the information was shared with stakeholders and input was sought. In addition, the State also proposed a revised LEA annual determination rubric to include target indicators. The revised rubric will be used with FFY2023 LEA annual determinations and is consistent with the information in the OSEP Question and Answer document QA 23-01. </w:t>
        <w:br/>
        <w:t/>
        <w:br/>
        <w:t xml:space="preserve">Stakeholder meeting information including meeting logistics and presentations are available on the Special Education Division (SED) website for the public and any interested individual to access. Flyers were created and LEAs were asked to disseminate the information to their staff, parents, and students. The Parent Training Centers (PTCs) were asked to share the meeting information with parents including through social media. Other groups such as tribes, IDEA panel members, the State Special Education Ombud, and other parent advocacy groups were sent invitations to each of the meetings. </w:t>
        <w:br/>
        <w:t/>
        <w:br/>
        <w:t>Any stakeholder that wanted to provide feedback but could not attend the meetings, had an opportunity to do so. On the State’s stakeholder page, individuals can click on the link and share their input with the state staff by completing an input form. The feedback received from the website is also considered when making revisions and establishing targets.</w:t>
        <w:br/>
        <w:t/>
        <w:br/>
        <w:t>Feedback Summary:</w:t>
        <w:br/>
        <w:t>For Indicators 4a and 4b, the State’s methodology was proposed to be changed to meet OSEP requirements as indicated in the FFY2021, SPP/APR OSEP Responses and Required Actions. Stakeholders were presented with the new proposed methodology in which the cell size of 10 requirement was removed, the N size was reduced to 10 and a rate ratio of 3.0 was introduced. In comparison to the previous methodology, where a cell size and N size of 10 were required as well as a risk ratio of 1 percentage point above the state rate. Stakeholders had no objections or concerns with the new methodology. The State will use the new methodology to apply to the Indicator 4 data reported in this FFY2022 State Performance Plan/Annual Performance Report (SPP/APR).</w:t>
        <w:br/>
        <w:t/>
        <w:br/>
        <w:t>Indicator 17, State Systemic Improvement Plan:</w:t>
        <w:br/>
        <w:t xml:space="preserve">1. ECLIPSE program coordinators presented data and program updates to the state IDEA Panel (members include parents, advocates, state staff, and educators) during the 2022-2023 school year. IDEA panel members were engaged in the ECLIPSE program presentation on Indicator 17 and updates. An ECLIPSE panel committee provided qualitative feedback via a Google Form survey. The panel members conveyed the program is making progress in improving literacy outcomes forward for students with disabilities. Recommendations included increasing parental involvement and increased awareness of the program's successes. </w:t>
        <w:br/>
        <w:t>2. A virtual ECLIPSE stakeholder meeting was held during the 2022-2023 school year. Stakeholders in attendance included the ECLIPSE staff, Regional Education Cooperative (REC) coordinators, Special Education Directors, and ECLIPSE school principals. Stakeholders in attendance were provided with ECLIPSE program details for the upcoming school year and verbal feedback about the ECLIPSE Program at the end of the meeting.</w:t>
        <w:br/>
        <w:t xml:space="preserve">3. Parent engagement stakeholder meetings were held in-person and through online platforms where they were provided direct literacy training via hands-on activities. If the meeting was online, materials were provided to the schools prior to the meeting. The Regional Education Cooperative (REC) contractors provided materials, activities, and training to parents in-person. The REC initiated Google Pre and Post surveys following the trainings and it indicated that the level of understanding to support reading at home increased. Parental understanding of what the predicator of reading success was increased dramatically between pre and post surveys. A summary of parent comments included that the engagement sessions provided a lot of great information, it was a fun learning experience, and they looked forward to future meetings. </w:t>
        <w:br/>
        <w:t xml:space="preserve">4. The ECLIPSE staff initiated surveys during 2022-2023 to principals and teachers through Google Forms survey. Teachers showed dramatic increases in their knowledge of the incorporation of engagement strategies with their students due to their coaches. In a pre-survey, administrators listed that professional development on literacy is one of the greatest needs of the teachers they support. They also stated that time and equitable feedback were areas of administrative need. </w:t>
        <w:br/>
        <w:t>5. An online end of year survey was sent to all ECLIPSE stakeholders as the 2022-2023 school year ended. The main consensus from the survey supported the ongoing development of the program to illustrate its impact so adjustments can be made to better inform ourselves and our stakeholders of progress.</w:t>
      </w:r>
    </w:p>
    <w:p w14:paraId="71AF2AFF" w14:textId="77777777" w:rsidR="00487CBD" w:rsidRPr="00781112" w:rsidRDefault="00487CBD" w:rsidP="00487CBD">
      <w:pPr>
        <w:rPr>
          <w:rFonts w:cs="Arial"/>
          <w:color w:val="000000" w:themeColor="text1"/>
          <w:szCs w:val="16"/>
        </w:rPr>
      </w:pPr>
      <w:r w:rsidRPr="00781112">
        <w:rPr>
          <w:rFonts w:cs="Arial"/>
          <w:color w:val="000000" w:themeColor="text1"/>
          <w:szCs w:val="16"/>
        </w:rPr>
        <w:t/>
      </w:r>
    </w:p>
    <w:p w14:paraId="339F3968" w14:textId="6278D154" w:rsidR="008B600B" w:rsidRPr="00781112" w:rsidRDefault="008B600B" w:rsidP="004369B2">
      <w:pPr>
        <w:rPr>
          <w:rFonts w:cs="Arial"/>
          <w:color w:val="000000" w:themeColor="text1"/>
          <w:szCs w:val="16"/>
        </w:rPr>
      </w:pPr>
    </w:p>
    <w:p w14:paraId="39D78FC4" w14:textId="60D247B6" w:rsidR="00ED0065" w:rsidRPr="00781112" w:rsidRDefault="00ED0065"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8BASELINEDATA"/>
      </w:tblPr>
      <w:tblGrid>
        <w:gridCol w:w="1797"/>
        <w:gridCol w:w="1798"/>
      </w:tblGrid>
      <w:tr w:rsidR="002E111A" w:rsidRPr="00781112" w14:paraId="4FD416E2" w14:textId="77777777" w:rsidTr="00123D76">
        <w:trPr>
          <w:trHeight w:val="311"/>
          <w:tblHeader/>
        </w:trPr>
        <w:tc>
          <w:tcPr>
            <w:tcW w:w="1797" w:type="dxa"/>
          </w:tcPr>
          <w:p w14:paraId="30EEE37E" w14:textId="77777777" w:rsidR="002E111A" w:rsidRPr="00781112" w:rsidRDefault="002E111A" w:rsidP="00123D76">
            <w:pPr>
              <w:jc w:val="center"/>
              <w:rPr>
                <w:b/>
                <w:color w:val="000000" w:themeColor="text1"/>
              </w:rPr>
            </w:pPr>
            <w:r w:rsidRPr="00781112">
              <w:rPr>
                <w:rFonts w:cs="Arial"/>
                <w:b/>
                <w:color w:val="000000" w:themeColor="text1"/>
                <w:szCs w:val="16"/>
              </w:rPr>
              <w:t>Baseline Year</w:t>
            </w:r>
          </w:p>
        </w:tc>
        <w:tc>
          <w:tcPr>
            <w:tcW w:w="1798" w:type="dxa"/>
          </w:tcPr>
          <w:p w14:paraId="579A26EC" w14:textId="77777777" w:rsidR="002E111A" w:rsidRPr="00781112" w:rsidRDefault="002E111A" w:rsidP="00123D76">
            <w:pPr>
              <w:jc w:val="center"/>
              <w:rPr>
                <w:b/>
                <w:color w:val="000000" w:themeColor="text1"/>
              </w:rPr>
            </w:pPr>
            <w:r w:rsidRPr="00781112">
              <w:rPr>
                <w:b/>
                <w:color w:val="000000" w:themeColor="text1"/>
              </w:rPr>
              <w:t>Baseline Data</w:t>
            </w:r>
          </w:p>
        </w:tc>
      </w:tr>
      <w:tr w:rsidR="002E111A" w:rsidRPr="00781112" w14:paraId="7FB18E4F" w14:textId="77777777" w:rsidTr="00123D76">
        <w:trPr>
          <w:trHeight w:val="311"/>
        </w:trPr>
        <w:tc>
          <w:tcPr>
            <w:tcW w:w="1797" w:type="dxa"/>
            <w:vAlign w:val="center"/>
          </w:tcPr>
          <w:p w14:paraId="167EAC34" w14:textId="69ED71A1" w:rsidR="002E111A" w:rsidRPr="00781112" w:rsidRDefault="002E111A" w:rsidP="00123D76">
            <w:pPr>
              <w:jc w:val="center"/>
              <w:rPr>
                <w:bCs/>
                <w:color w:val="000000" w:themeColor="text1"/>
              </w:rPr>
            </w:pPr>
            <w:r w:rsidRPr="00781112">
              <w:rPr>
                <w:bCs/>
                <w:color w:val="000000" w:themeColor="text1"/>
              </w:rPr>
              <w:t>2010</w:t>
            </w:r>
          </w:p>
        </w:tc>
        <w:tc>
          <w:tcPr>
            <w:tcW w:w="1798" w:type="dxa"/>
            <w:vAlign w:val="center"/>
          </w:tcPr>
          <w:p w14:paraId="14A1010A" w14:textId="403EDC7C" w:rsidR="002E111A" w:rsidRPr="00781112" w:rsidRDefault="002E111A" w:rsidP="00123D76">
            <w:pPr>
              <w:jc w:val="center"/>
              <w:rPr>
                <w:bCs/>
                <w:color w:val="000000" w:themeColor="text1"/>
              </w:rPr>
            </w:pPr>
            <w:r w:rsidRPr="00781112">
              <w:rPr>
                <w:bCs/>
                <w:color w:val="000000" w:themeColor="text1"/>
              </w:rPr>
              <w:t>80.20%</w:t>
            </w:r>
          </w:p>
        </w:tc>
      </w:tr>
    </w:tbl>
    <w:p w14:paraId="79684A14" w14:textId="77777777" w:rsidR="002E111A" w:rsidRPr="00781112" w:rsidRDefault="002E111A"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8HISTDATAOPT1"/>
      </w:tblPr>
      <w:tblGrid>
        <w:gridCol w:w="1798"/>
        <w:gridCol w:w="1798"/>
        <w:gridCol w:w="1798"/>
        <w:gridCol w:w="1798"/>
        <w:gridCol w:w="1798"/>
        <w:gridCol w:w="1800"/>
      </w:tblGrid>
      <w:tr w:rsidR="005C29F8" w:rsidRPr="00781112" w14:paraId="06FA8C8B" w14:textId="77777777" w:rsidTr="00C40E4D">
        <w:trPr>
          <w:trHeight w:val="287"/>
        </w:trPr>
        <w:tc>
          <w:tcPr>
            <w:tcW w:w="833" w:type="pct"/>
            <w:tcBorders>
              <w:bottom w:val="single" w:sz="4" w:space="0" w:color="auto"/>
            </w:tcBorders>
            <w:shd w:val="clear" w:color="auto" w:fill="auto"/>
          </w:tcPr>
          <w:p w14:paraId="31735078" w14:textId="77777777" w:rsidR="00FB6462" w:rsidRPr="00781112" w:rsidRDefault="00FB6462" w:rsidP="0033429D">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2FE2E19D" w14:textId="1650DFDD" w:rsidR="00FB6462" w:rsidRPr="00781112" w:rsidRDefault="002B7490" w:rsidP="00DC263A">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2DF60B98" w14:textId="1CF7D6BE" w:rsidR="00FB6462" w:rsidRPr="00781112" w:rsidRDefault="002B7490" w:rsidP="00DC263A">
            <w:pPr>
              <w:keepNext/>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53278B9A" w14:textId="6050DB27" w:rsidR="00FB6462" w:rsidRPr="00781112" w:rsidRDefault="002B7490" w:rsidP="00DC263A">
            <w:pPr>
              <w:jc w:val="center"/>
              <w:rPr>
                <w:rFonts w:cs="Arial"/>
                <w:b/>
                <w:color w:val="000000" w:themeColor="text1"/>
                <w:szCs w:val="16"/>
              </w:rPr>
            </w:pPr>
            <w:r w:rsidRPr="00781112">
              <w:rPr>
                <w:rFonts w:cs="Arial"/>
                <w:b/>
                <w:color w:val="000000" w:themeColor="text1"/>
                <w:szCs w:val="16"/>
              </w:rPr>
              <w:t>2019</w:t>
            </w:r>
          </w:p>
        </w:tc>
        <w:tc>
          <w:tcPr>
            <w:tcW w:w="833" w:type="pct"/>
            <w:shd w:val="clear" w:color="auto" w:fill="auto"/>
          </w:tcPr>
          <w:p w14:paraId="2F23746E" w14:textId="403244A2" w:rsidR="00FB6462" w:rsidRPr="00781112" w:rsidRDefault="002B7490" w:rsidP="00DC263A">
            <w:pPr>
              <w:jc w:val="center"/>
              <w:rPr>
                <w:rFonts w:cs="Arial"/>
                <w:b/>
                <w:color w:val="000000" w:themeColor="text1"/>
                <w:szCs w:val="16"/>
              </w:rPr>
            </w:pPr>
            <w:r w:rsidRPr="00781112">
              <w:rPr>
                <w:rFonts w:cs="Arial"/>
                <w:b/>
                <w:color w:val="000000" w:themeColor="text1"/>
                <w:szCs w:val="16"/>
              </w:rPr>
              <w:t>2020</w:t>
            </w:r>
          </w:p>
        </w:tc>
        <w:tc>
          <w:tcPr>
            <w:tcW w:w="834" w:type="pct"/>
            <w:shd w:val="clear" w:color="auto" w:fill="auto"/>
          </w:tcPr>
          <w:p w14:paraId="7E365F7F" w14:textId="686F85A1" w:rsidR="00FB6462" w:rsidRPr="00781112" w:rsidRDefault="002B7490" w:rsidP="00DC263A">
            <w:pPr>
              <w:jc w:val="center"/>
              <w:rPr>
                <w:rFonts w:cs="Arial"/>
                <w:b/>
                <w:color w:val="000000" w:themeColor="text1"/>
                <w:szCs w:val="16"/>
              </w:rPr>
            </w:pPr>
            <w:r w:rsidRPr="00781112">
              <w:rPr>
                <w:rFonts w:cs="Arial"/>
                <w:b/>
                <w:color w:val="000000" w:themeColor="text1"/>
                <w:szCs w:val="16"/>
              </w:rPr>
              <w:t>2021</w:t>
            </w:r>
          </w:p>
        </w:tc>
      </w:tr>
      <w:tr w:rsidR="005C29F8" w:rsidRPr="00781112" w14:paraId="040D0378" w14:textId="77777777" w:rsidTr="00C40E4D">
        <w:trPr>
          <w:trHeight w:val="357"/>
        </w:trPr>
        <w:tc>
          <w:tcPr>
            <w:tcW w:w="833" w:type="pct"/>
            <w:shd w:val="clear" w:color="auto" w:fill="auto"/>
          </w:tcPr>
          <w:p w14:paraId="54EE5848" w14:textId="7260CA74" w:rsidR="00FB6462" w:rsidRPr="00781112" w:rsidRDefault="00FB6462" w:rsidP="00BA3DBE">
            <w:pPr>
              <w:jc w:val="center"/>
              <w:rPr>
                <w:rFonts w:cs="Arial"/>
                <w:color w:val="000000" w:themeColor="text1"/>
                <w:szCs w:val="16"/>
              </w:rPr>
            </w:pPr>
            <w:r w:rsidRPr="00781112">
              <w:rPr>
                <w:rFonts w:cs="Arial"/>
                <w:color w:val="000000" w:themeColor="text1"/>
                <w:szCs w:val="16"/>
              </w:rPr>
              <w:t>Target &gt;=</w:t>
            </w:r>
          </w:p>
        </w:tc>
        <w:tc>
          <w:tcPr>
            <w:tcW w:w="833" w:type="pct"/>
            <w:shd w:val="clear" w:color="auto" w:fill="auto"/>
          </w:tcPr>
          <w:p w14:paraId="56BDAD4D" w14:textId="1C7EF6C0" w:rsidR="00FB6462" w:rsidRPr="00781112" w:rsidRDefault="002B7490" w:rsidP="00A018D4">
            <w:pPr>
              <w:jc w:val="center"/>
              <w:rPr>
                <w:rFonts w:cs="Arial"/>
                <w:color w:val="000000" w:themeColor="text1"/>
                <w:szCs w:val="16"/>
              </w:rPr>
            </w:pPr>
            <w:r w:rsidRPr="00781112">
              <w:rPr>
                <w:rFonts w:cs="Arial"/>
                <w:color w:val="000000" w:themeColor="text1"/>
                <w:szCs w:val="16"/>
              </w:rPr>
              <w:t>84.00%</w:t>
            </w:r>
          </w:p>
        </w:tc>
        <w:tc>
          <w:tcPr>
            <w:tcW w:w="833" w:type="pct"/>
            <w:shd w:val="clear" w:color="auto" w:fill="auto"/>
          </w:tcPr>
          <w:p w14:paraId="45AE596F" w14:textId="6983147C" w:rsidR="00FB6462" w:rsidRPr="00781112" w:rsidRDefault="002B7490" w:rsidP="00A018D4">
            <w:pPr>
              <w:jc w:val="center"/>
              <w:rPr>
                <w:rFonts w:cs="Arial"/>
                <w:color w:val="000000" w:themeColor="text1"/>
                <w:szCs w:val="16"/>
              </w:rPr>
            </w:pPr>
            <w:r w:rsidRPr="00781112">
              <w:rPr>
                <w:rFonts w:cs="Arial"/>
                <w:color w:val="000000" w:themeColor="text1"/>
                <w:szCs w:val="16"/>
              </w:rPr>
              <w:t>84.00%</w:t>
            </w:r>
          </w:p>
        </w:tc>
        <w:tc>
          <w:tcPr>
            <w:tcW w:w="833" w:type="pct"/>
            <w:shd w:val="clear" w:color="auto" w:fill="auto"/>
            <w:vAlign w:val="center"/>
          </w:tcPr>
          <w:p w14:paraId="4CA9D7D5" w14:textId="26724736" w:rsidR="00FB6462" w:rsidRPr="00781112" w:rsidRDefault="002B7490" w:rsidP="00A018D4">
            <w:pPr>
              <w:jc w:val="center"/>
              <w:rPr>
                <w:rFonts w:cs="Arial"/>
                <w:color w:val="000000" w:themeColor="text1"/>
                <w:szCs w:val="16"/>
              </w:rPr>
            </w:pPr>
            <w:r w:rsidRPr="00781112">
              <w:rPr>
                <w:rFonts w:cs="Arial"/>
                <w:color w:val="000000" w:themeColor="text1"/>
                <w:szCs w:val="16"/>
              </w:rPr>
              <w:t>84.00%</w:t>
            </w:r>
          </w:p>
        </w:tc>
        <w:tc>
          <w:tcPr>
            <w:tcW w:w="833" w:type="pct"/>
            <w:shd w:val="clear" w:color="auto" w:fill="auto"/>
            <w:vAlign w:val="center"/>
          </w:tcPr>
          <w:p w14:paraId="2AC9DE6C" w14:textId="662D879E" w:rsidR="00FB6462" w:rsidRPr="00781112" w:rsidRDefault="002B7490" w:rsidP="00A018D4">
            <w:pPr>
              <w:jc w:val="center"/>
              <w:rPr>
                <w:rFonts w:cs="Arial"/>
                <w:color w:val="000000" w:themeColor="text1"/>
                <w:szCs w:val="16"/>
              </w:rPr>
            </w:pPr>
            <w:r w:rsidRPr="00781112">
              <w:rPr>
                <w:rFonts w:cs="Arial"/>
                <w:color w:val="000000" w:themeColor="text1"/>
                <w:szCs w:val="16"/>
              </w:rPr>
              <w:t>80.84%</w:t>
            </w:r>
          </w:p>
        </w:tc>
        <w:tc>
          <w:tcPr>
            <w:tcW w:w="834" w:type="pct"/>
            <w:shd w:val="clear" w:color="auto" w:fill="auto"/>
            <w:vAlign w:val="center"/>
          </w:tcPr>
          <w:p w14:paraId="1D66991F" w14:textId="5308C1A9" w:rsidR="00FB6462" w:rsidRPr="00781112" w:rsidRDefault="002B7490" w:rsidP="00A018D4">
            <w:pPr>
              <w:jc w:val="center"/>
              <w:rPr>
                <w:rFonts w:cs="Arial"/>
                <w:color w:val="000000" w:themeColor="text1"/>
                <w:szCs w:val="16"/>
              </w:rPr>
            </w:pPr>
            <w:r w:rsidRPr="00781112">
              <w:rPr>
                <w:rFonts w:cs="Arial"/>
                <w:color w:val="000000" w:themeColor="text1"/>
                <w:szCs w:val="16"/>
              </w:rPr>
              <w:t>81.48%</w:t>
            </w:r>
          </w:p>
        </w:tc>
      </w:tr>
      <w:tr w:rsidR="005C29F8" w:rsidRPr="00781112" w14:paraId="0983C602" w14:textId="77777777" w:rsidTr="00C40E4D">
        <w:trPr>
          <w:trHeight w:val="85"/>
        </w:trPr>
        <w:tc>
          <w:tcPr>
            <w:tcW w:w="833" w:type="pct"/>
            <w:shd w:val="clear" w:color="auto" w:fill="auto"/>
          </w:tcPr>
          <w:p w14:paraId="024AD7D5" w14:textId="77777777" w:rsidR="00FB6462" w:rsidRPr="00781112" w:rsidRDefault="00FB6462" w:rsidP="00BA3DBE">
            <w:pPr>
              <w:jc w:val="center"/>
              <w:rPr>
                <w:rFonts w:cs="Arial"/>
                <w:color w:val="000000" w:themeColor="text1"/>
                <w:szCs w:val="16"/>
              </w:rPr>
            </w:pPr>
            <w:r w:rsidRPr="00781112">
              <w:rPr>
                <w:rFonts w:cs="Arial"/>
                <w:color w:val="000000" w:themeColor="text1"/>
                <w:szCs w:val="16"/>
              </w:rPr>
              <w:lastRenderedPageBreak/>
              <w:t>Data</w:t>
            </w:r>
          </w:p>
        </w:tc>
        <w:tc>
          <w:tcPr>
            <w:tcW w:w="833" w:type="pct"/>
            <w:shd w:val="clear" w:color="auto" w:fill="auto"/>
          </w:tcPr>
          <w:p w14:paraId="0C46B390" w14:textId="75A5B1D9" w:rsidR="00FB6462" w:rsidRPr="00781112" w:rsidRDefault="002B7490" w:rsidP="00A018D4">
            <w:pPr>
              <w:jc w:val="center"/>
              <w:rPr>
                <w:rFonts w:cs="Arial"/>
                <w:color w:val="000000" w:themeColor="text1"/>
                <w:szCs w:val="16"/>
              </w:rPr>
            </w:pPr>
            <w:r w:rsidRPr="00781112">
              <w:rPr>
                <w:rFonts w:cs="Arial"/>
                <w:color w:val="000000" w:themeColor="text1"/>
                <w:szCs w:val="16"/>
              </w:rPr>
              <w:t>84.21%</w:t>
            </w:r>
          </w:p>
        </w:tc>
        <w:tc>
          <w:tcPr>
            <w:tcW w:w="833" w:type="pct"/>
            <w:shd w:val="clear" w:color="auto" w:fill="auto"/>
          </w:tcPr>
          <w:p w14:paraId="0F636319" w14:textId="7C4BA9E9" w:rsidR="00FB6462" w:rsidRPr="00781112" w:rsidRDefault="002B7490" w:rsidP="00A018D4">
            <w:pPr>
              <w:jc w:val="center"/>
              <w:rPr>
                <w:rFonts w:cs="Arial"/>
                <w:color w:val="000000" w:themeColor="text1"/>
                <w:szCs w:val="16"/>
              </w:rPr>
            </w:pPr>
            <w:r w:rsidRPr="00781112">
              <w:rPr>
                <w:rFonts w:cs="Arial"/>
                <w:color w:val="000000" w:themeColor="text1"/>
                <w:szCs w:val="16"/>
              </w:rPr>
              <w:t>81.83%</w:t>
            </w:r>
          </w:p>
        </w:tc>
        <w:tc>
          <w:tcPr>
            <w:tcW w:w="833" w:type="pct"/>
            <w:tcBorders>
              <w:bottom w:val="single" w:sz="4" w:space="0" w:color="auto"/>
            </w:tcBorders>
            <w:shd w:val="clear" w:color="auto" w:fill="auto"/>
            <w:vAlign w:val="center"/>
          </w:tcPr>
          <w:p w14:paraId="72DD8100" w14:textId="2078A0DC" w:rsidR="00FB6462" w:rsidRPr="00781112" w:rsidRDefault="002B7490" w:rsidP="00A018D4">
            <w:pPr>
              <w:jc w:val="center"/>
              <w:rPr>
                <w:rFonts w:cs="Arial"/>
                <w:color w:val="000000" w:themeColor="text1"/>
                <w:szCs w:val="16"/>
              </w:rPr>
            </w:pPr>
            <w:r w:rsidRPr="00781112">
              <w:rPr>
                <w:rFonts w:cs="Arial"/>
                <w:color w:val="000000" w:themeColor="text1"/>
                <w:szCs w:val="16"/>
              </w:rPr>
              <w:t>85.90%</w:t>
            </w:r>
          </w:p>
        </w:tc>
        <w:tc>
          <w:tcPr>
            <w:tcW w:w="833" w:type="pct"/>
            <w:tcBorders>
              <w:bottom w:val="single" w:sz="4" w:space="0" w:color="auto"/>
            </w:tcBorders>
            <w:shd w:val="clear" w:color="auto" w:fill="auto"/>
            <w:vAlign w:val="center"/>
          </w:tcPr>
          <w:p w14:paraId="36AAC02B" w14:textId="31D6381A" w:rsidR="00FB6462" w:rsidRPr="00781112" w:rsidRDefault="002B7490" w:rsidP="00A018D4">
            <w:pPr>
              <w:jc w:val="center"/>
              <w:rPr>
                <w:rFonts w:cs="Arial"/>
                <w:color w:val="000000" w:themeColor="text1"/>
                <w:szCs w:val="16"/>
              </w:rPr>
            </w:pPr>
            <w:r w:rsidRPr="00781112">
              <w:rPr>
                <w:rFonts w:cs="Arial"/>
                <w:color w:val="000000" w:themeColor="text1"/>
                <w:szCs w:val="16"/>
              </w:rPr>
              <w:t>84.08%</w:t>
            </w:r>
          </w:p>
        </w:tc>
        <w:tc>
          <w:tcPr>
            <w:tcW w:w="834" w:type="pct"/>
            <w:tcBorders>
              <w:bottom w:val="single" w:sz="4" w:space="0" w:color="auto"/>
            </w:tcBorders>
            <w:shd w:val="clear" w:color="auto" w:fill="auto"/>
            <w:vAlign w:val="center"/>
          </w:tcPr>
          <w:p w14:paraId="4F9B07B7" w14:textId="7D67594F" w:rsidR="00FB6462" w:rsidRPr="00781112" w:rsidRDefault="002B7490" w:rsidP="00A018D4">
            <w:pPr>
              <w:jc w:val="center"/>
              <w:rPr>
                <w:rFonts w:cs="Arial"/>
                <w:color w:val="000000" w:themeColor="text1"/>
                <w:szCs w:val="16"/>
              </w:rPr>
            </w:pPr>
            <w:r w:rsidRPr="00781112">
              <w:rPr>
                <w:rFonts w:cs="Arial"/>
                <w:color w:val="000000" w:themeColor="text1"/>
                <w:szCs w:val="16"/>
              </w:rPr>
              <w:t>82.82%</w:t>
            </w:r>
          </w:p>
        </w:tc>
      </w:tr>
    </w:tbl>
    <w:p w14:paraId="0E2D4617" w14:textId="77777777" w:rsidR="000417B4" w:rsidRPr="00781112" w:rsidRDefault="000417B4" w:rsidP="004369B2">
      <w:pPr>
        <w:rPr>
          <w:color w:val="000000" w:themeColor="text1"/>
        </w:rPr>
      </w:pPr>
    </w:p>
    <w:p w14:paraId="1F4FFBFE" w14:textId="308C372B" w:rsidR="00FB6462" w:rsidRPr="00781112" w:rsidRDefault="00FB6462" w:rsidP="004369B2">
      <w:pPr>
        <w:rPr>
          <w:color w:val="000000" w:themeColor="text1"/>
        </w:rPr>
      </w:pPr>
      <w:r w:rsidRPr="00781112">
        <w:rPr>
          <w:b/>
          <w:color w:val="000000" w:themeColor="text1"/>
        </w:rPr>
        <w:t>Targets</w:t>
      </w:r>
    </w:p>
    <w:tbl>
      <w:tblPr>
        <w:tblW w:w="34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8TARGETSOPT1"/>
      </w:tblPr>
      <w:tblGrid>
        <w:gridCol w:w="898"/>
        <w:gridCol w:w="1650"/>
        <w:gridCol w:w="1652"/>
        <w:gridCol w:w="1652"/>
        <w:gridCol w:w="1649"/>
      </w:tblGrid>
      <w:tr w:rsidR="00B67FCE" w:rsidRPr="00781112" w14:paraId="77450D85" w14:textId="217C23D8" w:rsidTr="00845B9B">
        <w:trPr>
          <w:trHeight w:val="242"/>
        </w:trPr>
        <w:tc>
          <w:tcPr>
            <w:tcW w:w="599" w:type="pct"/>
            <w:tcBorders>
              <w:bottom w:val="single" w:sz="4" w:space="0" w:color="auto"/>
            </w:tcBorders>
            <w:shd w:val="clear" w:color="auto" w:fill="auto"/>
            <w:vAlign w:val="center"/>
          </w:tcPr>
          <w:p w14:paraId="5A82FAC4" w14:textId="77777777" w:rsidR="00B67FCE" w:rsidRPr="003F088A" w:rsidRDefault="00B67FCE" w:rsidP="00AD5583">
            <w:pPr>
              <w:jc w:val="center"/>
              <w:rPr>
                <w:rFonts w:cs="Arial"/>
                <w:b/>
                <w:color w:val="000000" w:themeColor="text1"/>
                <w:szCs w:val="16"/>
              </w:rPr>
            </w:pPr>
            <w:r w:rsidRPr="003F088A">
              <w:rPr>
                <w:rFonts w:cs="Arial"/>
                <w:b/>
                <w:color w:val="000000" w:themeColor="text1"/>
                <w:szCs w:val="16"/>
              </w:rPr>
              <w:t>FFY</w:t>
            </w:r>
          </w:p>
        </w:tc>
        <w:tc>
          <w:tcPr>
            <w:tcW w:w="1100" w:type="pct"/>
            <w:shd w:val="clear" w:color="auto" w:fill="auto"/>
            <w:vAlign w:val="center"/>
          </w:tcPr>
          <w:p w14:paraId="6DDB1395" w14:textId="489E70A4" w:rsidR="00B67FCE" w:rsidRPr="003F088A" w:rsidRDefault="00B67FCE" w:rsidP="00AD5583">
            <w:pPr>
              <w:jc w:val="center"/>
              <w:rPr>
                <w:rFonts w:cs="Arial"/>
                <w:b/>
                <w:color w:val="000000" w:themeColor="text1"/>
                <w:szCs w:val="16"/>
              </w:rPr>
            </w:pPr>
            <w:r w:rsidRPr="003F088A">
              <w:rPr>
                <w:rFonts w:cs="Arial"/>
                <w:b/>
                <w:color w:val="000000" w:themeColor="text1"/>
                <w:szCs w:val="16"/>
              </w:rPr>
              <w:t>2022</w:t>
            </w:r>
          </w:p>
        </w:tc>
        <w:tc>
          <w:tcPr>
            <w:tcW w:w="1101" w:type="pct"/>
            <w:vAlign w:val="center"/>
          </w:tcPr>
          <w:p w14:paraId="3277D8E8" w14:textId="4A05E6F6" w:rsidR="00B67FCE" w:rsidRPr="003F088A" w:rsidRDefault="00B67FCE" w:rsidP="00730C62">
            <w:pPr>
              <w:jc w:val="center"/>
              <w:rPr>
                <w:rFonts w:cs="Arial"/>
                <w:b/>
                <w:color w:val="000000" w:themeColor="text1"/>
                <w:szCs w:val="16"/>
              </w:rPr>
            </w:pPr>
            <w:r w:rsidRPr="00781112">
              <w:rPr>
                <w:rFonts w:cs="Arial"/>
                <w:b/>
                <w:color w:val="000000" w:themeColor="text1"/>
                <w:szCs w:val="16"/>
              </w:rPr>
              <w:t>2023</w:t>
            </w:r>
          </w:p>
        </w:tc>
        <w:tc>
          <w:tcPr>
            <w:tcW w:w="1101" w:type="pct"/>
            <w:vAlign w:val="center"/>
          </w:tcPr>
          <w:p w14:paraId="3AC9106D" w14:textId="5F7A56D0" w:rsidR="00B67FCE" w:rsidRPr="003F088A" w:rsidRDefault="00B67FCE" w:rsidP="00730C62">
            <w:pPr>
              <w:jc w:val="center"/>
              <w:rPr>
                <w:rFonts w:cs="Arial"/>
                <w:b/>
                <w:color w:val="000000" w:themeColor="text1"/>
                <w:szCs w:val="16"/>
              </w:rPr>
            </w:pPr>
            <w:r w:rsidRPr="00781112">
              <w:rPr>
                <w:rFonts w:cs="Arial"/>
                <w:b/>
                <w:color w:val="000000" w:themeColor="text1"/>
                <w:szCs w:val="16"/>
              </w:rPr>
              <w:t>2024</w:t>
            </w:r>
          </w:p>
        </w:tc>
        <w:tc>
          <w:tcPr>
            <w:tcW w:w="1101" w:type="pct"/>
            <w:vAlign w:val="center"/>
          </w:tcPr>
          <w:p w14:paraId="4E87FEC3" w14:textId="73615588" w:rsidR="00B67FCE" w:rsidRPr="003F088A" w:rsidRDefault="00B67FCE" w:rsidP="00730C62">
            <w:pPr>
              <w:jc w:val="center"/>
              <w:rPr>
                <w:rFonts w:cs="Arial"/>
                <w:b/>
                <w:color w:val="000000" w:themeColor="text1"/>
                <w:szCs w:val="16"/>
              </w:rPr>
            </w:pPr>
            <w:r w:rsidRPr="00781112">
              <w:rPr>
                <w:rFonts w:cs="Arial"/>
                <w:b/>
                <w:color w:val="000000" w:themeColor="text1"/>
                <w:szCs w:val="16"/>
              </w:rPr>
              <w:t>2025</w:t>
            </w:r>
          </w:p>
        </w:tc>
      </w:tr>
      <w:tr w:rsidR="00B67FCE" w:rsidRPr="00781112" w14:paraId="50A2A35E" w14:textId="13C4D5C2" w:rsidTr="00845B9B">
        <w:trPr>
          <w:trHeight w:val="370"/>
        </w:trPr>
        <w:tc>
          <w:tcPr>
            <w:tcW w:w="599" w:type="pct"/>
            <w:shd w:val="clear" w:color="auto" w:fill="auto"/>
          </w:tcPr>
          <w:p w14:paraId="2F249DEE" w14:textId="4AA3473F" w:rsidR="00B67FCE" w:rsidRPr="00781112" w:rsidRDefault="00B67FCE" w:rsidP="00BA3DBE">
            <w:pPr>
              <w:jc w:val="center"/>
              <w:rPr>
                <w:rFonts w:cs="Arial"/>
                <w:color w:val="000000" w:themeColor="text1"/>
                <w:szCs w:val="16"/>
              </w:rPr>
            </w:pPr>
            <w:r w:rsidRPr="00781112">
              <w:rPr>
                <w:rFonts w:cs="Arial"/>
                <w:color w:val="000000" w:themeColor="text1"/>
                <w:szCs w:val="16"/>
              </w:rPr>
              <w:t>Target &gt;=</w:t>
            </w:r>
          </w:p>
        </w:tc>
        <w:tc>
          <w:tcPr>
            <w:tcW w:w="1100" w:type="pct"/>
            <w:shd w:val="clear" w:color="auto" w:fill="auto"/>
            <w:vAlign w:val="center"/>
          </w:tcPr>
          <w:p w14:paraId="2ACB7B9E" w14:textId="427B5E78" w:rsidR="00B67FCE" w:rsidRPr="00781112" w:rsidRDefault="00B67FCE" w:rsidP="00AD5583">
            <w:pPr>
              <w:jc w:val="center"/>
              <w:rPr>
                <w:rFonts w:cs="Arial"/>
                <w:color w:val="000000" w:themeColor="text1"/>
                <w:szCs w:val="16"/>
              </w:rPr>
            </w:pPr>
            <w:r w:rsidRPr="00781112">
              <w:rPr>
                <w:rFonts w:cs="Arial"/>
                <w:color w:val="000000" w:themeColor="text1"/>
                <w:szCs w:val="16"/>
              </w:rPr>
              <w:t>82.12%</w:t>
            </w:r>
          </w:p>
        </w:tc>
        <w:tc>
          <w:tcPr>
            <w:tcW w:w="1101" w:type="pct"/>
          </w:tcPr>
          <w:p w14:paraId="01493DF6" w14:textId="39FAD961" w:rsidR="00B67FCE" w:rsidRPr="00781112" w:rsidRDefault="00B67FCE" w:rsidP="00AD5583">
            <w:pPr>
              <w:spacing w:before="0" w:after="200" w:line="276" w:lineRule="auto"/>
            </w:pPr>
            <w:r w:rsidRPr="00781112">
              <w:rPr>
                <w:color w:val="000000" w:themeColor="text1"/>
                <w:szCs w:val="16"/>
              </w:rPr>
              <w:t>82.76%</w:t>
            </w:r>
          </w:p>
        </w:tc>
        <w:tc>
          <w:tcPr>
            <w:tcW w:w="1101" w:type="pct"/>
          </w:tcPr>
          <w:p w14:paraId="71DAA89B" w14:textId="5FDD553A" w:rsidR="00B67FCE" w:rsidRPr="00781112" w:rsidRDefault="00B67FCE" w:rsidP="00AD5583">
            <w:pPr>
              <w:spacing w:before="0" w:after="200" w:line="276" w:lineRule="auto"/>
            </w:pPr>
            <w:r w:rsidRPr="00781112">
              <w:rPr>
                <w:color w:val="000000" w:themeColor="text1"/>
                <w:szCs w:val="16"/>
              </w:rPr>
              <w:t>83.40%</w:t>
            </w:r>
          </w:p>
        </w:tc>
        <w:tc>
          <w:tcPr>
            <w:tcW w:w="1101" w:type="pct"/>
          </w:tcPr>
          <w:p w14:paraId="6C8342E2" w14:textId="3FBC30A4" w:rsidR="00B67FCE" w:rsidRPr="00781112" w:rsidRDefault="00B67FCE" w:rsidP="00AD5583">
            <w:pPr>
              <w:spacing w:before="0" w:after="200" w:line="276" w:lineRule="auto"/>
            </w:pPr>
            <w:r w:rsidRPr="00781112">
              <w:rPr>
                <w:color w:val="000000" w:themeColor="text1"/>
                <w:szCs w:val="16"/>
              </w:rPr>
              <w:t>84.04%</w:t>
            </w:r>
          </w:p>
        </w:tc>
      </w:tr>
    </w:tbl>
    <w:p w14:paraId="68BCE5ED" w14:textId="77777777" w:rsidR="007E2779" w:rsidRPr="00781112" w:rsidRDefault="007E2779" w:rsidP="000A2C83">
      <w:pPr>
        <w:rPr>
          <w:rFonts w:cs="Arial"/>
          <w:color w:val="000000" w:themeColor="text1"/>
          <w:szCs w:val="16"/>
        </w:rPr>
      </w:pPr>
    </w:p>
    <w:p w14:paraId="15954908" w14:textId="6F1B009A" w:rsidR="00FB6462" w:rsidRPr="00781112" w:rsidRDefault="0047313F" w:rsidP="004369B2">
      <w:pPr>
        <w:rPr>
          <w:color w:val="000000" w:themeColor="text1"/>
        </w:rPr>
      </w:pPr>
      <w:r>
        <w:rPr>
          <w:b/>
          <w:color w:val="000000" w:themeColor="text1"/>
        </w:rPr>
        <w:t>FFY 2022 SPP/APR Data</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8CFFYAPRDATAOPT1"/>
      </w:tblPr>
      <w:tblGrid>
        <w:gridCol w:w="2701"/>
        <w:gridCol w:w="1455"/>
        <w:gridCol w:w="1170"/>
        <w:gridCol w:w="1440"/>
        <w:gridCol w:w="1170"/>
        <w:gridCol w:w="1349"/>
        <w:gridCol w:w="1509"/>
      </w:tblGrid>
      <w:tr w:rsidR="00206A65" w:rsidRPr="00781112" w14:paraId="2A3467FD" w14:textId="77777777" w:rsidTr="00AB0D6A">
        <w:trPr>
          <w:trHeight w:val="368"/>
          <w:tblHeader/>
        </w:trPr>
        <w:tc>
          <w:tcPr>
            <w:tcW w:w="1244" w:type="pct"/>
            <w:shd w:val="clear" w:color="auto" w:fill="auto"/>
            <w:vAlign w:val="bottom"/>
          </w:tcPr>
          <w:p w14:paraId="1B1F6FBB" w14:textId="77777777" w:rsidR="00206A65" w:rsidRPr="00781112" w:rsidRDefault="00206A65" w:rsidP="00206A65">
            <w:pPr>
              <w:jc w:val="center"/>
              <w:rPr>
                <w:b/>
                <w:color w:val="000000" w:themeColor="text1"/>
              </w:rPr>
            </w:pPr>
            <w:r w:rsidRPr="00781112">
              <w:rPr>
                <w:b/>
                <w:color w:val="000000" w:themeColor="text1"/>
              </w:rPr>
              <w:t>Number of respondent parents who report schools facilitated parent involvement as a means of improving services and results for children with disabilities</w:t>
            </w:r>
          </w:p>
        </w:tc>
        <w:tc>
          <w:tcPr>
            <w:tcW w:w="674" w:type="pct"/>
            <w:shd w:val="clear" w:color="auto" w:fill="auto"/>
            <w:vAlign w:val="bottom"/>
          </w:tcPr>
          <w:p w14:paraId="200E18C6" w14:textId="77777777" w:rsidR="00206A65" w:rsidRPr="00781112" w:rsidRDefault="00206A65" w:rsidP="00206A65">
            <w:pPr>
              <w:jc w:val="center"/>
              <w:rPr>
                <w:b/>
                <w:color w:val="000000" w:themeColor="text1"/>
              </w:rPr>
            </w:pPr>
            <w:r w:rsidRPr="00781112">
              <w:rPr>
                <w:b/>
                <w:color w:val="000000" w:themeColor="text1"/>
              </w:rPr>
              <w:t>Total number of respondent parents of children with disabilities</w:t>
            </w:r>
          </w:p>
        </w:tc>
        <w:tc>
          <w:tcPr>
            <w:tcW w:w="542" w:type="pct"/>
            <w:shd w:val="clear" w:color="auto" w:fill="auto"/>
            <w:vAlign w:val="bottom"/>
          </w:tcPr>
          <w:p w14:paraId="57D9347A" w14:textId="79F3083B" w:rsidR="00206A65" w:rsidRPr="00CC1061" w:rsidRDefault="00206A65" w:rsidP="00206A65">
            <w:pPr>
              <w:jc w:val="center"/>
              <w:rPr>
                <w:b/>
                <w:bCs/>
                <w:color w:val="000000" w:themeColor="text1"/>
              </w:rPr>
            </w:pPr>
            <w:r w:rsidRPr="00CC1061">
              <w:rPr>
                <w:b/>
                <w:bCs/>
              </w:rPr>
              <w:t>FFY 2021 Data</w:t>
            </w:r>
          </w:p>
        </w:tc>
        <w:tc>
          <w:tcPr>
            <w:tcW w:w="667" w:type="pct"/>
            <w:shd w:val="clear" w:color="auto" w:fill="auto"/>
            <w:vAlign w:val="bottom"/>
          </w:tcPr>
          <w:p w14:paraId="42BF1046" w14:textId="7B8FBC09" w:rsidR="00206A65" w:rsidRPr="00CC1061" w:rsidRDefault="00206A65" w:rsidP="00206A65">
            <w:pPr>
              <w:jc w:val="center"/>
              <w:rPr>
                <w:b/>
                <w:bCs/>
                <w:color w:val="000000" w:themeColor="text1"/>
              </w:rPr>
            </w:pPr>
            <w:r w:rsidRPr="00CC1061">
              <w:rPr>
                <w:b/>
                <w:bCs/>
              </w:rPr>
              <w:t>FFY 2022 Target</w:t>
            </w:r>
          </w:p>
        </w:tc>
        <w:tc>
          <w:tcPr>
            <w:tcW w:w="542" w:type="pct"/>
            <w:shd w:val="clear" w:color="auto" w:fill="auto"/>
            <w:vAlign w:val="bottom"/>
          </w:tcPr>
          <w:p w14:paraId="36E0331C" w14:textId="542DA82B" w:rsidR="00206A65" w:rsidRPr="00CC1061" w:rsidRDefault="00206A65" w:rsidP="00206A65">
            <w:pPr>
              <w:jc w:val="center"/>
              <w:rPr>
                <w:b/>
                <w:bCs/>
                <w:color w:val="000000" w:themeColor="text1"/>
              </w:rPr>
            </w:pPr>
            <w:r w:rsidRPr="00CC1061">
              <w:rPr>
                <w:b/>
                <w:bCs/>
              </w:rPr>
              <w:t>FFY 2022 Data</w:t>
            </w:r>
          </w:p>
        </w:tc>
        <w:tc>
          <w:tcPr>
            <w:tcW w:w="625" w:type="pct"/>
            <w:shd w:val="clear" w:color="auto" w:fill="auto"/>
            <w:vAlign w:val="bottom"/>
          </w:tcPr>
          <w:p w14:paraId="52157F4E" w14:textId="77777777" w:rsidR="00206A65" w:rsidRPr="00781112" w:rsidRDefault="00206A65" w:rsidP="00206A65">
            <w:pPr>
              <w:jc w:val="center"/>
              <w:rPr>
                <w:b/>
                <w:color w:val="000000" w:themeColor="text1"/>
              </w:rPr>
            </w:pPr>
            <w:r w:rsidRPr="00781112">
              <w:rPr>
                <w:b/>
                <w:color w:val="000000" w:themeColor="text1"/>
              </w:rPr>
              <w:t>Status</w:t>
            </w:r>
          </w:p>
        </w:tc>
        <w:tc>
          <w:tcPr>
            <w:tcW w:w="706" w:type="pct"/>
            <w:shd w:val="clear" w:color="auto" w:fill="auto"/>
            <w:vAlign w:val="bottom"/>
          </w:tcPr>
          <w:p w14:paraId="1DC1ADC7" w14:textId="77777777" w:rsidR="00206A65" w:rsidRPr="00781112" w:rsidRDefault="00206A65" w:rsidP="00206A65">
            <w:pPr>
              <w:jc w:val="center"/>
              <w:rPr>
                <w:b/>
                <w:color w:val="000000" w:themeColor="text1"/>
              </w:rPr>
            </w:pPr>
            <w:r w:rsidRPr="00781112">
              <w:rPr>
                <w:b/>
                <w:color w:val="000000" w:themeColor="text1"/>
              </w:rPr>
              <w:t>Slippage</w:t>
            </w:r>
          </w:p>
        </w:tc>
      </w:tr>
      <w:tr w:rsidR="005C29F8" w:rsidRPr="00781112" w14:paraId="4B4B0594" w14:textId="77777777" w:rsidTr="00AB0D6A">
        <w:trPr>
          <w:trHeight w:val="366"/>
        </w:trPr>
        <w:tc>
          <w:tcPr>
            <w:tcW w:w="1251" w:type="pct"/>
            <w:shd w:val="clear" w:color="auto" w:fill="auto"/>
            <w:vAlign w:val="bottom"/>
          </w:tcPr>
          <w:p w14:paraId="0933F330" w14:textId="2423D9E2" w:rsidR="00FB6462" w:rsidRPr="00781112" w:rsidRDefault="002B7490" w:rsidP="00A018D4">
            <w:pPr>
              <w:jc w:val="center"/>
              <w:rPr>
                <w:rFonts w:cs="Arial"/>
                <w:color w:val="000000" w:themeColor="text1"/>
                <w:szCs w:val="16"/>
              </w:rPr>
            </w:pPr>
            <w:r w:rsidRPr="00781112">
              <w:rPr>
                <w:rFonts w:cs="Arial"/>
                <w:color w:val="000000" w:themeColor="text1"/>
                <w:szCs w:val="16"/>
              </w:rPr>
              <w:t>3,926</w:t>
            </w:r>
          </w:p>
        </w:tc>
        <w:tc>
          <w:tcPr>
            <w:tcW w:w="667" w:type="pct"/>
            <w:shd w:val="clear" w:color="auto" w:fill="auto"/>
            <w:vAlign w:val="bottom"/>
          </w:tcPr>
          <w:p w14:paraId="2905391A" w14:textId="502FBF67" w:rsidR="00FB6462" w:rsidRPr="00781112" w:rsidRDefault="002B7490" w:rsidP="00A018D4">
            <w:pPr>
              <w:jc w:val="center"/>
              <w:rPr>
                <w:rFonts w:cs="Arial"/>
                <w:color w:val="000000" w:themeColor="text1"/>
                <w:szCs w:val="16"/>
              </w:rPr>
            </w:pPr>
            <w:r w:rsidRPr="00781112">
              <w:rPr>
                <w:rFonts w:cs="Arial"/>
                <w:color w:val="000000" w:themeColor="text1"/>
                <w:szCs w:val="16"/>
              </w:rPr>
              <w:t>4,746</w:t>
            </w:r>
          </w:p>
        </w:tc>
        <w:tc>
          <w:tcPr>
            <w:tcW w:w="542" w:type="pct"/>
            <w:shd w:val="clear" w:color="auto" w:fill="auto"/>
            <w:vAlign w:val="bottom"/>
          </w:tcPr>
          <w:p w14:paraId="486C6AEB" w14:textId="2AC5DAB9" w:rsidR="00FB6462" w:rsidRPr="00781112" w:rsidRDefault="002B7490" w:rsidP="00A018D4">
            <w:pPr>
              <w:jc w:val="center"/>
              <w:rPr>
                <w:rFonts w:cs="Arial"/>
                <w:color w:val="000000" w:themeColor="text1"/>
                <w:szCs w:val="16"/>
              </w:rPr>
            </w:pPr>
            <w:r w:rsidRPr="00781112">
              <w:rPr>
                <w:rFonts w:cs="Arial"/>
                <w:color w:val="000000" w:themeColor="text1"/>
                <w:szCs w:val="16"/>
              </w:rPr>
              <w:t>82.82%</w:t>
            </w:r>
          </w:p>
        </w:tc>
        <w:tc>
          <w:tcPr>
            <w:tcW w:w="667" w:type="pct"/>
            <w:shd w:val="clear" w:color="auto" w:fill="auto"/>
            <w:vAlign w:val="bottom"/>
          </w:tcPr>
          <w:p w14:paraId="024E965C" w14:textId="65736559" w:rsidR="00FB6462" w:rsidRPr="00781112" w:rsidRDefault="002B7490" w:rsidP="00A018D4">
            <w:pPr>
              <w:jc w:val="center"/>
              <w:rPr>
                <w:rFonts w:cs="Arial"/>
                <w:color w:val="000000" w:themeColor="text1"/>
                <w:szCs w:val="16"/>
              </w:rPr>
            </w:pPr>
            <w:r w:rsidRPr="00781112">
              <w:rPr>
                <w:rFonts w:cs="Arial"/>
                <w:color w:val="000000" w:themeColor="text1"/>
                <w:szCs w:val="16"/>
              </w:rPr>
              <w:t>82.12%</w:t>
            </w:r>
          </w:p>
        </w:tc>
        <w:tc>
          <w:tcPr>
            <w:tcW w:w="542" w:type="pct"/>
            <w:shd w:val="clear" w:color="auto" w:fill="auto"/>
            <w:vAlign w:val="bottom"/>
          </w:tcPr>
          <w:p w14:paraId="1BEB0ADC" w14:textId="5244B4D7" w:rsidR="00FB6462" w:rsidRPr="00781112" w:rsidRDefault="002B7490" w:rsidP="00A018D4">
            <w:pPr>
              <w:jc w:val="center"/>
              <w:rPr>
                <w:rFonts w:cs="Arial"/>
                <w:color w:val="000000" w:themeColor="text1"/>
                <w:szCs w:val="16"/>
              </w:rPr>
            </w:pPr>
            <w:r w:rsidRPr="00781112">
              <w:rPr>
                <w:rFonts w:cs="Arial"/>
                <w:color w:val="000000" w:themeColor="text1"/>
                <w:szCs w:val="16"/>
              </w:rPr>
              <w:t>82.72%</w:t>
            </w:r>
          </w:p>
        </w:tc>
        <w:tc>
          <w:tcPr>
            <w:tcW w:w="625" w:type="pct"/>
            <w:shd w:val="clear" w:color="auto" w:fill="auto"/>
            <w:vAlign w:val="bottom"/>
          </w:tcPr>
          <w:p w14:paraId="230C5FAF" w14:textId="6761CD40" w:rsidR="00FB6462"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706" w:type="pct"/>
            <w:shd w:val="clear" w:color="auto" w:fill="auto"/>
            <w:vAlign w:val="bottom"/>
          </w:tcPr>
          <w:p w14:paraId="2CBF8B2D" w14:textId="3929AFC6" w:rsidR="00FB6462"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22227E2D" w14:textId="3C53FA16" w:rsidR="00FB6462" w:rsidRPr="00781112" w:rsidRDefault="00FB6462" w:rsidP="005A338D">
      <w:pPr>
        <w:rPr>
          <w:rFonts w:cs="Arial"/>
          <w:b/>
          <w:color w:val="000000" w:themeColor="text1"/>
          <w:szCs w:val="16"/>
        </w:rPr>
      </w:pPr>
      <w:r w:rsidRPr="00781112">
        <w:rPr>
          <w:rFonts w:cs="Arial"/>
          <w:b/>
          <w:color w:val="000000" w:themeColor="text1"/>
          <w:szCs w:val="16"/>
        </w:rPr>
        <w:t>Since the State did not report preschool children separately, discuss the procedures used to combine data from school age and preschool surveys in a manner that is valid and reliable.</w:t>
      </w:r>
    </w:p>
    <w:p w14:paraId="7CADFB93" w14:textId="3119FB87" w:rsidR="00230EE6" w:rsidRPr="00781112" w:rsidRDefault="00230EE6" w:rsidP="005A338D">
      <w:pPr>
        <w:rPr>
          <w:rFonts w:cs="Arial"/>
          <w:color w:val="000000" w:themeColor="text1"/>
          <w:szCs w:val="16"/>
        </w:rPr>
      </w:pPr>
      <w:r w:rsidRPr="00781112">
        <w:rPr>
          <w:rFonts w:cs="Arial"/>
          <w:color w:val="000000" w:themeColor="text1"/>
          <w:szCs w:val="16"/>
        </w:rPr>
        <w:t xml:space="preserve">The State dos not report preschool children separately; however, the State does have an OSEP approved sampling plan in which the procedures for combining data from school age and preschool surveys is described.  Information on the procedures are also summarized below. </w:t>
        <w:br/>
        <w:t/>
        <w:br/>
        <w:t>Procedures from the OSEP approved state sampling plan:</w:t>
        <w:br/>
        <w:t>All students with disabilities are stratified as follows prior to the sample being selected:</w:t>
        <w:br/>
        <w:t>1.	By race/ethnicity</w:t>
        <w:br/>
        <w:t>2.	School grade (which includes preschool students)</w:t>
        <w:br/>
        <w:t>3.	Primary disability</w:t>
        <w:br/>
        <w:t>Samples are drawn at the LEA level to ensure that the racial/ethnic make-up, grades including students in preschool, and the primary disability of the students with disabilities are captured in the sample.  School age and preschool survey data are handled in the same manner.</w:t>
      </w:r>
    </w:p>
    <w:p w14:paraId="75502588" w14:textId="77777777" w:rsidR="007E2779" w:rsidRPr="00781112" w:rsidRDefault="007E2779" w:rsidP="007E2779">
      <w:pPr>
        <w:pStyle w:val="Bold"/>
        <w:rPr>
          <w:color w:val="000000" w:themeColor="text1"/>
        </w:rPr>
      </w:pPr>
    </w:p>
    <w:p w14:paraId="194E8DAB" w14:textId="77777777" w:rsidR="00DF5DC9" w:rsidRDefault="00DF5DC9" w:rsidP="00415FE9">
      <w:pPr>
        <w:rPr>
          <w:rFonts w:cs="Arial"/>
          <w:b/>
          <w:color w:val="000000" w:themeColor="text1"/>
          <w:szCs w:val="16"/>
        </w:rPr>
      </w:pPr>
    </w:p>
    <w:p w14:paraId="1367D5CC" w14:textId="3D23966C" w:rsidR="00415FE9" w:rsidRPr="00781112" w:rsidRDefault="00415FE9" w:rsidP="00415FE9">
      <w:pPr>
        <w:rPr>
          <w:rFonts w:cs="Arial"/>
          <w:b/>
          <w:color w:val="000000" w:themeColor="text1"/>
          <w:szCs w:val="16"/>
        </w:rPr>
      </w:pPr>
      <w:r w:rsidRPr="00781112">
        <w:rPr>
          <w:rFonts w:cs="Arial"/>
          <w:b/>
          <w:color w:val="000000" w:themeColor="text1"/>
          <w:szCs w:val="16"/>
        </w:rPr>
        <w:t>The number of parents to whom the surveys were distributed.</w:t>
      </w:r>
    </w:p>
    <w:p w14:paraId="1181B460" w14:textId="042BF6E0" w:rsidR="00415FE9" w:rsidRPr="00781112" w:rsidRDefault="00415FE9" w:rsidP="00415FE9">
      <w:pPr>
        <w:rPr>
          <w:rFonts w:cs="Arial"/>
          <w:color w:val="000000" w:themeColor="text1"/>
          <w:szCs w:val="16"/>
        </w:rPr>
      </w:pPr>
      <w:r w:rsidRPr="00781112">
        <w:rPr>
          <w:rFonts w:cs="Arial"/>
          <w:color w:val="000000" w:themeColor="text1"/>
          <w:szCs w:val="16"/>
        </w:rPr>
        <w:t>17,228</w:t>
      </w:r>
    </w:p>
    <w:p w14:paraId="37F1825E" w14:textId="77777777" w:rsidR="00415FE9" w:rsidRPr="00781112" w:rsidRDefault="00415FE9" w:rsidP="00415FE9">
      <w:pPr>
        <w:rPr>
          <w:rFonts w:cs="Arial"/>
          <w:b/>
          <w:color w:val="000000" w:themeColor="text1"/>
          <w:szCs w:val="16"/>
        </w:rPr>
      </w:pPr>
      <w:r w:rsidRPr="00781112">
        <w:rPr>
          <w:rFonts w:cs="Arial"/>
          <w:b/>
          <w:color w:val="000000" w:themeColor="text1"/>
          <w:szCs w:val="16"/>
        </w:rPr>
        <w:t>Percentage of respondent parents</w:t>
      </w:r>
    </w:p>
    <w:p w14:paraId="47233287" w14:textId="25AA931E" w:rsidR="00415FE9" w:rsidRPr="00781112" w:rsidRDefault="00415FE9" w:rsidP="00415FE9">
      <w:pPr>
        <w:rPr>
          <w:rFonts w:cs="Arial"/>
          <w:color w:val="000000" w:themeColor="text1"/>
          <w:szCs w:val="16"/>
        </w:rPr>
      </w:pPr>
      <w:r w:rsidRPr="00781112">
        <w:rPr>
          <w:rFonts w:cs="Arial"/>
          <w:color w:val="000000" w:themeColor="text1"/>
          <w:szCs w:val="16"/>
        </w:rPr>
        <w:t>27.55%</w:t>
      </w:r>
    </w:p>
    <w:p w14:paraId="6E133112" w14:textId="714E6C68" w:rsidR="00090132" w:rsidRDefault="00090132" w:rsidP="00AF550B">
      <w:pPr>
        <w:rPr>
          <w:rFonts w:cs="Arial"/>
          <w:iCs/>
          <w:color w:val="000000" w:themeColor="text1"/>
          <w:szCs w:val="16"/>
        </w:rPr>
      </w:pPr>
    </w:p>
    <w:p w14:paraId="22944736" w14:textId="77777777" w:rsidR="00090132" w:rsidRPr="00F737BA" w:rsidRDefault="00090132" w:rsidP="00090132">
      <w:pPr>
        <w:rPr>
          <w:rFonts w:cs="Arial"/>
          <w:b/>
          <w:bCs/>
          <w:szCs w:val="16"/>
        </w:rPr>
      </w:pPr>
      <w:r w:rsidRPr="00F737BA">
        <w:rPr>
          <w:rFonts w:cs="Arial"/>
          <w:b/>
          <w:bCs/>
          <w:szCs w:val="16"/>
        </w:rPr>
        <w:t>Response Rate</w:t>
      </w:r>
    </w:p>
    <w:tbl>
      <w:tblPr>
        <w:tblStyle w:val="TableGrid"/>
        <w:tblW w:w="0" w:type="auto"/>
        <w:tblLook w:val="04A0" w:firstRow="1" w:lastRow="0" w:firstColumn="1" w:lastColumn="0" w:noHBand="0" w:noVBand="1"/>
        <w:tblCaption w:val="B08CFFYDISTPER"/>
      </w:tblPr>
      <w:tblGrid>
        <w:gridCol w:w="1885"/>
        <w:gridCol w:w="2805"/>
        <w:gridCol w:w="2635"/>
      </w:tblGrid>
      <w:tr w:rsidR="00090132" w:rsidRPr="00F737BA" w14:paraId="0E1B543B" w14:textId="77777777" w:rsidTr="00DF5DC9">
        <w:tc>
          <w:tcPr>
            <w:tcW w:w="1885" w:type="dxa"/>
          </w:tcPr>
          <w:p w14:paraId="2D7C9FC3" w14:textId="77777777" w:rsidR="00090132" w:rsidRPr="00F737BA" w:rsidRDefault="00090132" w:rsidP="00DF5DC9">
            <w:pPr>
              <w:jc w:val="center"/>
              <w:rPr>
                <w:rFonts w:cs="Arial"/>
                <w:b/>
                <w:szCs w:val="16"/>
              </w:rPr>
            </w:pPr>
            <w:bookmarkStart w:id="53" w:name="_Hlk79652737"/>
            <w:r w:rsidRPr="00F737BA">
              <w:rPr>
                <w:rFonts w:cs="Arial"/>
                <w:b/>
                <w:szCs w:val="16"/>
              </w:rPr>
              <w:t>FFY</w:t>
            </w:r>
          </w:p>
        </w:tc>
        <w:tc>
          <w:tcPr>
            <w:tcW w:w="2340" w:type="dxa"/>
          </w:tcPr>
          <w:p w14:paraId="2109B7B6" w14:textId="77777777" w:rsidR="00090132" w:rsidRPr="004A62FE" w:rsidRDefault="00090132" w:rsidP="00DF5DC9">
            <w:pPr>
              <w:jc w:val="center"/>
              <w:rPr>
                <w:rFonts w:cs="Arial"/>
                <w:b/>
                <w:szCs w:val="16"/>
              </w:rPr>
            </w:pPr>
            <w:r w:rsidRPr="004A62FE">
              <w:rPr>
                <w:rFonts w:cs="Arial"/>
                <w:b/>
                <w:color w:val="000000" w:themeColor="text1"/>
                <w:szCs w:val="16"/>
              </w:rPr>
              <w:t>2021</w:t>
            </w:r>
          </w:p>
        </w:tc>
        <w:tc>
          <w:tcPr>
            <w:tcW w:w="360" w:type="dxa"/>
          </w:tcPr>
          <w:p w14:paraId="0CD9799E" w14:textId="77777777" w:rsidR="00090132" w:rsidRPr="004A62FE" w:rsidRDefault="00090132" w:rsidP="00DF5DC9">
            <w:pPr>
              <w:jc w:val="center"/>
              <w:rPr>
                <w:rFonts w:cs="Arial"/>
                <w:b/>
                <w:szCs w:val="16"/>
              </w:rPr>
            </w:pPr>
            <w:r w:rsidRPr="004A62FE">
              <w:rPr>
                <w:rFonts w:cs="Arial"/>
                <w:b/>
                <w:color w:val="000000" w:themeColor="text1"/>
                <w:szCs w:val="16"/>
              </w:rPr>
              <w:t>2022</w:t>
            </w:r>
          </w:p>
        </w:tc>
      </w:tr>
      <w:tr w:rsidR="00090132" w:rsidRPr="00F737BA" w14:paraId="3E600875" w14:textId="77777777" w:rsidTr="00DF5DC9">
        <w:tc>
          <w:tcPr>
            <w:tcW w:w="1885" w:type="dxa"/>
          </w:tcPr>
          <w:p w14:paraId="497B06E4" w14:textId="77777777" w:rsidR="00090132" w:rsidRPr="00F737BA" w:rsidRDefault="00090132" w:rsidP="00DF5DC9">
            <w:pPr>
              <w:rPr>
                <w:rFonts w:cs="Arial"/>
                <w:szCs w:val="16"/>
              </w:rPr>
            </w:pPr>
            <w:r w:rsidRPr="00F737BA">
              <w:rPr>
                <w:rFonts w:cs="Arial"/>
                <w:szCs w:val="16"/>
              </w:rPr>
              <w:t xml:space="preserve">Response Rate </w:t>
            </w:r>
          </w:p>
        </w:tc>
        <w:tc>
          <w:tcPr>
            <w:tcW w:w="2340" w:type="dxa"/>
            <w:shd w:val="clear" w:color="auto" w:fill="auto"/>
          </w:tcPr>
          <w:p w14:paraId="0FC44028" w14:textId="50784D2F" w:rsidR="00090132" w:rsidRPr="004A62FE" w:rsidRDefault="00090132" w:rsidP="000B4405">
            <w:pPr>
              <w:jc w:val="center"/>
              <w:rPr>
                <w:rFonts w:cs="Arial"/>
                <w:szCs w:val="16"/>
              </w:rPr>
            </w:pPr>
            <w:r w:rsidRPr="004A62FE">
              <w:rPr>
                <w:rFonts w:cs="Arial"/>
                <w:iCs/>
                <w:color w:val="000000" w:themeColor="text1"/>
                <w:szCs w:val="16"/>
              </w:rPr>
              <w:t>24.68%</w:t>
            </w:r>
          </w:p>
        </w:tc>
        <w:tc>
          <w:tcPr>
            <w:tcW w:w="360" w:type="dxa"/>
            <w:shd w:val="clear" w:color="auto" w:fill="auto"/>
          </w:tcPr>
          <w:p w14:paraId="76DE0483" w14:textId="3235EE79" w:rsidR="00090132" w:rsidRPr="004A62FE" w:rsidRDefault="00090132" w:rsidP="000B4405">
            <w:pPr>
              <w:jc w:val="center"/>
              <w:rPr>
                <w:rFonts w:cs="Arial"/>
                <w:szCs w:val="16"/>
              </w:rPr>
            </w:pPr>
            <w:r w:rsidRPr="00090132">
              <w:rPr>
                <w:rFonts w:cs="Arial"/>
                <w:iCs/>
                <w:color w:val="000000" w:themeColor="text1"/>
                <w:szCs w:val="16"/>
              </w:rPr>
              <w:t>27.55%</w:t>
            </w:r>
          </w:p>
        </w:tc>
      </w:tr>
      <w:bookmarkEnd w:id="53"/>
    </w:tbl>
    <w:p w14:paraId="05313584" w14:textId="77777777" w:rsidR="00090132" w:rsidRPr="00F737BA" w:rsidRDefault="00090132" w:rsidP="00090132">
      <w:pPr>
        <w:pStyle w:val="Header"/>
        <w:tabs>
          <w:tab w:val="clear" w:pos="4320"/>
          <w:tab w:val="clear" w:pos="8640"/>
        </w:tabs>
        <w:spacing w:before="0"/>
        <w:rPr>
          <w:rFonts w:ascii="Arial" w:hAnsi="Arial" w:cs="Arial"/>
          <w:bCs/>
          <w:sz w:val="16"/>
          <w:szCs w:val="16"/>
        </w:rPr>
      </w:pPr>
    </w:p>
    <w:p w14:paraId="7EAF7EA9" w14:textId="77777777" w:rsidR="00156FDD" w:rsidRPr="000B29F8" w:rsidRDefault="00156FDD" w:rsidP="00156FDD">
      <w:pPr>
        <w:rPr>
          <w:b/>
          <w:bCs/>
        </w:rPr>
      </w:pPr>
      <w:r w:rsidRPr="000B29F8">
        <w:rPr>
          <w:b/>
          <w:bCs/>
        </w:rPr>
        <w:t>Describe the metric used to determine representativeness (e.g., +/- 3% discrepancy in the proportion of responders compared to target group).</w:t>
      </w:r>
    </w:p>
    <w:p w14:paraId="2D9B0A76" w14:textId="77777777" w:rsidR="00156FDD" w:rsidRPr="000A2B9F" w:rsidRDefault="00156FDD" w:rsidP="00156FDD">
      <w:pPr>
        <w:pStyle w:val="Subhed"/>
        <w:rPr>
          <w:b w:val="0"/>
          <w:bCs/>
        </w:rPr>
      </w:pPr>
      <w:r w:rsidRPr="000A2B9F">
        <w:rPr>
          <w:b w:val="0"/>
          <w:bCs/>
        </w:rPr>
        <w:t>The metric used by the State to determine representativeness is +/- 3% discrepancy in the proportion of responders compared to the target group.</w:t>
      </w:r>
    </w:p>
    <w:p w14:paraId="69B8C995" w14:textId="77777777" w:rsidR="00156FDD" w:rsidRDefault="00156FDD" w:rsidP="00090132">
      <w:pPr>
        <w:rPr>
          <w:rFonts w:cs="Arial"/>
          <w:b/>
          <w:color w:val="000000" w:themeColor="text1"/>
          <w:szCs w:val="16"/>
        </w:rPr>
      </w:pPr>
    </w:p>
    <w:p w14:paraId="7DF43855" w14:textId="7693C672" w:rsidR="00156FDD" w:rsidRPr="000762B0" w:rsidRDefault="00156FDD" w:rsidP="00156FDD">
      <w:pPr>
        <w:rPr>
          <w:b/>
          <w:bCs/>
        </w:rPr>
      </w:pPr>
      <w:r w:rsidRPr="000762B0">
        <w:rPr>
          <w:b/>
          <w:bCs/>
        </w:rPr>
        <w:t xml:space="preserve">Include the State’s analyses of the extent to which the demographics of the </w:t>
      </w:r>
      <w:r w:rsidR="008D23DF">
        <w:rPr>
          <w:b/>
          <w:bCs/>
        </w:rPr>
        <w:t xml:space="preserve">children for whom </w:t>
      </w:r>
      <w:r w:rsidRPr="000762B0">
        <w:rPr>
          <w:b/>
          <w:bCs/>
        </w:rPr>
        <w:t>parents respond</w:t>
      </w:r>
      <w:r w:rsidR="0030766A">
        <w:rPr>
          <w:b/>
          <w:bCs/>
        </w:rPr>
        <w:t>ed</w:t>
      </w:r>
      <w:r w:rsidRPr="000762B0">
        <w:rPr>
          <w:b/>
          <w:bCs/>
        </w:rPr>
        <w:t xml:space="preserve"> are representative of the demographics of children receiving special education services. States must include race/ethnicity in their analysis. In addition, the State’s analysis must also include at least one of the following demographics: age of the student, disability category, gender, geographic location, and/or another demographic category approved through the stakeholder input process.</w:t>
      </w:r>
    </w:p>
    <w:p w14:paraId="1D2210F6" w14:textId="77777777" w:rsidR="00156FDD" w:rsidRDefault="00156FDD" w:rsidP="00156FDD">
      <w:pPr>
        <w:rPr>
          <w:b/>
          <w:bCs/>
        </w:rPr>
      </w:pPr>
      <w:r w:rsidRPr="000A2B9F">
        <w:rPr>
          <w:bCs/>
          <w:color w:val="000000" w:themeColor="text1"/>
        </w:rPr>
        <w:t>The State determined representativeness of the parents responding to the demographics of children receiving special education services using a +/- 3% criteria. Using this methodology, no differences were found by race/ethnicity. The children receiving special education services by race/ethnicity in the state consist of the following race/ethnicities:</w:t>
        <w:br/>
        <w:t>10.33% Native Americans, 63.94% Hispanics, 20.59% Caucasians, 2.43% Multi-racial, 2.06% Black/African Americans,0.56% Asians and 0.08% Native Hawaiian or Other Pacific Islanders</w:t>
        <w:br/>
        <w:t/>
        <w:br/>
        <w:t>The respondents by race/ethnicity were as follows: 9.67% Native Americans, 64.48% Hispanics, 21.39% Caucasians, 2.17% Multi-racial, 1.73% Black/African Americans, 0.53% Asians and 0.02% Native Hawaiian or Other Pacific Islanders. The differences for all race/ethnicity categories were within the +/- 3% criteria; therefore, the parents responding were representative by race/ethnicity.</w:t>
        <w:br/>
        <w:t/>
        <w:br/>
        <w:t>Survey representation was also compared by disability category. All disability categories were represented by the disability categories in the state using the +/- 3% criteria to identify over-or under-representativeness. Students with disabilities by disability category in the state are as follows: Autism 9.13%, Deaf Blindness 0.01%, Developmental Delay 8.85%, Emotional Disturbance 3.17%, Hearing Impairment/Deafness 0.82%, Intellectual Disability 4.18%, Multiple Disabilities 1.36%, Orthopedic Impairment 0.33%, Other Health Impaired 9.70%, Specific Learning Disability 44.91%, Speech-Language Impairment 16.81%, Traumatic Brain Injury 0.32%, and Visual Impairment 0.43%.</w:t>
        <w:br/>
        <w:t/>
        <w:br/>
        <w:t>The respondents consist of the following: Autism 9.88%, Deaf Blindness 0.06%, Developmental Delay 8.34%, Emotional Disturbance 3.15%, Hearing Impairment/Deafness 0.81%, Intellectual Disability 4.56%, Multiple Disabilities 1.64%, Orthopedic Impairment 0.60%, Other Health Impaired 10.62%, Specific Learning Disability 42.64%, Speech-Language Impairment	16.98%, Traumatic Brain Injury 0.36%, Visual Impairment	0.37%. The differences for these categories for all disability categories were within the +/- 3% criteria. Therefore, this signifies that the demographics of parents are representative of the demographics of children receiving special education services by race/ethnicity and disability category.</w:t>
        <w:br/>
        <w:t/>
        <w:br/>
        <w:t/>
        <w:br/>
        <w:t xml:space="preserve"> </w:t>
      </w:r>
    </w:p>
    <w:p w14:paraId="3EF17F6A" w14:textId="0A433742" w:rsidR="00156FDD" w:rsidRPr="000762B0" w:rsidRDefault="00156FDD" w:rsidP="00156FDD">
      <w:pPr>
        <w:pStyle w:val="Subhed"/>
        <w:rPr>
          <w:bCs/>
        </w:rPr>
      </w:pPr>
      <w:r w:rsidRPr="000762B0">
        <w:rPr>
          <w:bCs/>
        </w:rPr>
        <w:t xml:space="preserve">The demographics of the </w:t>
      </w:r>
      <w:r w:rsidR="0030766A">
        <w:rPr>
          <w:bCs/>
        </w:rPr>
        <w:t xml:space="preserve">children for whom </w:t>
      </w:r>
      <w:r w:rsidRPr="000762B0">
        <w:rPr>
          <w:bCs/>
        </w:rPr>
        <w:t xml:space="preserve">parents </w:t>
      </w:r>
      <w:r w:rsidR="0030766A">
        <w:rPr>
          <w:bCs/>
        </w:rPr>
        <w:t xml:space="preserve">are </w:t>
      </w:r>
      <w:r w:rsidRPr="000762B0">
        <w:rPr>
          <w:bCs/>
        </w:rPr>
        <w:t>responding are representative of the demographics of children receiving special education services. (yes/no)</w:t>
      </w:r>
    </w:p>
    <w:p w14:paraId="51B1DB60" w14:textId="77777777" w:rsidR="00156FDD" w:rsidRDefault="00156FDD" w:rsidP="00156FDD">
      <w:pPr>
        <w:pStyle w:val="Subhed"/>
        <w:rPr>
          <w:b w:val="0"/>
          <w:bCs/>
          <w:color w:val="000000" w:themeColor="text1"/>
        </w:rPr>
      </w:pPr>
      <w:r w:rsidRPr="000A2B9F">
        <w:rPr>
          <w:b w:val="0"/>
          <w:bCs/>
          <w:color w:val="000000" w:themeColor="text1"/>
        </w:rPr>
        <w:t>YES</w:t>
      </w:r>
    </w:p>
    <w:p w14:paraId="4FDE2F5E" w14:textId="77777777" w:rsidR="00156FDD" w:rsidRDefault="00156FDD" w:rsidP="00090132">
      <w:pPr>
        <w:rPr>
          <w:rFonts w:cs="Arial"/>
          <w:b/>
          <w:color w:val="000000" w:themeColor="text1"/>
          <w:szCs w:val="16"/>
        </w:rPr>
      </w:pPr>
    </w:p>
    <w:p w14:paraId="4BDEC798" w14:textId="64E8BE6C" w:rsidR="00090132" w:rsidRPr="0061205F" w:rsidRDefault="00090132" w:rsidP="00090132">
      <w:pPr>
        <w:rPr>
          <w:rFonts w:cs="Arial"/>
          <w:b/>
          <w:color w:val="000000" w:themeColor="text1"/>
          <w:szCs w:val="16"/>
        </w:rPr>
      </w:pPr>
      <w:r w:rsidRPr="0061205F">
        <w:rPr>
          <w:rFonts w:cs="Arial"/>
          <w:b/>
          <w:color w:val="000000" w:themeColor="text1"/>
          <w:szCs w:val="16"/>
        </w:rPr>
        <w:t>Describe strategies that will be implemented which are expected to increase the response rate year over year, particularly for those groups that are underrepresented.</w:t>
      </w:r>
    </w:p>
    <w:p w14:paraId="3C9BE65D" w14:textId="77777777" w:rsidR="00090132" w:rsidRPr="000A2B9F" w:rsidRDefault="00090132" w:rsidP="00090132">
      <w:pPr>
        <w:rPr>
          <w:rFonts w:cs="Arial"/>
          <w:bCs/>
          <w:color w:val="000000" w:themeColor="text1"/>
          <w:szCs w:val="16"/>
        </w:rPr>
      </w:pPr>
      <w:r w:rsidRPr="0061205F">
        <w:rPr>
          <w:rFonts w:cs="Arial"/>
          <w:bCs/>
          <w:color w:val="000000" w:themeColor="text1"/>
          <w:szCs w:val="16"/>
        </w:rPr>
        <w:t>Although there were no groups that were underrepresented, the State will continue to devise and implement strategies to increase the response rate year over year. The strategies implemented and those which the State will continue are described here:</w:t>
        <w:br/>
        <w:t xml:space="preserve">- Provide the survey to parents selected to complete the survey, electronically and/or on a paper form. The electronic survey will also be sent via cell phone and email. Parents that do not respond to the electronic survey are mailed out a paper survey for completion. </w:t>
        <w:br/>
        <w:t>- Have the parent survey available in the Navajo and Spanish languages for those who may need the survey in these versions in order to respond to the survey.</w:t>
        <w:br/>
        <w:t xml:space="preserve">- Make available a hotline for Spanish speaking parents that have questions or require support to complete the survey. </w:t>
        <w:br/>
        <w:t xml:space="preserve">- Stratify the data prior to the sample being selected to ensure that each race/ethnic group is represented appropriately in the sample. </w:t>
        <w:br/>
        <w:t/>
        <w:br/>
        <w:t xml:space="preserve">The State is considering implementing the following: </w:t>
        <w:br/>
        <w:t>- Aligning survey administration with IEP meetings.</w:t>
        <w:br/>
        <w:t>- Expanding the timeframe which the survey response period is open.</w:t>
        <w:br/>
        <w:t>- Developing an advertising campaign to explain what the survey is about and encourage parents to complete and return the survey.</w:t>
        <w:br/>
        <w:t>- Coordinating with LEAs who are currently not included in the process. Once the sample is selected by the contractor, share with the LEA so they can also encourage participation.</w:t>
        <w:br/>
        <w:t>- Separating preschool from school-age parent surveys to obtain feedback to better inform programming.</w:t>
        <w:br/>
        <w:t>- Reducing the number of questions on the survey.</w:t>
      </w:r>
    </w:p>
    <w:p w14:paraId="43E156F3" w14:textId="001639B3" w:rsidR="00090132" w:rsidRDefault="00090132" w:rsidP="00090132">
      <w:pPr>
        <w:rPr>
          <w:rFonts w:cs="Arial"/>
          <w:b/>
          <w:color w:val="000000" w:themeColor="text1"/>
          <w:szCs w:val="16"/>
        </w:rPr>
      </w:pPr>
      <w:r w:rsidRPr="0061205F">
        <w:rPr>
          <w:rFonts w:cs="Arial"/>
          <w:b/>
          <w:color w:val="000000" w:themeColor="text1"/>
          <w:szCs w:val="16"/>
        </w:rPr>
        <w:t xml:space="preserve">Describe the analysis </w:t>
      </w:r>
      <w:bookmarkStart w:id="54" w:name="_Hlk81486999"/>
      <w:r w:rsidRPr="0061205F">
        <w:rPr>
          <w:rFonts w:cs="Arial"/>
          <w:b/>
          <w:color w:val="000000" w:themeColor="text1"/>
          <w:szCs w:val="16"/>
        </w:rPr>
        <w:t>of the response rate including any nonresponse bias that was identified,</w:t>
      </w:r>
      <w:bookmarkEnd w:id="54"/>
      <w:r w:rsidRPr="0061205F">
        <w:rPr>
          <w:rFonts w:cs="Arial"/>
          <w:b/>
          <w:color w:val="000000" w:themeColor="text1"/>
          <w:szCs w:val="16"/>
        </w:rPr>
        <w:t xml:space="preserve"> and the steps taken to reduce any identified bias and promote response from a broad cross section of </w:t>
      </w:r>
      <w:r w:rsidR="009B0EF0" w:rsidRPr="007A62B9">
        <w:rPr>
          <w:rFonts w:cs="Arial"/>
          <w:b/>
          <w:szCs w:val="16"/>
        </w:rPr>
        <w:t>parents of children with disabilities</w:t>
      </w:r>
      <w:r w:rsidRPr="0061205F">
        <w:rPr>
          <w:rFonts w:cs="Arial"/>
          <w:b/>
          <w:color w:val="000000" w:themeColor="text1"/>
          <w:szCs w:val="16"/>
        </w:rPr>
        <w:t>.</w:t>
      </w:r>
    </w:p>
    <w:p w14:paraId="36D187F6" w14:textId="77777777" w:rsidR="00090132" w:rsidRPr="000A2B9F" w:rsidRDefault="00090132" w:rsidP="00090132">
      <w:pPr>
        <w:rPr>
          <w:rFonts w:cs="Arial"/>
          <w:b/>
          <w:color w:val="000000" w:themeColor="text1"/>
          <w:szCs w:val="16"/>
        </w:rPr>
      </w:pPr>
      <w:r>
        <w:rPr>
          <w:rFonts w:cs="Arial"/>
          <w:szCs w:val="16"/>
        </w:rPr>
        <w:t>Our analysis indicated that there was no nonresponse bias. As mentioned above in the State's analyses of the extent to which the demographics of the children for whom parents responded are representative of the demographics of children receiving special education services section, the State examined the response rate by race/ethnicity and by disability to determine if there was any non-response bias. The respondents matched the racial/ethnic and disability make-up of the students with disabilities in the state. Thus, there was no over- and/or under-representation because all response groups were within +/-3% of the population.</w:t>
        <w:br/>
        <w:t/>
        <w:br/>
        <w:t>We also looked at early and late responders. If a comparison of responses of early respondents to late respondents shows no difference in responses, then you are less likely to have non-response bias. In this analysis, the parent involvement rate of three groups of parents was compared: parents who responded the earliest in the process (after the first text and email blast); parents who responded the second earliest (after the second text and email blast); and parents who responded the latest (at least three weeks after the second text/email blast). This analysis showed no significant differences in the parent involvement rate between the three groups of respondents; their parent involvement rates were 83%, 84%, and 86%, respectively. Thus, we conclude that there is no non-response bias.</w:t>
        <w:br/>
        <w:t/>
        <w:br/>
        <w:t>Although no response bias was identified, the State is committed to improving response rates among all parents selected to take the survey.</w:t>
      </w:r>
    </w:p>
    <w:p w14:paraId="78A83A27" w14:textId="50D5E24D" w:rsidR="001F448F" w:rsidRDefault="001F448F" w:rsidP="00A12797">
      <w:pPr>
        <w:rPr>
          <w:b/>
          <w:bCs/>
        </w:rPr>
      </w:pPr>
    </w:p>
    <w:tbl>
      <w:tblPr>
        <w:tblStyle w:val="TableGrid"/>
        <w:tblW w:w="0" w:type="auto"/>
        <w:tblLayout w:type="fixed"/>
        <w:tblLook w:val="04A0" w:firstRow="1" w:lastRow="0" w:firstColumn="1" w:lastColumn="0" w:noHBand="0" w:noVBand="1"/>
        <w:tblCaption w:val="B08SAMPLEUSED"/>
      </w:tblPr>
      <w:tblGrid>
        <w:gridCol w:w="8550"/>
        <w:gridCol w:w="2245"/>
      </w:tblGrid>
      <w:tr w:rsidR="005C29F8" w:rsidRPr="00781112" w14:paraId="4C454EA6" w14:textId="77777777" w:rsidTr="002B4D97">
        <w:trPr>
          <w:tblHeader/>
        </w:trPr>
        <w:tc>
          <w:tcPr>
            <w:tcW w:w="8550" w:type="dxa"/>
            <w:shd w:val="clear" w:color="auto" w:fill="auto"/>
          </w:tcPr>
          <w:p w14:paraId="641A3E2E" w14:textId="371AB589" w:rsidR="00564D95" w:rsidRPr="00781112" w:rsidRDefault="00E91363" w:rsidP="00B6413B">
            <w:pPr>
              <w:rPr>
                <w:rFonts w:cs="Arial"/>
                <w:b/>
                <w:bCs/>
                <w:color w:val="000000" w:themeColor="text1"/>
                <w:szCs w:val="16"/>
              </w:rPr>
            </w:pPr>
            <w:r w:rsidRPr="00781112">
              <w:rPr>
                <w:rFonts w:cs="Arial"/>
                <w:b/>
                <w:bCs/>
                <w:color w:val="000000" w:themeColor="text1"/>
                <w:szCs w:val="16"/>
              </w:rPr>
              <w:t>Sampling Question</w:t>
            </w:r>
          </w:p>
        </w:tc>
        <w:tc>
          <w:tcPr>
            <w:tcW w:w="2245" w:type="dxa"/>
            <w:shd w:val="clear" w:color="auto" w:fill="auto"/>
          </w:tcPr>
          <w:p w14:paraId="5DD050D6" w14:textId="45F46418" w:rsidR="00564D95" w:rsidRPr="00781112" w:rsidRDefault="00564D95"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65780CF1" w14:textId="46D0A53A" w:rsidTr="002B4D97">
        <w:tc>
          <w:tcPr>
            <w:tcW w:w="8550" w:type="dxa"/>
            <w:shd w:val="clear" w:color="auto" w:fill="auto"/>
          </w:tcPr>
          <w:p w14:paraId="43F69327" w14:textId="1229D955" w:rsidR="00564D95" w:rsidRPr="00781112" w:rsidRDefault="00564D95" w:rsidP="00B6413B">
            <w:pPr>
              <w:rPr>
                <w:rFonts w:cs="Arial"/>
                <w:color w:val="000000" w:themeColor="text1"/>
                <w:szCs w:val="16"/>
              </w:rPr>
            </w:pPr>
            <w:r w:rsidRPr="00781112">
              <w:rPr>
                <w:rFonts w:cs="Arial"/>
                <w:color w:val="000000" w:themeColor="text1"/>
                <w:szCs w:val="16"/>
              </w:rPr>
              <w:t xml:space="preserve">Was sampling used? </w:t>
            </w:r>
          </w:p>
        </w:tc>
        <w:tc>
          <w:tcPr>
            <w:tcW w:w="2245" w:type="dxa"/>
            <w:shd w:val="clear" w:color="auto" w:fill="auto"/>
          </w:tcPr>
          <w:p w14:paraId="1BA005BB" w14:textId="4AC8FD0F" w:rsidR="00564D95"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46B6D7FE" w14:textId="62FEECDE" w:rsidTr="002B4D97">
        <w:tc>
          <w:tcPr>
            <w:tcW w:w="8550" w:type="dxa"/>
            <w:shd w:val="clear" w:color="auto" w:fill="auto"/>
          </w:tcPr>
          <w:p w14:paraId="03CC110D" w14:textId="013D0EF2" w:rsidR="00564D95" w:rsidRPr="00781112" w:rsidRDefault="00EF1C23" w:rsidP="00B6413B">
            <w:pPr>
              <w:rPr>
                <w:rFonts w:cs="Arial"/>
                <w:color w:val="000000" w:themeColor="text1"/>
                <w:szCs w:val="16"/>
              </w:rPr>
            </w:pPr>
            <w:r w:rsidRPr="00781112">
              <w:rPr>
                <w:rFonts w:cs="Arial"/>
                <w:color w:val="000000" w:themeColor="text1"/>
                <w:szCs w:val="16"/>
              </w:rPr>
              <w:lastRenderedPageBreak/>
              <w:t>If yes, has your previously approved sampling plan changed?</w:t>
            </w:r>
          </w:p>
        </w:tc>
        <w:tc>
          <w:tcPr>
            <w:tcW w:w="2245" w:type="dxa"/>
            <w:shd w:val="clear" w:color="auto" w:fill="auto"/>
          </w:tcPr>
          <w:p w14:paraId="152E1EC0" w14:textId="4401EFC8" w:rsidR="00564D95" w:rsidRPr="00781112" w:rsidRDefault="002B7490" w:rsidP="00A018D4">
            <w:pPr>
              <w:jc w:val="center"/>
              <w:rPr>
                <w:rFonts w:cs="Arial"/>
                <w:color w:val="000000" w:themeColor="text1"/>
                <w:szCs w:val="16"/>
              </w:rPr>
            </w:pPr>
            <w:r w:rsidRPr="00781112">
              <w:rPr>
                <w:rFonts w:cs="Arial"/>
                <w:color w:val="000000" w:themeColor="text1"/>
                <w:szCs w:val="16"/>
              </w:rPr>
              <w:t>NO</w:t>
            </w:r>
          </w:p>
        </w:tc>
      </w:tr>
    </w:tbl>
    <w:p w14:paraId="7C7B18C6" w14:textId="2B0391C4" w:rsidR="009B37A2" w:rsidRPr="00781112" w:rsidRDefault="009B37A2" w:rsidP="00B6413B">
      <w:pPr>
        <w:rPr>
          <w:rFonts w:cs="Arial"/>
          <w:b/>
          <w:color w:val="000000" w:themeColor="text1"/>
          <w:szCs w:val="16"/>
        </w:rPr>
      </w:pPr>
      <w:r w:rsidRPr="00781112">
        <w:rPr>
          <w:rFonts w:cs="Arial"/>
          <w:b/>
          <w:color w:val="000000" w:themeColor="text1"/>
          <w:szCs w:val="16"/>
        </w:rPr>
        <w:t>Describe the sampling methodology outlining how the design will yield valid and reliable estimates.</w:t>
      </w:r>
    </w:p>
    <w:p w14:paraId="1972664F" w14:textId="35FA6AAA" w:rsidR="009B37A2" w:rsidRPr="00781112" w:rsidRDefault="002B7490" w:rsidP="00B6413B">
      <w:pPr>
        <w:rPr>
          <w:rFonts w:cs="Arial"/>
          <w:color w:val="000000" w:themeColor="text1"/>
          <w:szCs w:val="16"/>
        </w:rPr>
      </w:pPr>
      <w:r w:rsidRPr="00781112">
        <w:rPr>
          <w:rFonts w:cs="Arial"/>
          <w:color w:val="000000" w:themeColor="text1"/>
          <w:szCs w:val="16"/>
        </w:rPr>
        <w:t>The sampling procedures the State follows are described below:</w:t>
        <w:br/>
        <w:t/>
        <w:br/>
        <w:t xml:space="preserve">1. The total sample will be drawn from the stratified groups identified as indicated below. </w:t>
        <w:br/>
        <w:t xml:space="preserve"> a.	All students with disabilities will be stratified as follows prior to the sample being selected:</w:t>
        <w:br/>
        <w:t xml:space="preserve">   1.  By race/ethnicity:</w:t>
        <w:br/>
        <w:t>	The sampling must reflect the race/ethnicity make-up as follows:</w:t>
        <w:br/>
        <w:t xml:space="preserve">         American Indian/Alaskan Native	10.33%</w:t>
        <w:br/>
        <w:t xml:space="preserve">         Asian	0.52%</w:t>
        <w:br/>
        <w:t xml:space="preserve">         Black or African American	 2.01%</w:t>
        <w:br/>
        <w:t xml:space="preserve">         Caucasian	20.67%</w:t>
        <w:br/>
        <w:t xml:space="preserve">         Hispanic	64.07%</w:t>
        <w:br/>
        <w:t xml:space="preserve">         Native Hawaiian or Other Pacific Islander	0.07%</w:t>
        <w:br/>
        <w:t xml:space="preserve">         Multiracial	2.34%</w:t>
        <w:br/>
        <w:t xml:space="preserve">   2.  School Grade</w:t>
        <w:br/>
        <w:t xml:space="preserve">   3.  Primary Disability</w:t>
        <w:br/>
        <w:t/>
        <w:br/>
        <w:t xml:space="preserve"> b.	The sample is drawn at the LEA level to ensure that LEA’s racial/ethnic make-up of each LEA’s students with disabilities is captured in the sample. </w:t>
        <w:br/>
        <w:t xml:space="preserve">   1.	Districts </w:t>
        <w:br/>
        <w:t xml:space="preserve">   2.	State Charters and </w:t>
        <w:br/>
        <w:t xml:space="preserve">   3.  State Supported Schools </w:t>
        <w:br/>
        <w:t/>
        <w:br/>
        <w:t>Number of students with disabilities and LEA sample sizes:</w:t>
        <w:br/>
        <w:t xml:space="preserve">          1-199: All students selected</w:t>
        <w:br/>
        <w:t xml:space="preserve">     200-500: 150 selected</w:t>
        <w:br/>
        <w:t xml:space="preserve">   501-1000: 250 selected</w:t>
        <w:br/>
        <w:t xml:space="preserve"> 1001-2500: 350 selected</w:t>
        <w:br/>
        <w:t xml:space="preserve"> 2501-4000: 450 selected</w:t>
        <w:br/>
        <w:t xml:space="preserve">         4001+: 1000 selected</w:t>
        <w:br/>
        <w:t/>
        <w:br/>
        <w:t>Note: Since the State is using differential sampling based on child count, when calculating the state-level results, responses are weighted by the student child count size (e.g., an LEA that has four times the number of students with disabilities as another district will receive four times the weight in computing overall state results).</w:t>
        <w:br/>
        <w:t/>
        <w:br/>
        <w:t xml:space="preserve">2. The form contains 25 questions based on the Likert scale. See attached. The agree, strongly agree, and very strongly agree responses from question 1 are included in the numerator of the Indicator 8 calculation. </w:t>
        <w:br/>
        <w:t>a. Parents selected in step 1 will be sent a survey via text and email.</w:t>
        <w:br/>
        <w:t>b. Parents that do not respond to the survey will be mailed a paper survey.</w:t>
        <w:br/>
        <w:t/>
        <w:br/>
        <w:t xml:space="preserve">3. To mitigate the risk of disclosure of personally identifiable information about individual children, the State collects the information using standard procedures that minimizes the risk of disclosing personally identifiable information; for example, we use a random ID instead of a student’s designated state ID number to track surveys and we don’t collect demographic/program participation information on the surveys themselves. </w:t>
      </w:r>
    </w:p>
    <w:p w14:paraId="12C8B638" w14:textId="77777777" w:rsidR="00AF550B" w:rsidRPr="00781112" w:rsidRDefault="00AF550B" w:rsidP="00AF550B">
      <w:pPr>
        <w:rPr>
          <w:rFonts w:cs="Arial"/>
          <w:color w:val="000000" w:themeColor="text1"/>
          <w:szCs w:val="16"/>
        </w:rPr>
      </w:pPr>
    </w:p>
    <w:tbl>
      <w:tblPr>
        <w:tblStyle w:val="TableGrid"/>
        <w:tblW w:w="10800" w:type="dxa"/>
        <w:tblLayout w:type="fixed"/>
        <w:tblLook w:val="04A0" w:firstRow="1" w:lastRow="0" w:firstColumn="1" w:lastColumn="0" w:noHBand="0" w:noVBand="1"/>
        <w:tblCaption w:val="B08SURVEYUSED"/>
      </w:tblPr>
      <w:tblGrid>
        <w:gridCol w:w="8550"/>
        <w:gridCol w:w="2250"/>
      </w:tblGrid>
      <w:tr w:rsidR="005C29F8" w:rsidRPr="00781112" w14:paraId="5A4C524D" w14:textId="77777777" w:rsidTr="0033429D">
        <w:trPr>
          <w:tblHeader/>
        </w:trPr>
        <w:tc>
          <w:tcPr>
            <w:tcW w:w="8550" w:type="dxa"/>
          </w:tcPr>
          <w:p w14:paraId="3B302184" w14:textId="3C2CBF4D" w:rsidR="00B5350E" w:rsidRPr="00781112" w:rsidRDefault="00BC5CA0" w:rsidP="00B6413B">
            <w:pPr>
              <w:rPr>
                <w:rFonts w:cs="Arial"/>
                <w:b/>
                <w:bCs/>
                <w:color w:val="000000" w:themeColor="text1"/>
                <w:szCs w:val="16"/>
              </w:rPr>
            </w:pPr>
            <w:r w:rsidRPr="00781112">
              <w:rPr>
                <w:rFonts w:cs="Arial"/>
                <w:b/>
                <w:bCs/>
                <w:color w:val="000000" w:themeColor="text1"/>
                <w:szCs w:val="16"/>
              </w:rPr>
              <w:t>Survey Question</w:t>
            </w:r>
          </w:p>
        </w:tc>
        <w:tc>
          <w:tcPr>
            <w:tcW w:w="2250" w:type="dxa"/>
          </w:tcPr>
          <w:p w14:paraId="4082973A" w14:textId="148FA82D" w:rsidR="00B5350E" w:rsidRPr="00781112" w:rsidRDefault="00B5350E"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2BBB7A7B" w14:textId="530EE0A4" w:rsidTr="00E0321D">
        <w:tc>
          <w:tcPr>
            <w:tcW w:w="8550" w:type="dxa"/>
          </w:tcPr>
          <w:p w14:paraId="1C595FC3" w14:textId="00C59640" w:rsidR="00B5350E" w:rsidRPr="00781112" w:rsidRDefault="00B5350E" w:rsidP="00B6413B">
            <w:pPr>
              <w:rPr>
                <w:rFonts w:cs="Arial"/>
                <w:color w:val="000000" w:themeColor="text1"/>
                <w:szCs w:val="16"/>
              </w:rPr>
            </w:pPr>
            <w:r w:rsidRPr="00781112">
              <w:rPr>
                <w:rFonts w:cs="Arial"/>
                <w:color w:val="000000" w:themeColor="text1"/>
                <w:szCs w:val="16"/>
              </w:rPr>
              <w:t xml:space="preserve">Was a survey used? </w:t>
            </w:r>
          </w:p>
        </w:tc>
        <w:tc>
          <w:tcPr>
            <w:tcW w:w="2250" w:type="dxa"/>
          </w:tcPr>
          <w:p w14:paraId="694FDC95" w14:textId="251E84C1" w:rsidR="00B5350E"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1198B60F" w14:textId="5AD58247" w:rsidTr="00E0321D">
        <w:tc>
          <w:tcPr>
            <w:tcW w:w="8550" w:type="dxa"/>
          </w:tcPr>
          <w:p w14:paraId="7B6CA23B" w14:textId="49CC8BE9" w:rsidR="00B5350E" w:rsidRPr="00781112" w:rsidRDefault="0020552B" w:rsidP="00B6413B">
            <w:pPr>
              <w:rPr>
                <w:rFonts w:cs="Arial"/>
                <w:color w:val="000000" w:themeColor="text1"/>
                <w:szCs w:val="16"/>
              </w:rPr>
            </w:pPr>
            <w:r w:rsidRPr="00781112">
              <w:rPr>
                <w:rFonts w:cs="Arial"/>
                <w:color w:val="000000" w:themeColor="text1"/>
                <w:szCs w:val="16"/>
              </w:rPr>
              <w:t>If yes, is it a new or revised survey?</w:t>
            </w:r>
          </w:p>
        </w:tc>
        <w:tc>
          <w:tcPr>
            <w:tcW w:w="2250" w:type="dxa"/>
          </w:tcPr>
          <w:p w14:paraId="7CA6C425" w14:textId="5334C716" w:rsidR="00B5350E" w:rsidRPr="00781112" w:rsidRDefault="002B7490" w:rsidP="00A018D4">
            <w:pPr>
              <w:jc w:val="center"/>
              <w:rPr>
                <w:rFonts w:cs="Arial"/>
                <w:color w:val="000000" w:themeColor="text1"/>
                <w:szCs w:val="16"/>
              </w:rPr>
            </w:pPr>
            <w:r w:rsidRPr="00781112">
              <w:rPr>
                <w:rFonts w:cs="Arial"/>
                <w:color w:val="000000" w:themeColor="text1"/>
                <w:szCs w:val="16"/>
              </w:rPr>
              <w:t>NO</w:t>
            </w:r>
          </w:p>
        </w:tc>
      </w:tr>
      <w:tr w:rsidR="005C29F8" w:rsidRPr="00781112" w14:paraId="20B301BF" w14:textId="77777777" w:rsidTr="00E0321D">
        <w:tc>
          <w:tcPr>
            <w:tcW w:w="8550" w:type="dxa"/>
          </w:tcPr>
          <w:p w14:paraId="5941AFA2" w14:textId="5CB4672E" w:rsidR="00371D57" w:rsidRPr="00781112" w:rsidRDefault="00BB56EB" w:rsidP="00B6413B">
            <w:pPr>
              <w:rPr>
                <w:rFonts w:cs="Arial"/>
                <w:color w:val="000000" w:themeColor="text1"/>
                <w:szCs w:val="16"/>
              </w:rPr>
            </w:pPr>
            <w:r w:rsidRPr="00781112">
              <w:rPr>
                <w:rFonts w:cs="Arial"/>
                <w:color w:val="000000" w:themeColor="text1"/>
                <w:szCs w:val="16"/>
              </w:rPr>
              <w:t>If yes, provide a copy of the survey.</w:t>
            </w:r>
          </w:p>
        </w:tc>
        <w:tc>
          <w:tcPr>
            <w:tcW w:w="2250" w:type="dxa"/>
          </w:tcPr>
          <w:p w14:paraId="47FBC4A0" w14:textId="3B42F246" w:rsidR="00371D57" w:rsidRPr="00781112" w:rsidRDefault="002B4010" w:rsidP="00A018D4">
            <w:pPr>
              <w:jc w:val="center"/>
              <w:rPr>
                <w:rFonts w:cs="Arial"/>
                <w:color w:val="000000" w:themeColor="text1"/>
                <w:szCs w:val="16"/>
              </w:rPr>
            </w:pPr>
            <w:r w:rsidRPr="00781112">
              <w:rPr>
                <w:rFonts w:cs="Arial"/>
                <w:color w:val="000000" w:themeColor="text1"/>
                <w:szCs w:val="16"/>
              </w:rPr>
              <w:t/>
            </w:r>
          </w:p>
        </w:tc>
      </w:tr>
    </w:tbl>
    <w:p w14:paraId="15C9B2F7" w14:textId="77777777" w:rsidR="00991685" w:rsidRDefault="00991685" w:rsidP="00221EC9">
      <w:pPr>
        <w:rPr>
          <w:rFonts w:cs="Arial"/>
          <w:b/>
          <w:color w:val="000000" w:themeColor="text1"/>
          <w:szCs w:val="16"/>
        </w:rPr>
      </w:pPr>
    </w:p>
    <w:p w14:paraId="1A0A4F5E" w14:textId="49FD4EED" w:rsidR="00221EC9" w:rsidRPr="00781112" w:rsidRDefault="00221EC9" w:rsidP="00221EC9">
      <w:pPr>
        <w:rPr>
          <w:rFonts w:cs="Arial"/>
          <w:b/>
          <w:color w:val="000000" w:themeColor="text1"/>
          <w:szCs w:val="16"/>
        </w:rPr>
      </w:pPr>
      <w:r w:rsidRPr="00781112">
        <w:rPr>
          <w:rFonts w:cs="Arial"/>
          <w:b/>
          <w:color w:val="000000" w:themeColor="text1"/>
          <w:szCs w:val="16"/>
        </w:rPr>
        <w:t>Provide additional information about this indicator (optional)</w:t>
      </w:r>
    </w:p>
    <w:p w14:paraId="7F22D6A0" w14:textId="105FEEC5" w:rsidR="009B37A2" w:rsidRPr="00781112" w:rsidRDefault="002B7490" w:rsidP="007D435F">
      <w:pPr>
        <w:rPr>
          <w:rFonts w:cs="Arial"/>
          <w:color w:val="000000" w:themeColor="text1"/>
          <w:szCs w:val="16"/>
        </w:rPr>
      </w:pPr>
      <w:r w:rsidRPr="00781112">
        <w:rPr>
          <w:rFonts w:cs="Arial"/>
          <w:color w:val="000000" w:themeColor="text1"/>
          <w:szCs w:val="16"/>
        </w:rPr>
        <w:t/>
      </w:r>
    </w:p>
    <w:p w14:paraId="1CDDE440" w14:textId="050C9555" w:rsidR="000A2C83" w:rsidRPr="00781112" w:rsidRDefault="00752BAF" w:rsidP="008645AD">
      <w:pPr>
        <w:pStyle w:val="Heading2"/>
      </w:pPr>
      <w:r w:rsidRPr="00781112">
        <w:t>8</w:t>
      </w:r>
      <w:r w:rsidR="001F6BAA" w:rsidRPr="00781112">
        <w:t xml:space="preserve"> </w:t>
      </w:r>
      <w:r w:rsidRPr="00781112">
        <w:t xml:space="preserve">- </w:t>
      </w:r>
      <w:r w:rsidR="000A2C83" w:rsidRPr="00781112">
        <w:t>Prior FFY Required Actions</w:t>
      </w:r>
    </w:p>
    <w:p w14:paraId="078A2B9E" w14:textId="64337A5A" w:rsidR="000A2C83" w:rsidRPr="00781112" w:rsidRDefault="002B7490" w:rsidP="000A2C83">
      <w:pPr>
        <w:rPr>
          <w:rFonts w:cs="Arial"/>
          <w:color w:val="000000" w:themeColor="text1"/>
          <w:szCs w:val="16"/>
        </w:rPr>
      </w:pPr>
      <w:r w:rsidRPr="00781112">
        <w:rPr>
          <w:rFonts w:cs="Arial"/>
          <w:color w:val="000000" w:themeColor="text1"/>
          <w:szCs w:val="16"/>
        </w:rPr>
        <w:t>In the FFY 2022 SPP/APR, the State must report whether the FFY 2022 data are from a response group that is representative of the demographics of children receiving special education services, and, if not, the actions the State is taking to address this issue. The State must also include its analysis of the extent to which the demographics of the parents responding are representative of the demographics of children receiving special education services. </w:t>
      </w:r>
    </w:p>
    <w:p w14:paraId="5AB800FF" w14:textId="0E5A84CD" w:rsidR="000A2C83" w:rsidRPr="00781112" w:rsidRDefault="007639D7" w:rsidP="004369B2">
      <w:pPr>
        <w:rPr>
          <w:b/>
          <w:color w:val="000000" w:themeColor="text1"/>
        </w:rPr>
      </w:pPr>
      <w:r>
        <w:rPr>
          <w:b/>
          <w:color w:val="000000" w:themeColor="text1"/>
        </w:rPr>
        <w:t>Response to actions required in FFY 2021 SPP/APR</w:t>
      </w:r>
    </w:p>
    <w:p w14:paraId="03E9CB46" w14:textId="594F3FDD" w:rsidR="007757B1" w:rsidRPr="00781112" w:rsidRDefault="002B7490" w:rsidP="007757B1">
      <w:pPr>
        <w:rPr>
          <w:rFonts w:cs="Arial"/>
          <w:color w:val="000000" w:themeColor="text1"/>
          <w:szCs w:val="16"/>
        </w:rPr>
      </w:pPr>
      <w:r w:rsidRPr="00781112">
        <w:rPr>
          <w:rFonts w:cs="Arial"/>
          <w:color w:val="000000" w:themeColor="text1"/>
          <w:szCs w:val="16"/>
        </w:rPr>
        <w:t xml:space="preserve">In this FFY 2022 SPP/APR, the State has reported the FFY 2022 data are from a response group that is representative of the demographics of children receiving special education services.  The State has also include and analysis of the extent to which the demographics of the parents responding are representative of the demographics of children receiving special education services. </w:t>
      </w:r>
    </w:p>
    <w:p w14:paraId="5B521A52" w14:textId="17857299" w:rsidR="00221EC9" w:rsidRPr="00781112" w:rsidRDefault="00752BAF" w:rsidP="008645AD">
      <w:pPr>
        <w:pStyle w:val="Heading2"/>
      </w:pPr>
      <w:r w:rsidRPr="00781112">
        <w:t>8 - OSEP Response</w:t>
      </w:r>
    </w:p>
    <w:p w14:paraId="1A55D397" w14:textId="0DDAC080" w:rsidR="009B37A2" w:rsidRPr="00781112" w:rsidRDefault="002B7490" w:rsidP="001F692C">
      <w:pPr>
        <w:rPr>
          <w:rFonts w:cs="Arial"/>
          <w:color w:val="000000" w:themeColor="text1"/>
          <w:szCs w:val="16"/>
        </w:rPr>
      </w:pPr>
      <w:r w:rsidRPr="00781112">
        <w:rPr>
          <w:rFonts w:cs="Arial"/>
          <w:color w:val="000000" w:themeColor="text1"/>
          <w:szCs w:val="16"/>
        </w:rPr>
        <w:t>
</w:t>
      </w:r>
    </w:p>
    <w:p w14:paraId="13389642" w14:textId="758A1D0A" w:rsidR="00221EC9" w:rsidRPr="00781112" w:rsidRDefault="00752BAF" w:rsidP="008645AD">
      <w:pPr>
        <w:pStyle w:val="Heading2"/>
      </w:pPr>
      <w:r w:rsidRPr="00781112">
        <w:t>8 - Required Actions</w:t>
      </w:r>
    </w:p>
    <w:p w14:paraId="48F68B87" w14:textId="7D160B08" w:rsidR="009B37A2" w:rsidRPr="00781112" w:rsidRDefault="002B7490" w:rsidP="001F692C">
      <w:pPr>
        <w:rPr>
          <w:rFonts w:cs="Arial"/>
          <w:color w:val="000000" w:themeColor="text1"/>
          <w:szCs w:val="16"/>
        </w:rPr>
      </w:pPr>
      <w:r w:rsidRPr="00781112">
        <w:rPr>
          <w:rFonts w:cs="Arial"/>
          <w:color w:val="000000" w:themeColor="text1"/>
          <w:szCs w:val="16"/>
        </w:rPr>
        <w:t/>
      </w:r>
    </w:p>
    <w:p w14:paraId="6D95E736"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0E39FDA6" w14:textId="025763A2" w:rsidR="00D03701" w:rsidRPr="00781112" w:rsidRDefault="00D03701" w:rsidP="000444E2">
      <w:pPr>
        <w:pStyle w:val="Heading1"/>
        <w:rPr>
          <w:color w:val="000000" w:themeColor="text1"/>
          <w:sz w:val="22"/>
        </w:rPr>
      </w:pPr>
      <w:r w:rsidRPr="00781112">
        <w:rPr>
          <w:color w:val="000000" w:themeColor="text1"/>
          <w:sz w:val="22"/>
        </w:rPr>
        <w:lastRenderedPageBreak/>
        <w:t>Indicator 9: Disproportionate Representation</w:t>
      </w:r>
      <w:bookmarkEnd w:id="55"/>
      <w:bookmarkEnd w:id="56"/>
      <w:bookmarkEnd w:id="57"/>
    </w:p>
    <w:p w14:paraId="30C4375D" w14:textId="77777777" w:rsidR="00AF5AFB" w:rsidRPr="00781112" w:rsidRDefault="00AF5AFB" w:rsidP="00A018D4">
      <w:pPr>
        <w:rPr>
          <w:color w:val="000000" w:themeColor="text1"/>
          <w:szCs w:val="20"/>
        </w:rPr>
      </w:pPr>
      <w:bookmarkStart w:id="59" w:name="_Toc384383343"/>
      <w:bookmarkStart w:id="60" w:name="_Toc392159311"/>
      <w:r w:rsidRPr="00781112">
        <w:rPr>
          <w:b/>
          <w:color w:val="000000" w:themeColor="text1"/>
          <w:sz w:val="20"/>
          <w:szCs w:val="20"/>
        </w:rPr>
        <w:t>Instructions and Measurement</w:t>
      </w:r>
    </w:p>
    <w:p w14:paraId="61C479DB" w14:textId="1E252334" w:rsidR="00CC634E" w:rsidRPr="00781112" w:rsidRDefault="00CC634E" w:rsidP="006357C5">
      <w:pPr>
        <w:rPr>
          <w:rFonts w:cs="Arial"/>
          <w:b/>
          <w:color w:val="000000" w:themeColor="text1"/>
          <w:szCs w:val="16"/>
        </w:rPr>
      </w:pPr>
      <w:r w:rsidRPr="00781112">
        <w:rPr>
          <w:rFonts w:cs="Arial"/>
          <w:b/>
          <w:color w:val="000000" w:themeColor="text1"/>
          <w:szCs w:val="16"/>
        </w:rPr>
        <w:t xml:space="preserve">Monitoring Priority: </w:t>
      </w:r>
      <w:r w:rsidRPr="00781112">
        <w:rPr>
          <w:rFonts w:cs="Arial"/>
          <w:color w:val="000000" w:themeColor="text1"/>
          <w:szCs w:val="16"/>
        </w:rPr>
        <w:t>Disproportionality</w:t>
      </w:r>
    </w:p>
    <w:p w14:paraId="2539829F" w14:textId="77777777" w:rsidR="00876394" w:rsidRPr="00781112" w:rsidRDefault="00CC634E" w:rsidP="006357C5">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districts with disproportionate representation of racial and ethnic groups in special education and related services that is the result of inappropriate identification. </w:t>
      </w:r>
    </w:p>
    <w:p w14:paraId="4983BB5F" w14:textId="28C83F84" w:rsidR="00CC634E" w:rsidRPr="00781112" w:rsidRDefault="00CC634E" w:rsidP="006357C5">
      <w:pPr>
        <w:rPr>
          <w:rFonts w:cs="Arial"/>
          <w:color w:val="000000" w:themeColor="text1"/>
          <w:szCs w:val="16"/>
        </w:rPr>
      </w:pPr>
      <w:r w:rsidRPr="00781112">
        <w:rPr>
          <w:rFonts w:cs="Arial"/>
          <w:color w:val="000000" w:themeColor="text1"/>
          <w:szCs w:val="16"/>
        </w:rPr>
        <w:t>(20 U.S.C. 1416(a)(3)(C))</w:t>
      </w:r>
    </w:p>
    <w:p w14:paraId="6D2519CF" w14:textId="77777777" w:rsidR="00A66715" w:rsidRPr="00781112" w:rsidRDefault="00A66715" w:rsidP="004369B2">
      <w:pPr>
        <w:rPr>
          <w:color w:val="000000" w:themeColor="text1"/>
        </w:rPr>
      </w:pPr>
      <w:r w:rsidRPr="00781112">
        <w:rPr>
          <w:b/>
          <w:color w:val="000000" w:themeColor="text1"/>
        </w:rPr>
        <w:t>Data Source</w:t>
      </w:r>
    </w:p>
    <w:p w14:paraId="435C1BC0" w14:textId="1F2EA9FD" w:rsidR="00A66715" w:rsidRPr="00781112" w:rsidRDefault="00A66715" w:rsidP="00286BDF">
      <w:pPr>
        <w:rPr>
          <w:rFonts w:cs="Arial"/>
          <w:color w:val="000000" w:themeColor="text1"/>
          <w:szCs w:val="16"/>
        </w:rPr>
      </w:pPr>
      <w:r w:rsidRPr="00781112">
        <w:rPr>
          <w:rFonts w:cs="Arial"/>
          <w:color w:val="000000" w:themeColor="text1"/>
          <w:szCs w:val="16"/>
          <w:shd w:val="clear" w:color="auto" w:fill="FFFFFF"/>
        </w:rPr>
        <w:t>State’s analysis, based on State’s Child Count data collected under IDEA section 618, to determine if the disproportionate representation of racial and ethnic groups in special education and related services was the result of inappropriate identification.</w:t>
      </w:r>
    </w:p>
    <w:p w14:paraId="3FA170D6" w14:textId="77777777" w:rsidR="00A66715" w:rsidRPr="00781112" w:rsidRDefault="00A66715" w:rsidP="004369B2">
      <w:pPr>
        <w:rPr>
          <w:color w:val="000000" w:themeColor="text1"/>
        </w:rPr>
      </w:pPr>
      <w:r w:rsidRPr="00781112">
        <w:rPr>
          <w:b/>
          <w:color w:val="000000" w:themeColor="text1"/>
        </w:rPr>
        <w:t>Measurement</w:t>
      </w:r>
    </w:p>
    <w:p w14:paraId="477AA533" w14:textId="06ADBA36" w:rsidR="00A66715" w:rsidRPr="00781112" w:rsidRDefault="00A66715" w:rsidP="00286BDF">
      <w:pPr>
        <w:rPr>
          <w:rFonts w:cs="Arial"/>
          <w:color w:val="000000" w:themeColor="text1"/>
          <w:szCs w:val="16"/>
        </w:rPr>
      </w:pPr>
      <w:r w:rsidRPr="00781112">
        <w:rPr>
          <w:rFonts w:cs="Arial"/>
          <w:color w:val="000000" w:themeColor="text1"/>
          <w:szCs w:val="16"/>
        </w:rPr>
        <w:t>Percent = [(# of districts, that meet the State-established n and/or cell size (if applicable) for one or more racial/ethnic groups, with disproportionate representation of racial and ethnic groups in special education and related services that is the result of inappropriate identification) divided by the (# of districts in the State that meet the State-established n and/or cell size (if applicable) for one or more racial/ethnic groups)] times 100.</w:t>
      </w:r>
    </w:p>
    <w:p w14:paraId="47207609" w14:textId="77777777" w:rsidR="00A66715" w:rsidRPr="00781112" w:rsidRDefault="00A66715" w:rsidP="00286BDF">
      <w:pPr>
        <w:rPr>
          <w:rFonts w:cs="Arial"/>
          <w:color w:val="000000" w:themeColor="text1"/>
          <w:szCs w:val="16"/>
        </w:rPr>
      </w:pPr>
      <w:r w:rsidRPr="00781112">
        <w:rPr>
          <w:rFonts w:cs="Arial"/>
          <w:color w:val="000000" w:themeColor="text1"/>
          <w:szCs w:val="16"/>
        </w:rPr>
        <w:t>Include State’s definition of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w:t>
      </w:r>
    </w:p>
    <w:p w14:paraId="2F72A4A6" w14:textId="1E30F4EF" w:rsidR="00A66715" w:rsidRPr="00781112" w:rsidRDefault="0016730D" w:rsidP="00286BDF">
      <w:pPr>
        <w:rPr>
          <w:rFonts w:cs="Arial"/>
          <w:color w:val="000000" w:themeColor="text1"/>
          <w:szCs w:val="16"/>
        </w:rPr>
      </w:pPr>
      <w:r w:rsidRPr="00781112">
        <w:rPr>
          <w:rFonts w:cs="Arial"/>
          <w:color w:val="000000" w:themeColor="text1"/>
          <w:szCs w:val="16"/>
        </w:rPr>
        <w:t>Based on its review of the 618 data for the reporting year, describe how the State made its annual determination as to whether the disproportionate representation it identified of racial and ethnic groups in special education and related services was the result of inappropriate identification as required by 34 CFR §§300.600(d)(3) and 300.602(a), e.g., using monitoring data; reviewing policies, practices and procedures. In determining disproportionate representation, analyze data, for each district, for all racial and ethnic groups in the district, or all racial and ethnic groups in the district that meet a minimum n and/or cell size set by the State. Report on the percent of districts in which disproportionate representation of racial and ethnic groups in special education and related services is the result of inappropriate identification, even if the determination of inappropriate identification was made after the end of the FFY 2022 reporting period (i.e., after June 30, 2023).</w:t>
      </w:r>
    </w:p>
    <w:p w14:paraId="5C234527" w14:textId="77777777" w:rsidR="00A66715" w:rsidRPr="00781112" w:rsidRDefault="00A66715" w:rsidP="004369B2">
      <w:pPr>
        <w:rPr>
          <w:color w:val="000000" w:themeColor="text1"/>
        </w:rPr>
      </w:pPr>
      <w:r w:rsidRPr="00781112">
        <w:rPr>
          <w:b/>
          <w:color w:val="000000" w:themeColor="text1"/>
        </w:rPr>
        <w:t>Instructions</w:t>
      </w:r>
    </w:p>
    <w:p w14:paraId="66307925" w14:textId="51E06C60" w:rsidR="00A66715" w:rsidRPr="00781112" w:rsidRDefault="00A66715" w:rsidP="00286BDF">
      <w:pPr>
        <w:rPr>
          <w:rFonts w:cs="Arial"/>
          <w:color w:val="000000" w:themeColor="text1"/>
          <w:szCs w:val="16"/>
        </w:rPr>
      </w:pPr>
      <w:r w:rsidRPr="00781112">
        <w:rPr>
          <w:rFonts w:cs="Arial"/>
          <w:iCs/>
          <w:color w:val="000000" w:themeColor="text1"/>
          <w:szCs w:val="16"/>
        </w:rPr>
        <w:t>P</w:t>
      </w:r>
      <w:r w:rsidRPr="00781112">
        <w:rPr>
          <w:rFonts w:cs="Arial"/>
          <w:color w:val="000000" w:themeColor="text1"/>
          <w:szCs w:val="16"/>
        </w:rPr>
        <w:t xml:space="preserve">rovide racial/ethnic disproportionality data for all children aged </w:t>
      </w:r>
      <w:r w:rsidR="00071D42" w:rsidRPr="00781112">
        <w:rPr>
          <w:rFonts w:cs="Arial"/>
        </w:rPr>
        <w:t xml:space="preserve">5 who are enrolled in kindergarten and </w:t>
      </w:r>
      <w:r w:rsidRPr="00781112">
        <w:rPr>
          <w:rFonts w:cs="Arial"/>
          <w:color w:val="000000" w:themeColor="text1"/>
          <w:szCs w:val="16"/>
        </w:rPr>
        <w:t>6 through 21 served under IDEA, aggregated across all disability categories.</w:t>
      </w:r>
      <w:r w:rsidR="009E27F2">
        <w:rPr>
          <w:rFonts w:cs="Arial"/>
          <w:color w:val="000000" w:themeColor="text1"/>
          <w:szCs w:val="16"/>
        </w:rPr>
        <w:t xml:space="preserve"> </w:t>
      </w:r>
      <w:r w:rsidR="009E27F2" w:rsidRPr="009E27F2">
        <w:rPr>
          <w:rFonts w:cs="Arial"/>
          <w:color w:val="000000" w:themeColor="text1"/>
          <w:szCs w:val="16"/>
        </w:rPr>
        <w:t>Provide the actual numbers used in the calculation.</w:t>
      </w:r>
    </w:p>
    <w:p w14:paraId="6CA47C85" w14:textId="77777777" w:rsidR="00A66715" w:rsidRPr="00781112" w:rsidRDefault="00A66715" w:rsidP="00286BDF">
      <w:pPr>
        <w:rPr>
          <w:rFonts w:cs="Arial"/>
          <w:color w:val="000000" w:themeColor="text1"/>
          <w:szCs w:val="16"/>
        </w:rPr>
      </w:pPr>
      <w:r w:rsidRPr="00781112">
        <w:rPr>
          <w:rFonts w:cs="Arial"/>
          <w:color w:val="000000" w:themeColor="text1"/>
          <w:szCs w:val="16"/>
        </w:rPr>
        <w:t>States are not required to report on underrepresentation.</w:t>
      </w:r>
    </w:p>
    <w:p w14:paraId="7D49F2B9" w14:textId="77777777" w:rsidR="00A66715" w:rsidRPr="00781112" w:rsidRDefault="00A66715" w:rsidP="00286BDF">
      <w:pPr>
        <w:rPr>
          <w:rFonts w:cs="Arial"/>
          <w:color w:val="000000" w:themeColor="text1"/>
          <w:szCs w:val="16"/>
        </w:rPr>
      </w:pPr>
      <w:r w:rsidRPr="00781112">
        <w:rPr>
          <w:rFonts w:cs="Arial"/>
          <w:color w:val="000000" w:themeColor="text1"/>
          <w:szCs w:val="16"/>
        </w:rPr>
        <w:t>If the State has established a minimum n and/or cell size requirement, the State may only include, in both the numerator and the denominator, districts that met that State-established n and/or cell size. If the State used a minimum n and/or cell size requirement, report the number of districts totally excluded from the calculation as a result of this requirement because the district did not meet the minimum n and/or cell size for any racial/ethnic group.</w:t>
      </w:r>
    </w:p>
    <w:p w14:paraId="18F19F84" w14:textId="77777777" w:rsidR="00A66715" w:rsidRPr="00781112" w:rsidRDefault="00A66715" w:rsidP="00286BDF">
      <w:pPr>
        <w:rPr>
          <w:rFonts w:cs="Arial"/>
          <w:color w:val="000000" w:themeColor="text1"/>
          <w:szCs w:val="16"/>
        </w:rPr>
      </w:pPr>
      <w:r w:rsidRPr="00781112">
        <w:rPr>
          <w:rFonts w:cs="Arial"/>
          <w:color w:val="000000" w:themeColor="text1"/>
          <w:szCs w:val="16"/>
        </w:rPr>
        <w:t>Consider using multiple methods in calculating disproportionate representation of racial and ethnic groups to reduce the risk of overlooking potential problems. Describe the method(s) used to calculate disproportionate representation.</w:t>
      </w:r>
    </w:p>
    <w:p w14:paraId="08814B9F" w14:textId="77777777" w:rsidR="00A66715" w:rsidRPr="00781112" w:rsidRDefault="00A66715" w:rsidP="00286BDF">
      <w:pPr>
        <w:rPr>
          <w:rFonts w:cs="Arial"/>
          <w:color w:val="000000" w:themeColor="text1"/>
          <w:szCs w:val="16"/>
        </w:rPr>
      </w:pPr>
      <w:r w:rsidRPr="00781112">
        <w:rPr>
          <w:rFonts w:cs="Arial"/>
          <w:color w:val="000000" w:themeColor="text1"/>
          <w:szCs w:val="16"/>
        </w:rPr>
        <w:t>Provide the number of districts that met the State-established n and/or cell size (if applicable) for one or more racial/ethnic groups identified with disproportionate representation of racial and ethnic groups in special education and related services and the number of those districts identified with disproportionate representation that is the result of inappropriate identification.</w:t>
      </w:r>
    </w:p>
    <w:p w14:paraId="633EBCDF" w14:textId="77777777" w:rsidR="00A66715" w:rsidRPr="00781112" w:rsidRDefault="00A66715" w:rsidP="00286BDF">
      <w:pPr>
        <w:rPr>
          <w:rFonts w:cs="Arial"/>
          <w:color w:val="000000" w:themeColor="text1"/>
          <w:szCs w:val="16"/>
        </w:rPr>
      </w:pPr>
      <w:r w:rsidRPr="00781112">
        <w:rPr>
          <w:rFonts w:cs="Arial"/>
          <w:color w:val="000000" w:themeColor="text1"/>
          <w:szCs w:val="16"/>
        </w:rPr>
        <w:t>Targets must be 0%.</w:t>
      </w:r>
    </w:p>
    <w:p w14:paraId="78E093FF" w14:textId="57312F7E" w:rsidR="00A66715" w:rsidRPr="00781112" w:rsidRDefault="0016730D" w:rsidP="00286BDF">
      <w:pPr>
        <w:rPr>
          <w:rFonts w:cs="Arial"/>
          <w:color w:val="000000" w:themeColor="text1"/>
          <w:szCs w:val="16"/>
        </w:rPr>
      </w:pPr>
      <w:r w:rsidRPr="00781112">
        <w:rPr>
          <w:rFonts w:cs="Arial"/>
          <w:color w:val="000000" w:themeColor="text1"/>
          <w:szCs w:val="16"/>
        </w:rPr>
        <w:t xml:space="preserve">Provide detailed information about the timely correction of </w:t>
      </w:r>
      <w:bookmarkStart w:id="61" w:name="_Hlk150864210"/>
      <w:r w:rsidR="009E27F2" w:rsidRPr="009E27F2">
        <w:rPr>
          <w:rFonts w:cs="Arial"/>
          <w:color w:val="000000" w:themeColor="text1"/>
          <w:szCs w:val="16"/>
        </w:rPr>
        <w:t>child-specific and regulatory/systemic</w:t>
      </w:r>
      <w:r w:rsidR="009E27F2">
        <w:rPr>
          <w:sz w:val="20"/>
          <w:szCs w:val="14"/>
        </w:rPr>
        <w:t xml:space="preserve"> </w:t>
      </w:r>
      <w:bookmarkEnd w:id="61"/>
      <w:r w:rsidRPr="00781112">
        <w:rPr>
          <w:rFonts w:cs="Arial"/>
          <w:color w:val="000000" w:themeColor="text1"/>
          <w:szCs w:val="16"/>
        </w:rPr>
        <w:t>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and any enforcement actions that were taken. If the State reported less than 100% compliance for the previous reporting period (e.g., for the FFY 2022 SPP/APR, the data for FFY 2021), and the State did not identify any findings of noncompliance, provide an explanation of why the State did not identify any findings of noncompliance.</w:t>
      </w:r>
    </w:p>
    <w:p w14:paraId="1A6C01D0" w14:textId="1BD83E55" w:rsidR="00AF5AFB" w:rsidRPr="00781112" w:rsidRDefault="00400C56" w:rsidP="008645AD">
      <w:pPr>
        <w:pStyle w:val="Heading2"/>
      </w:pPr>
      <w:bookmarkStart w:id="62" w:name="_Toc384383344"/>
      <w:bookmarkStart w:id="63" w:name="_Toc392159312"/>
      <w:bookmarkEnd w:id="59"/>
      <w:bookmarkEnd w:id="60"/>
      <w:r w:rsidRPr="00781112">
        <w:t>9</w:t>
      </w:r>
      <w:r w:rsidR="000D746C" w:rsidRPr="00781112">
        <w:t xml:space="preserve"> </w:t>
      </w:r>
      <w:r w:rsidRPr="00781112">
        <w:t xml:space="preserve">- </w:t>
      </w:r>
      <w:r w:rsidR="00AF5AFB" w:rsidRPr="00781112">
        <w:t>Indicator Data</w:t>
      </w:r>
    </w:p>
    <w:p w14:paraId="3B629025" w14:textId="77777777" w:rsidR="0091098C" w:rsidRPr="00781112" w:rsidRDefault="0091098C" w:rsidP="004369B2">
      <w:pPr>
        <w:rPr>
          <w:color w:val="000000" w:themeColor="text1"/>
        </w:rPr>
      </w:pPr>
      <w:r w:rsidRPr="00781112">
        <w:rPr>
          <w:b/>
          <w:color w:val="000000" w:themeColor="text1"/>
        </w:rPr>
        <w:t>Not Applicable</w:t>
      </w:r>
    </w:p>
    <w:p w14:paraId="26955027" w14:textId="78EADA59" w:rsidR="003E7FC1" w:rsidRPr="00781112" w:rsidRDefault="00E54DDA">
      <w:pPr>
        <w:rPr>
          <w:b/>
          <w:color w:val="000000" w:themeColor="text1"/>
        </w:rPr>
      </w:pPr>
      <w:r w:rsidRPr="00781112">
        <w:rPr>
          <w:b/>
          <w:color w:val="000000" w:themeColor="text1"/>
        </w:rPr>
        <w:t>Select yes if this indicator is not applicable.</w:t>
      </w:r>
    </w:p>
    <w:p w14:paraId="6AB001BB" w14:textId="1DB937E1" w:rsidR="00043AC9" w:rsidRPr="00781112" w:rsidRDefault="00043AC9" w:rsidP="004369B2">
      <w:pPr>
        <w:rPr>
          <w:rFonts w:cs="Arial"/>
          <w:color w:val="000000" w:themeColor="text1"/>
          <w:szCs w:val="16"/>
        </w:rPr>
      </w:pPr>
      <w:r w:rsidRPr="00781112">
        <w:rPr>
          <w:rFonts w:cs="Arial"/>
          <w:color w:val="000000" w:themeColor="text1"/>
          <w:szCs w:val="16"/>
        </w:rPr>
        <w:t>NO</w:t>
      </w:r>
    </w:p>
    <w:p w14:paraId="3A71D697" w14:textId="346BA4D1" w:rsidR="00EC46E4" w:rsidRPr="00781112" w:rsidRDefault="00EC46E4"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9BASELINEDATA"/>
      </w:tblPr>
      <w:tblGrid>
        <w:gridCol w:w="1797"/>
        <w:gridCol w:w="1798"/>
      </w:tblGrid>
      <w:tr w:rsidR="00956DB0" w:rsidRPr="00781112" w14:paraId="5182274F" w14:textId="77777777" w:rsidTr="00123D76">
        <w:trPr>
          <w:trHeight w:val="311"/>
          <w:tblHeader/>
        </w:trPr>
        <w:tc>
          <w:tcPr>
            <w:tcW w:w="1797" w:type="dxa"/>
          </w:tcPr>
          <w:p w14:paraId="1A2818C6" w14:textId="77777777" w:rsidR="00956DB0" w:rsidRPr="00781112" w:rsidRDefault="00956DB0" w:rsidP="00123D76">
            <w:pPr>
              <w:jc w:val="center"/>
              <w:rPr>
                <w:b/>
                <w:color w:val="000000" w:themeColor="text1"/>
              </w:rPr>
            </w:pPr>
            <w:r w:rsidRPr="00781112">
              <w:rPr>
                <w:rFonts w:cs="Arial"/>
                <w:b/>
                <w:color w:val="000000" w:themeColor="text1"/>
                <w:szCs w:val="16"/>
              </w:rPr>
              <w:t>Baseline Year</w:t>
            </w:r>
          </w:p>
        </w:tc>
        <w:tc>
          <w:tcPr>
            <w:tcW w:w="1798" w:type="dxa"/>
          </w:tcPr>
          <w:p w14:paraId="0F4B2975" w14:textId="77777777" w:rsidR="00956DB0" w:rsidRPr="00781112" w:rsidRDefault="00956DB0" w:rsidP="00123D76">
            <w:pPr>
              <w:jc w:val="center"/>
              <w:rPr>
                <w:b/>
                <w:color w:val="000000" w:themeColor="text1"/>
              </w:rPr>
            </w:pPr>
            <w:r w:rsidRPr="00781112">
              <w:rPr>
                <w:b/>
                <w:color w:val="000000" w:themeColor="text1"/>
              </w:rPr>
              <w:t>Baseline Data</w:t>
            </w:r>
          </w:p>
        </w:tc>
      </w:tr>
      <w:tr w:rsidR="00956DB0" w:rsidRPr="00781112" w14:paraId="610EE192" w14:textId="77777777" w:rsidTr="00123D76">
        <w:trPr>
          <w:trHeight w:val="311"/>
        </w:trPr>
        <w:tc>
          <w:tcPr>
            <w:tcW w:w="1797" w:type="dxa"/>
            <w:vAlign w:val="center"/>
          </w:tcPr>
          <w:p w14:paraId="092AF3EE" w14:textId="300E0F13" w:rsidR="00956DB0" w:rsidRPr="00781112" w:rsidRDefault="00956DB0" w:rsidP="00123D76">
            <w:pPr>
              <w:jc w:val="center"/>
              <w:rPr>
                <w:bCs/>
                <w:color w:val="000000" w:themeColor="text1"/>
              </w:rPr>
            </w:pPr>
            <w:r w:rsidRPr="00781112">
              <w:rPr>
                <w:bCs/>
                <w:color w:val="000000" w:themeColor="text1"/>
              </w:rPr>
              <w:t>2020</w:t>
            </w:r>
          </w:p>
        </w:tc>
        <w:tc>
          <w:tcPr>
            <w:tcW w:w="1798" w:type="dxa"/>
            <w:vAlign w:val="center"/>
          </w:tcPr>
          <w:p w14:paraId="4FDCB4BF" w14:textId="0D2A0C74" w:rsidR="00956DB0" w:rsidRPr="00781112" w:rsidRDefault="00956DB0" w:rsidP="00123D76">
            <w:pPr>
              <w:jc w:val="center"/>
              <w:rPr>
                <w:bCs/>
                <w:color w:val="000000" w:themeColor="text1"/>
              </w:rPr>
            </w:pPr>
            <w:r w:rsidRPr="00781112">
              <w:rPr>
                <w:bCs/>
                <w:color w:val="000000" w:themeColor="text1"/>
              </w:rPr>
              <w:t>0.00%</w:t>
            </w:r>
          </w:p>
        </w:tc>
      </w:tr>
    </w:tbl>
    <w:p w14:paraId="209EB354" w14:textId="77777777" w:rsidR="00956DB0" w:rsidRPr="00781112" w:rsidRDefault="00956DB0"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9HISTDATA"/>
      </w:tblPr>
      <w:tblGrid>
        <w:gridCol w:w="1798"/>
        <w:gridCol w:w="1798"/>
        <w:gridCol w:w="1798"/>
        <w:gridCol w:w="1798"/>
        <w:gridCol w:w="1798"/>
        <w:gridCol w:w="1800"/>
      </w:tblGrid>
      <w:tr w:rsidR="005C29F8" w:rsidRPr="00781112" w14:paraId="29257DEC" w14:textId="77777777" w:rsidTr="002B4D97">
        <w:trPr>
          <w:trHeight w:val="350"/>
        </w:trPr>
        <w:tc>
          <w:tcPr>
            <w:tcW w:w="833" w:type="pct"/>
            <w:tcBorders>
              <w:bottom w:val="single" w:sz="4" w:space="0" w:color="auto"/>
            </w:tcBorders>
            <w:shd w:val="clear" w:color="auto" w:fill="auto"/>
          </w:tcPr>
          <w:p w14:paraId="2ACD0221" w14:textId="77777777" w:rsidR="006357C5" w:rsidRPr="00781112" w:rsidRDefault="006357C5"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15D764B6" w14:textId="19C54EAA" w:rsidR="006357C5" w:rsidRPr="00781112" w:rsidRDefault="002B7490" w:rsidP="00B6413B">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033F60DB" w14:textId="27C2FA3D" w:rsidR="006357C5" w:rsidRPr="00781112" w:rsidRDefault="002B7490" w:rsidP="00B6413B">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vAlign w:val="center"/>
          </w:tcPr>
          <w:p w14:paraId="317350A8" w14:textId="7D4D6C23" w:rsidR="006357C5" w:rsidRPr="00781112" w:rsidRDefault="002B7490" w:rsidP="00B6413B">
            <w:pPr>
              <w:jc w:val="center"/>
              <w:rPr>
                <w:rFonts w:cs="Arial"/>
                <w:b/>
                <w:color w:val="000000" w:themeColor="text1"/>
                <w:szCs w:val="16"/>
              </w:rPr>
            </w:pPr>
            <w:r w:rsidRPr="00781112">
              <w:rPr>
                <w:rFonts w:cs="Arial"/>
                <w:b/>
                <w:color w:val="000000" w:themeColor="text1"/>
                <w:szCs w:val="16"/>
              </w:rPr>
              <w:t>2019</w:t>
            </w:r>
          </w:p>
        </w:tc>
        <w:tc>
          <w:tcPr>
            <w:tcW w:w="833" w:type="pct"/>
            <w:shd w:val="clear" w:color="auto" w:fill="auto"/>
            <w:vAlign w:val="center"/>
          </w:tcPr>
          <w:p w14:paraId="2FE9FF1F" w14:textId="6B14CCED" w:rsidR="006357C5" w:rsidRPr="00781112" w:rsidRDefault="002B7490" w:rsidP="00B6413B">
            <w:pPr>
              <w:jc w:val="center"/>
              <w:rPr>
                <w:rFonts w:cs="Arial"/>
                <w:b/>
                <w:color w:val="000000" w:themeColor="text1"/>
                <w:szCs w:val="16"/>
              </w:rPr>
            </w:pPr>
            <w:r w:rsidRPr="00781112">
              <w:rPr>
                <w:rFonts w:cs="Arial"/>
                <w:b/>
                <w:color w:val="000000" w:themeColor="text1"/>
                <w:szCs w:val="16"/>
              </w:rPr>
              <w:t>2020</w:t>
            </w:r>
          </w:p>
        </w:tc>
        <w:tc>
          <w:tcPr>
            <w:tcW w:w="834" w:type="pct"/>
            <w:shd w:val="clear" w:color="auto" w:fill="auto"/>
            <w:vAlign w:val="center"/>
          </w:tcPr>
          <w:p w14:paraId="3EED1AAF" w14:textId="5F49372A" w:rsidR="006357C5" w:rsidRPr="00781112" w:rsidRDefault="002B7490" w:rsidP="00B6413B">
            <w:pPr>
              <w:jc w:val="center"/>
              <w:rPr>
                <w:rFonts w:cs="Arial"/>
                <w:b/>
                <w:color w:val="000000" w:themeColor="text1"/>
                <w:szCs w:val="16"/>
              </w:rPr>
            </w:pPr>
            <w:r w:rsidRPr="00781112">
              <w:rPr>
                <w:rFonts w:cs="Arial"/>
                <w:b/>
                <w:color w:val="000000" w:themeColor="text1"/>
                <w:szCs w:val="16"/>
              </w:rPr>
              <w:t>2021</w:t>
            </w:r>
          </w:p>
        </w:tc>
      </w:tr>
      <w:tr w:rsidR="005C29F8" w:rsidRPr="00781112" w14:paraId="2B1048CB" w14:textId="77777777" w:rsidTr="002B4D97">
        <w:trPr>
          <w:trHeight w:val="357"/>
        </w:trPr>
        <w:tc>
          <w:tcPr>
            <w:tcW w:w="833" w:type="pct"/>
            <w:shd w:val="clear" w:color="auto" w:fill="auto"/>
          </w:tcPr>
          <w:p w14:paraId="1E5C921D" w14:textId="552D02B6" w:rsidR="006357C5" w:rsidRPr="00781112" w:rsidRDefault="006357C5" w:rsidP="00BA3DBE">
            <w:pPr>
              <w:jc w:val="center"/>
              <w:rPr>
                <w:rFonts w:cs="Arial"/>
                <w:color w:val="000000" w:themeColor="text1"/>
                <w:szCs w:val="16"/>
              </w:rPr>
            </w:pPr>
            <w:r w:rsidRPr="00781112">
              <w:rPr>
                <w:rFonts w:cs="Arial"/>
                <w:color w:val="000000" w:themeColor="text1"/>
                <w:szCs w:val="16"/>
              </w:rPr>
              <w:t>Target</w:t>
            </w:r>
          </w:p>
        </w:tc>
        <w:tc>
          <w:tcPr>
            <w:tcW w:w="833" w:type="pct"/>
            <w:shd w:val="clear" w:color="auto" w:fill="auto"/>
          </w:tcPr>
          <w:p w14:paraId="605E3208" w14:textId="6058696A" w:rsidR="006357C5"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18B25266" w14:textId="3AD0FECB" w:rsidR="006357C5"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0C0FBF57" w14:textId="7ECB922D" w:rsidR="006357C5"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532C2D7E" w14:textId="62B3BFC8" w:rsidR="006357C5" w:rsidRPr="00781112" w:rsidRDefault="00BA56C8">
            <w:pPr>
              <w:jc w:val="center"/>
              <w:rPr>
                <w:rFonts w:cs="Arial"/>
                <w:color w:val="000000" w:themeColor="text1"/>
                <w:szCs w:val="16"/>
              </w:rPr>
            </w:pPr>
            <w:r w:rsidRPr="00781112">
              <w:rPr>
                <w:rFonts w:cs="Arial"/>
                <w:color w:val="000000" w:themeColor="text1"/>
                <w:szCs w:val="16"/>
              </w:rPr>
              <w:t>0%</w:t>
            </w:r>
          </w:p>
        </w:tc>
        <w:tc>
          <w:tcPr>
            <w:tcW w:w="834" w:type="pct"/>
            <w:shd w:val="clear" w:color="auto" w:fill="auto"/>
          </w:tcPr>
          <w:p w14:paraId="60DA2026" w14:textId="24D14A2D" w:rsidR="006357C5" w:rsidRPr="00781112" w:rsidRDefault="00BA56C8">
            <w:pPr>
              <w:jc w:val="center"/>
              <w:rPr>
                <w:rFonts w:cs="Arial"/>
                <w:color w:val="000000" w:themeColor="text1"/>
                <w:szCs w:val="16"/>
              </w:rPr>
            </w:pPr>
            <w:r w:rsidRPr="00781112">
              <w:rPr>
                <w:rFonts w:cs="Arial"/>
                <w:color w:val="000000" w:themeColor="text1"/>
                <w:szCs w:val="16"/>
              </w:rPr>
              <w:t>0%</w:t>
            </w:r>
          </w:p>
        </w:tc>
      </w:tr>
      <w:tr w:rsidR="005C29F8" w:rsidRPr="00781112" w14:paraId="3159C03B" w14:textId="77777777" w:rsidTr="002B4D97">
        <w:trPr>
          <w:trHeight w:val="85"/>
        </w:trPr>
        <w:tc>
          <w:tcPr>
            <w:tcW w:w="833" w:type="pct"/>
            <w:shd w:val="clear" w:color="auto" w:fill="auto"/>
          </w:tcPr>
          <w:p w14:paraId="2AC5584F" w14:textId="77777777" w:rsidR="006357C5" w:rsidRPr="00781112" w:rsidRDefault="006357C5"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6FD989E4" w14:textId="34237C82"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tcPr>
          <w:p w14:paraId="078BDCB4" w14:textId="6678F601"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1B9E9606" w14:textId="2C899E5A"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2DEE133C" w14:textId="4FA56B64"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4" w:type="pct"/>
            <w:tcBorders>
              <w:bottom w:val="single" w:sz="4" w:space="0" w:color="auto"/>
            </w:tcBorders>
            <w:shd w:val="clear" w:color="auto" w:fill="auto"/>
            <w:vAlign w:val="center"/>
          </w:tcPr>
          <w:p w14:paraId="2164C156" w14:textId="136C88F4"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r>
    </w:tbl>
    <w:p w14:paraId="38D93E0F" w14:textId="77777777" w:rsidR="00870121" w:rsidRPr="00781112" w:rsidRDefault="00870121" w:rsidP="004369B2">
      <w:pPr>
        <w:rPr>
          <w:color w:val="000000" w:themeColor="text1"/>
        </w:rPr>
      </w:pPr>
    </w:p>
    <w:p w14:paraId="1D3DD603" w14:textId="00F457CF" w:rsidR="0016730D" w:rsidRPr="00781112" w:rsidRDefault="0016730D" w:rsidP="004369B2">
      <w:pPr>
        <w:rPr>
          <w:color w:val="000000" w:themeColor="text1"/>
        </w:rPr>
      </w:pPr>
      <w:r w:rsidRPr="00781112">
        <w:rPr>
          <w:b/>
          <w:color w:val="000000" w:themeColor="text1"/>
        </w:rPr>
        <w:t>Targets</w:t>
      </w:r>
    </w:p>
    <w:tbl>
      <w:tblPr>
        <w:tblW w:w="4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9TARGETS"/>
      </w:tblPr>
      <w:tblGrid>
        <w:gridCol w:w="667"/>
        <w:gridCol w:w="2401"/>
        <w:gridCol w:w="2574"/>
        <w:gridCol w:w="2574"/>
        <w:gridCol w:w="2574"/>
      </w:tblGrid>
      <w:tr w:rsidR="00B67FCE" w:rsidRPr="00781112" w14:paraId="3B5E697E" w14:textId="22491944" w:rsidTr="00845B9B">
        <w:trPr>
          <w:trHeight w:val="307"/>
        </w:trPr>
        <w:tc>
          <w:tcPr>
            <w:tcW w:w="327" w:type="pct"/>
            <w:tcBorders>
              <w:bottom w:val="single" w:sz="4" w:space="0" w:color="auto"/>
            </w:tcBorders>
            <w:shd w:val="clear" w:color="auto" w:fill="auto"/>
          </w:tcPr>
          <w:p w14:paraId="6847FBDE" w14:textId="77777777" w:rsidR="00B67FCE" w:rsidRPr="00781112" w:rsidRDefault="00B67FCE" w:rsidP="00AD5583">
            <w:pPr>
              <w:jc w:val="center"/>
              <w:rPr>
                <w:b/>
                <w:color w:val="000000" w:themeColor="text1"/>
              </w:rPr>
            </w:pPr>
            <w:r w:rsidRPr="00781112">
              <w:rPr>
                <w:b/>
                <w:color w:val="000000" w:themeColor="text1"/>
              </w:rPr>
              <w:t>FFY</w:t>
            </w:r>
          </w:p>
        </w:tc>
        <w:tc>
          <w:tcPr>
            <w:tcW w:w="1110" w:type="pct"/>
            <w:shd w:val="clear" w:color="auto" w:fill="auto"/>
          </w:tcPr>
          <w:p w14:paraId="2C965821" w14:textId="77777777" w:rsidR="00B67FCE" w:rsidRPr="00781112" w:rsidRDefault="00B67FCE" w:rsidP="00AD5583">
            <w:pPr>
              <w:jc w:val="center"/>
              <w:rPr>
                <w:b/>
                <w:color w:val="000000" w:themeColor="text1"/>
              </w:rPr>
            </w:pPr>
            <w:r w:rsidRPr="00781112">
              <w:rPr>
                <w:b/>
                <w:color w:val="000000" w:themeColor="text1"/>
              </w:rPr>
              <w:t>2022</w:t>
            </w:r>
          </w:p>
        </w:tc>
        <w:tc>
          <w:tcPr>
            <w:tcW w:w="1188" w:type="pct"/>
          </w:tcPr>
          <w:p w14:paraId="695B1CC5" w14:textId="0A8E7C74" w:rsidR="00B67FCE" w:rsidRPr="00781112" w:rsidRDefault="00B67FCE" w:rsidP="00AD5583">
            <w:pPr>
              <w:jc w:val="center"/>
              <w:rPr>
                <w:b/>
                <w:color w:val="000000" w:themeColor="text1"/>
              </w:rPr>
            </w:pPr>
            <w:r w:rsidRPr="00781112">
              <w:rPr>
                <w:rFonts w:cs="Arial"/>
                <w:b/>
                <w:color w:val="000000" w:themeColor="text1"/>
                <w:szCs w:val="16"/>
              </w:rPr>
              <w:t>2023</w:t>
            </w:r>
          </w:p>
        </w:tc>
        <w:tc>
          <w:tcPr>
            <w:tcW w:w="1188" w:type="pct"/>
          </w:tcPr>
          <w:p w14:paraId="676B8DF3" w14:textId="1749272A" w:rsidR="00B67FCE" w:rsidRPr="00781112" w:rsidRDefault="00B67FCE" w:rsidP="00AD5583">
            <w:pPr>
              <w:jc w:val="center"/>
              <w:rPr>
                <w:b/>
                <w:color w:val="000000" w:themeColor="text1"/>
              </w:rPr>
            </w:pPr>
            <w:r w:rsidRPr="00781112">
              <w:rPr>
                <w:rFonts w:cs="Arial"/>
                <w:b/>
                <w:color w:val="000000" w:themeColor="text1"/>
                <w:szCs w:val="16"/>
              </w:rPr>
              <w:t>2024</w:t>
            </w:r>
          </w:p>
        </w:tc>
        <w:tc>
          <w:tcPr>
            <w:tcW w:w="1188" w:type="pct"/>
          </w:tcPr>
          <w:p w14:paraId="2431A20F" w14:textId="6C70327F" w:rsidR="00B67FCE" w:rsidRPr="00781112" w:rsidRDefault="00B67FCE" w:rsidP="00AD5583">
            <w:pPr>
              <w:jc w:val="center"/>
              <w:rPr>
                <w:b/>
                <w:color w:val="000000" w:themeColor="text1"/>
              </w:rPr>
            </w:pPr>
            <w:r w:rsidRPr="00781112">
              <w:rPr>
                <w:rFonts w:cs="Arial"/>
                <w:b/>
                <w:color w:val="000000" w:themeColor="text1"/>
                <w:szCs w:val="16"/>
              </w:rPr>
              <w:t>2025</w:t>
            </w:r>
          </w:p>
        </w:tc>
      </w:tr>
      <w:tr w:rsidR="00B67FCE" w:rsidRPr="00781112" w14:paraId="48E9BF63" w14:textId="16949127" w:rsidTr="00845B9B">
        <w:trPr>
          <w:trHeight w:val="313"/>
        </w:trPr>
        <w:tc>
          <w:tcPr>
            <w:tcW w:w="327" w:type="pct"/>
            <w:shd w:val="clear" w:color="auto" w:fill="auto"/>
            <w:vAlign w:val="center"/>
          </w:tcPr>
          <w:p w14:paraId="3001E3D6" w14:textId="6C45C234" w:rsidR="00B67FCE" w:rsidRPr="00781112" w:rsidRDefault="00B67FCE" w:rsidP="00BA3DBE">
            <w:pPr>
              <w:jc w:val="center"/>
              <w:rPr>
                <w:rFonts w:cs="Arial"/>
                <w:color w:val="000000" w:themeColor="text1"/>
                <w:szCs w:val="16"/>
              </w:rPr>
            </w:pPr>
            <w:r w:rsidRPr="00781112">
              <w:rPr>
                <w:rFonts w:cs="Arial"/>
                <w:color w:val="000000" w:themeColor="text1"/>
                <w:szCs w:val="16"/>
              </w:rPr>
              <w:t>Target</w:t>
            </w:r>
          </w:p>
        </w:tc>
        <w:tc>
          <w:tcPr>
            <w:tcW w:w="1110" w:type="pct"/>
            <w:shd w:val="clear" w:color="auto" w:fill="auto"/>
            <w:vAlign w:val="center"/>
          </w:tcPr>
          <w:p w14:paraId="538E5325" w14:textId="0C17771E" w:rsidR="00B67FCE" w:rsidRPr="00781112" w:rsidRDefault="00B67FCE" w:rsidP="00AD5583">
            <w:pPr>
              <w:jc w:val="center"/>
              <w:rPr>
                <w:rFonts w:cs="Arial"/>
                <w:color w:val="000000" w:themeColor="text1"/>
                <w:szCs w:val="16"/>
              </w:rPr>
            </w:pPr>
            <w:r w:rsidRPr="00781112">
              <w:rPr>
                <w:rFonts w:cs="Arial"/>
                <w:color w:val="000000" w:themeColor="text1"/>
                <w:szCs w:val="16"/>
              </w:rPr>
              <w:t>0%</w:t>
            </w:r>
          </w:p>
        </w:tc>
        <w:tc>
          <w:tcPr>
            <w:tcW w:w="1188" w:type="pct"/>
          </w:tcPr>
          <w:p w14:paraId="5C91471A" w14:textId="351E6F13" w:rsidR="00B67FCE" w:rsidRPr="00781112" w:rsidRDefault="00B67FCE" w:rsidP="00AD5583">
            <w:pPr>
              <w:jc w:val="center"/>
              <w:rPr>
                <w:rFonts w:cs="Arial"/>
                <w:color w:val="000000" w:themeColor="text1"/>
                <w:szCs w:val="16"/>
              </w:rPr>
            </w:pPr>
            <w:r w:rsidRPr="00781112">
              <w:rPr>
                <w:color w:val="000000" w:themeColor="text1"/>
                <w:szCs w:val="16"/>
              </w:rPr>
              <w:t>0%</w:t>
            </w:r>
          </w:p>
        </w:tc>
        <w:tc>
          <w:tcPr>
            <w:tcW w:w="1188" w:type="pct"/>
          </w:tcPr>
          <w:p w14:paraId="4C61AAA7" w14:textId="75046312" w:rsidR="00B67FCE" w:rsidRPr="00781112" w:rsidRDefault="00B67FCE" w:rsidP="00AD5583">
            <w:pPr>
              <w:jc w:val="center"/>
              <w:rPr>
                <w:rFonts w:cs="Arial"/>
                <w:color w:val="000000" w:themeColor="text1"/>
                <w:szCs w:val="16"/>
              </w:rPr>
            </w:pPr>
            <w:r w:rsidRPr="00781112">
              <w:rPr>
                <w:color w:val="000000" w:themeColor="text1"/>
                <w:szCs w:val="16"/>
              </w:rPr>
              <w:t>0%</w:t>
            </w:r>
          </w:p>
        </w:tc>
        <w:tc>
          <w:tcPr>
            <w:tcW w:w="1188" w:type="pct"/>
          </w:tcPr>
          <w:p w14:paraId="59DCAC52" w14:textId="3AB87F0D" w:rsidR="00B67FCE" w:rsidRPr="00781112" w:rsidRDefault="00B67FCE" w:rsidP="00AD5583">
            <w:pPr>
              <w:jc w:val="center"/>
              <w:rPr>
                <w:rFonts w:cs="Arial"/>
                <w:color w:val="000000" w:themeColor="text1"/>
                <w:szCs w:val="16"/>
              </w:rPr>
            </w:pPr>
            <w:r w:rsidRPr="00781112">
              <w:rPr>
                <w:color w:val="000000" w:themeColor="text1"/>
                <w:szCs w:val="16"/>
              </w:rPr>
              <w:t>0%</w:t>
            </w:r>
          </w:p>
        </w:tc>
      </w:tr>
    </w:tbl>
    <w:bookmarkEnd w:id="62"/>
    <w:bookmarkEnd w:id="63"/>
    <w:p w14:paraId="77101B89" w14:textId="6F213008" w:rsidR="00D03701" w:rsidRPr="00781112" w:rsidRDefault="0047313F">
      <w:pPr>
        <w:rPr>
          <w:b/>
          <w:color w:val="000000" w:themeColor="text1"/>
        </w:rPr>
      </w:pPr>
      <w:r>
        <w:rPr>
          <w:b/>
          <w:color w:val="000000" w:themeColor="text1"/>
        </w:rPr>
        <w:t>FFY 2022 SPP/APR Data</w:t>
      </w:r>
    </w:p>
    <w:p w14:paraId="5771AAAE" w14:textId="3421DD27" w:rsidR="003E7FC1" w:rsidRPr="00781112" w:rsidRDefault="003E7FC1">
      <w:pPr>
        <w:rPr>
          <w:rFonts w:cs="Arial"/>
          <w:b/>
          <w:color w:val="000000" w:themeColor="text1"/>
          <w:szCs w:val="16"/>
        </w:rPr>
      </w:pPr>
      <w:r w:rsidRPr="00781112">
        <w:rPr>
          <w:rFonts w:cs="Arial"/>
          <w:b/>
          <w:color w:val="000000" w:themeColor="text1"/>
          <w:szCs w:val="16"/>
        </w:rPr>
        <w:t>Has the state established a minimum n and/or cell size requirement? (yes/no)</w:t>
      </w:r>
    </w:p>
    <w:p w14:paraId="122DE20F" w14:textId="4373CB68" w:rsidR="003E7FC1" w:rsidRPr="00781112" w:rsidRDefault="003E7FC1">
      <w:pPr>
        <w:rPr>
          <w:rFonts w:cs="Arial"/>
          <w:color w:val="000000" w:themeColor="text1"/>
          <w:szCs w:val="16"/>
        </w:rPr>
      </w:pPr>
      <w:r w:rsidRPr="00781112">
        <w:rPr>
          <w:rFonts w:cs="Arial"/>
          <w:color w:val="000000" w:themeColor="text1"/>
          <w:szCs w:val="16"/>
        </w:rPr>
        <w:t>YES</w:t>
      </w:r>
    </w:p>
    <w:p w14:paraId="76B8CAF9" w14:textId="53FE4658" w:rsidR="003E7FC1" w:rsidRPr="00781112" w:rsidRDefault="003E7FC1">
      <w:pPr>
        <w:rPr>
          <w:rFonts w:cs="Arial"/>
          <w:b/>
          <w:color w:val="000000" w:themeColor="text1"/>
          <w:szCs w:val="16"/>
        </w:rPr>
      </w:pPr>
      <w:r w:rsidRPr="00781112">
        <w:rPr>
          <w:rFonts w:cs="Arial"/>
          <w:b/>
          <w:color w:val="000000" w:themeColor="text1"/>
          <w:szCs w:val="16"/>
        </w:rPr>
        <w:t>If yes, the State may only include, in both the numerator and the denominator, districts that met the State-established n and/or cell size. Report the number of districts excluded from the calculation as a result of the requirement.</w:t>
      </w:r>
    </w:p>
    <w:p w14:paraId="62270301" w14:textId="20B3D538" w:rsidR="003E7FC1" w:rsidRPr="00781112" w:rsidRDefault="003E7FC1" w:rsidP="004369B2">
      <w:pPr>
        <w:rPr>
          <w:rFonts w:cs="Arial"/>
          <w:color w:val="000000" w:themeColor="text1"/>
          <w:szCs w:val="16"/>
        </w:rPr>
      </w:pPr>
      <w:r w:rsidRPr="00781112">
        <w:rPr>
          <w:rFonts w:cs="Arial"/>
          <w:color w:val="000000" w:themeColor="text1"/>
          <w:szCs w:val="16"/>
        </w:rPr>
        <w:t>20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9CFFYAPRDATA"/>
      </w:tblPr>
      <w:tblGrid>
        <w:gridCol w:w="1407"/>
        <w:gridCol w:w="1258"/>
        <w:gridCol w:w="1760"/>
        <w:gridCol w:w="1131"/>
        <w:gridCol w:w="1680"/>
        <w:gridCol w:w="1021"/>
        <w:gridCol w:w="1287"/>
        <w:gridCol w:w="1246"/>
      </w:tblGrid>
      <w:tr w:rsidR="00206A65" w:rsidRPr="00781112" w14:paraId="53F272CD" w14:textId="23013B7B" w:rsidTr="002B4D97">
        <w:trPr>
          <w:trHeight w:val="354"/>
          <w:jc w:val="center"/>
        </w:trPr>
        <w:tc>
          <w:tcPr>
            <w:tcW w:w="652" w:type="pct"/>
            <w:shd w:val="clear" w:color="auto" w:fill="auto"/>
            <w:vAlign w:val="bottom"/>
          </w:tcPr>
          <w:p w14:paraId="18E013DB" w14:textId="1E730C58" w:rsidR="00206A65" w:rsidRPr="00781112" w:rsidRDefault="00206A65" w:rsidP="00206A65">
            <w:pPr>
              <w:jc w:val="center"/>
              <w:rPr>
                <w:b/>
                <w:color w:val="000000" w:themeColor="text1"/>
              </w:rPr>
            </w:pPr>
            <w:r w:rsidRPr="00781112">
              <w:rPr>
                <w:b/>
                <w:color w:val="000000" w:themeColor="text1"/>
              </w:rPr>
              <w:t>Number of districts with disproportionate representation of racial/ethnic groups in special education and related services</w:t>
            </w:r>
          </w:p>
        </w:tc>
        <w:tc>
          <w:tcPr>
            <w:tcW w:w="583" w:type="pct"/>
            <w:shd w:val="clear" w:color="auto" w:fill="auto"/>
            <w:vAlign w:val="bottom"/>
          </w:tcPr>
          <w:p w14:paraId="67667553" w14:textId="3EAD48D0" w:rsidR="00206A65" w:rsidRPr="00781112" w:rsidRDefault="00206A65" w:rsidP="00206A65">
            <w:pPr>
              <w:jc w:val="center"/>
              <w:rPr>
                <w:b/>
                <w:color w:val="000000" w:themeColor="text1"/>
              </w:rPr>
            </w:pPr>
            <w:r w:rsidRPr="00781112">
              <w:rPr>
                <w:b/>
                <w:color w:val="000000" w:themeColor="text1"/>
              </w:rPr>
              <w:t>Number of districts with disproportionate representation of racial/ethnic groups in special education and related services that is the result of inappropriate identification</w:t>
            </w:r>
          </w:p>
        </w:tc>
        <w:tc>
          <w:tcPr>
            <w:tcW w:w="816" w:type="pct"/>
            <w:shd w:val="clear" w:color="auto" w:fill="auto"/>
            <w:vAlign w:val="bottom"/>
          </w:tcPr>
          <w:p w14:paraId="33AFFA6F" w14:textId="7F185165" w:rsidR="00206A65" w:rsidRPr="00781112" w:rsidRDefault="00206A65" w:rsidP="00206A65">
            <w:pPr>
              <w:jc w:val="center"/>
              <w:rPr>
                <w:b/>
                <w:color w:val="000000" w:themeColor="text1"/>
              </w:rPr>
            </w:pPr>
            <w:r w:rsidRPr="00781112">
              <w:rPr>
                <w:b/>
                <w:color w:val="000000" w:themeColor="text1"/>
              </w:rPr>
              <w:t>Number of districts that met the State's minimum n and/or cell size</w:t>
            </w:r>
          </w:p>
        </w:tc>
        <w:tc>
          <w:tcPr>
            <w:tcW w:w="524" w:type="pct"/>
            <w:shd w:val="clear" w:color="auto" w:fill="auto"/>
            <w:vAlign w:val="bottom"/>
          </w:tcPr>
          <w:p w14:paraId="600C49E0" w14:textId="673C95C5" w:rsidR="00206A65" w:rsidRPr="00CC1061" w:rsidRDefault="00206A65" w:rsidP="00206A65">
            <w:pPr>
              <w:jc w:val="center"/>
              <w:rPr>
                <w:b/>
                <w:bCs/>
                <w:color w:val="000000" w:themeColor="text1"/>
              </w:rPr>
            </w:pPr>
            <w:r w:rsidRPr="00CC1061">
              <w:rPr>
                <w:b/>
                <w:bCs/>
              </w:rPr>
              <w:t>FFY 2021 Data</w:t>
            </w:r>
          </w:p>
        </w:tc>
        <w:tc>
          <w:tcPr>
            <w:tcW w:w="778" w:type="pct"/>
            <w:shd w:val="clear" w:color="auto" w:fill="auto"/>
            <w:vAlign w:val="bottom"/>
          </w:tcPr>
          <w:p w14:paraId="1B6D5875" w14:textId="1A4A91F1" w:rsidR="00206A65" w:rsidRPr="00CC1061" w:rsidRDefault="00206A65" w:rsidP="00206A65">
            <w:pPr>
              <w:jc w:val="center"/>
              <w:rPr>
                <w:b/>
                <w:bCs/>
                <w:color w:val="000000" w:themeColor="text1"/>
              </w:rPr>
            </w:pPr>
            <w:r w:rsidRPr="00CC1061">
              <w:rPr>
                <w:b/>
                <w:bCs/>
              </w:rPr>
              <w:t>FFY 2022 Target</w:t>
            </w:r>
          </w:p>
        </w:tc>
        <w:tc>
          <w:tcPr>
            <w:tcW w:w="473" w:type="pct"/>
            <w:shd w:val="clear" w:color="auto" w:fill="auto"/>
            <w:vAlign w:val="bottom"/>
          </w:tcPr>
          <w:p w14:paraId="33B20FA6" w14:textId="39CD8931" w:rsidR="00206A65" w:rsidRPr="00CC1061" w:rsidRDefault="00206A65" w:rsidP="00206A65">
            <w:pPr>
              <w:jc w:val="center"/>
              <w:rPr>
                <w:b/>
                <w:bCs/>
                <w:color w:val="000000" w:themeColor="text1"/>
              </w:rPr>
            </w:pPr>
            <w:r w:rsidRPr="00CC1061">
              <w:rPr>
                <w:b/>
                <w:bCs/>
              </w:rPr>
              <w:t>FFY 2022 Data</w:t>
            </w:r>
          </w:p>
        </w:tc>
        <w:tc>
          <w:tcPr>
            <w:tcW w:w="596" w:type="pct"/>
            <w:shd w:val="clear" w:color="auto" w:fill="auto"/>
            <w:vAlign w:val="bottom"/>
          </w:tcPr>
          <w:p w14:paraId="7561FBFF" w14:textId="5BCCF9DB" w:rsidR="00206A65" w:rsidRPr="00781112" w:rsidRDefault="00206A65" w:rsidP="00206A65">
            <w:pPr>
              <w:jc w:val="center"/>
              <w:rPr>
                <w:b/>
                <w:color w:val="000000" w:themeColor="text1"/>
              </w:rPr>
            </w:pPr>
            <w:r w:rsidRPr="00781112">
              <w:rPr>
                <w:b/>
                <w:color w:val="000000" w:themeColor="text1"/>
              </w:rPr>
              <w:t>Status</w:t>
            </w:r>
          </w:p>
        </w:tc>
        <w:tc>
          <w:tcPr>
            <w:tcW w:w="577" w:type="pct"/>
            <w:shd w:val="clear" w:color="auto" w:fill="auto"/>
            <w:vAlign w:val="bottom"/>
          </w:tcPr>
          <w:p w14:paraId="0153B20F" w14:textId="69571E1B" w:rsidR="00206A65" w:rsidRPr="00781112" w:rsidRDefault="00206A65" w:rsidP="00206A65">
            <w:pPr>
              <w:jc w:val="center"/>
              <w:rPr>
                <w:b/>
                <w:color w:val="000000" w:themeColor="text1"/>
              </w:rPr>
            </w:pPr>
            <w:r w:rsidRPr="00781112">
              <w:rPr>
                <w:b/>
                <w:color w:val="000000" w:themeColor="text1"/>
              </w:rPr>
              <w:t>Slippage</w:t>
            </w:r>
          </w:p>
        </w:tc>
      </w:tr>
      <w:tr w:rsidR="005C29F8" w:rsidRPr="00781112" w14:paraId="57CF8532" w14:textId="02E28ACC" w:rsidTr="002B4D97">
        <w:trPr>
          <w:trHeight w:val="361"/>
          <w:jc w:val="center"/>
        </w:trPr>
        <w:tc>
          <w:tcPr>
            <w:tcW w:w="652" w:type="pct"/>
            <w:shd w:val="clear" w:color="auto" w:fill="auto"/>
            <w:vAlign w:val="center"/>
          </w:tcPr>
          <w:p w14:paraId="172AFDD0" w14:textId="0A73037E" w:rsidR="004B2A77" w:rsidRPr="00781112" w:rsidRDefault="004B2A77" w:rsidP="00A018D4">
            <w:pPr>
              <w:jc w:val="center"/>
              <w:rPr>
                <w:rFonts w:cs="Arial"/>
                <w:color w:val="000000" w:themeColor="text1"/>
                <w:szCs w:val="16"/>
              </w:rPr>
            </w:pPr>
            <w:r w:rsidRPr="00781112">
              <w:rPr>
                <w:rFonts w:cs="Arial"/>
                <w:color w:val="000000" w:themeColor="text1"/>
                <w:szCs w:val="16"/>
              </w:rPr>
              <w:t>0</w:t>
            </w:r>
          </w:p>
        </w:tc>
        <w:tc>
          <w:tcPr>
            <w:tcW w:w="583" w:type="pct"/>
            <w:shd w:val="clear" w:color="auto" w:fill="auto"/>
            <w:vAlign w:val="center"/>
          </w:tcPr>
          <w:p w14:paraId="6757D825" w14:textId="1A92A410" w:rsidR="004B2A77" w:rsidRPr="00781112" w:rsidRDefault="004B2A77" w:rsidP="00A018D4">
            <w:pPr>
              <w:jc w:val="center"/>
              <w:rPr>
                <w:rFonts w:cs="Arial"/>
                <w:color w:val="000000" w:themeColor="text1"/>
                <w:szCs w:val="16"/>
              </w:rPr>
            </w:pPr>
            <w:r w:rsidRPr="00781112">
              <w:rPr>
                <w:rFonts w:cs="Arial"/>
                <w:color w:val="000000" w:themeColor="text1"/>
                <w:szCs w:val="16"/>
              </w:rPr>
              <w:t>0</w:t>
            </w:r>
          </w:p>
        </w:tc>
        <w:tc>
          <w:tcPr>
            <w:tcW w:w="816" w:type="pct"/>
            <w:shd w:val="clear" w:color="auto" w:fill="auto"/>
          </w:tcPr>
          <w:p w14:paraId="5A5C0509" w14:textId="06ACAFFD" w:rsidR="004B2A77" w:rsidRPr="00781112" w:rsidRDefault="004B2A77" w:rsidP="00A018D4">
            <w:pPr>
              <w:jc w:val="center"/>
              <w:rPr>
                <w:rFonts w:cs="Arial"/>
                <w:color w:val="000000" w:themeColor="text1"/>
                <w:szCs w:val="16"/>
              </w:rPr>
            </w:pPr>
            <w:r w:rsidRPr="00781112">
              <w:rPr>
                <w:rFonts w:cs="Arial"/>
                <w:color w:val="000000" w:themeColor="text1"/>
                <w:szCs w:val="16"/>
              </w:rPr>
              <w:t>132</w:t>
            </w:r>
          </w:p>
        </w:tc>
        <w:tc>
          <w:tcPr>
            <w:tcW w:w="524" w:type="pct"/>
            <w:shd w:val="clear" w:color="auto" w:fill="auto"/>
          </w:tcPr>
          <w:p w14:paraId="5124C23D" w14:textId="44EC7AED" w:rsidR="004B2A77" w:rsidRPr="00781112" w:rsidRDefault="004B2A77" w:rsidP="00A018D4">
            <w:pPr>
              <w:jc w:val="center"/>
              <w:rPr>
                <w:rFonts w:cs="Arial"/>
                <w:color w:val="000000" w:themeColor="text1"/>
                <w:szCs w:val="16"/>
              </w:rPr>
            </w:pPr>
            <w:r w:rsidRPr="00781112">
              <w:rPr>
                <w:rFonts w:cs="Arial"/>
                <w:color w:val="000000" w:themeColor="text1"/>
                <w:szCs w:val="16"/>
              </w:rPr>
              <w:t>0.00%</w:t>
            </w:r>
          </w:p>
        </w:tc>
        <w:tc>
          <w:tcPr>
            <w:tcW w:w="778" w:type="pct"/>
            <w:shd w:val="clear" w:color="auto" w:fill="auto"/>
          </w:tcPr>
          <w:p w14:paraId="60374E05" w14:textId="3E7E167C" w:rsidR="004B2A77" w:rsidRPr="00781112" w:rsidRDefault="009C65E9" w:rsidP="00A018D4">
            <w:pPr>
              <w:jc w:val="center"/>
              <w:rPr>
                <w:rFonts w:cs="Arial"/>
                <w:color w:val="000000" w:themeColor="text1"/>
                <w:szCs w:val="16"/>
              </w:rPr>
            </w:pPr>
            <w:r w:rsidRPr="00781112">
              <w:rPr>
                <w:rFonts w:cs="Arial"/>
                <w:color w:val="000000" w:themeColor="text1"/>
                <w:szCs w:val="16"/>
              </w:rPr>
              <w:t>0%</w:t>
            </w:r>
          </w:p>
        </w:tc>
        <w:tc>
          <w:tcPr>
            <w:tcW w:w="473" w:type="pct"/>
            <w:shd w:val="clear" w:color="auto" w:fill="auto"/>
          </w:tcPr>
          <w:p w14:paraId="4C77CACE" w14:textId="610C95DA" w:rsidR="004B2A77" w:rsidRPr="00781112" w:rsidRDefault="004B2A77" w:rsidP="00A018D4">
            <w:pPr>
              <w:jc w:val="center"/>
              <w:rPr>
                <w:rFonts w:cs="Arial"/>
                <w:color w:val="000000" w:themeColor="text1"/>
                <w:szCs w:val="16"/>
              </w:rPr>
            </w:pPr>
            <w:r w:rsidRPr="00781112">
              <w:rPr>
                <w:rFonts w:cs="Arial"/>
                <w:color w:val="000000" w:themeColor="text1"/>
                <w:szCs w:val="16"/>
              </w:rPr>
              <w:t>0.00%</w:t>
            </w:r>
          </w:p>
        </w:tc>
        <w:tc>
          <w:tcPr>
            <w:tcW w:w="596" w:type="pct"/>
            <w:shd w:val="clear" w:color="auto" w:fill="auto"/>
          </w:tcPr>
          <w:p w14:paraId="58A781DA" w14:textId="678D3288" w:rsidR="004B2A77" w:rsidRPr="00781112" w:rsidRDefault="004B2A77" w:rsidP="00A018D4">
            <w:pPr>
              <w:jc w:val="center"/>
              <w:rPr>
                <w:rFonts w:cs="Arial"/>
                <w:color w:val="000000" w:themeColor="text1"/>
                <w:szCs w:val="16"/>
              </w:rPr>
            </w:pPr>
            <w:r w:rsidRPr="00781112">
              <w:rPr>
                <w:rFonts w:cs="Arial"/>
                <w:color w:val="000000" w:themeColor="text1"/>
                <w:szCs w:val="16"/>
              </w:rPr>
              <w:t>Met target</w:t>
            </w:r>
          </w:p>
        </w:tc>
        <w:tc>
          <w:tcPr>
            <w:tcW w:w="577" w:type="pct"/>
            <w:shd w:val="clear" w:color="auto" w:fill="auto"/>
          </w:tcPr>
          <w:p w14:paraId="47F36111" w14:textId="3F2C8DFF" w:rsidR="004B2A77" w:rsidRPr="00781112" w:rsidRDefault="004B2A77" w:rsidP="00A018D4">
            <w:pPr>
              <w:jc w:val="center"/>
              <w:rPr>
                <w:rFonts w:cs="Arial"/>
                <w:color w:val="000000" w:themeColor="text1"/>
                <w:szCs w:val="16"/>
              </w:rPr>
            </w:pPr>
            <w:r w:rsidRPr="00781112">
              <w:rPr>
                <w:rFonts w:cs="Arial"/>
                <w:color w:val="000000" w:themeColor="text1"/>
                <w:szCs w:val="16"/>
              </w:rPr>
              <w:t>No Slippage</w:t>
            </w:r>
          </w:p>
        </w:tc>
      </w:tr>
    </w:tbl>
    <w:p w14:paraId="220899ED" w14:textId="09CDAC50" w:rsidR="003E7FC1" w:rsidRPr="00781112" w:rsidRDefault="00955FDB" w:rsidP="007D435F">
      <w:pPr>
        <w:rPr>
          <w:rFonts w:cs="Arial"/>
          <w:b/>
          <w:color w:val="000000" w:themeColor="text1"/>
          <w:szCs w:val="16"/>
        </w:rPr>
      </w:pPr>
      <w:r w:rsidRPr="00781112">
        <w:rPr>
          <w:rFonts w:cs="Arial"/>
          <w:b/>
          <w:color w:val="000000" w:themeColor="text1"/>
          <w:szCs w:val="16"/>
        </w:rPr>
        <w:t xml:space="preserve">Were all races and ethnicities included in the review? </w:t>
      </w:r>
    </w:p>
    <w:p w14:paraId="64B5C6B5" w14:textId="17D64090" w:rsidR="003E7FC1" w:rsidRPr="00781112" w:rsidRDefault="003E7FC1" w:rsidP="007D435F">
      <w:pPr>
        <w:rPr>
          <w:rFonts w:cs="Arial"/>
          <w:color w:val="000000" w:themeColor="text1"/>
          <w:szCs w:val="16"/>
        </w:rPr>
      </w:pPr>
      <w:r w:rsidRPr="00781112">
        <w:rPr>
          <w:rFonts w:cs="Arial"/>
          <w:color w:val="000000" w:themeColor="text1"/>
          <w:szCs w:val="16"/>
        </w:rPr>
        <w:t>YES</w:t>
      </w:r>
    </w:p>
    <w:p w14:paraId="6A959542" w14:textId="25AC6B55" w:rsidR="00030B45" w:rsidRPr="00781112" w:rsidRDefault="000F256B" w:rsidP="004369B2">
      <w:pPr>
        <w:rPr>
          <w:b/>
          <w:color w:val="000000" w:themeColor="text1"/>
        </w:rPr>
      </w:pPr>
      <w:r w:rsidRPr="00781112">
        <w:rPr>
          <w:b/>
          <w:color w:val="000000" w:themeColor="text1"/>
        </w:rPr>
        <w:t xml:space="preserve">Define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 </w:t>
      </w:r>
    </w:p>
    <w:p w14:paraId="6885C863" w14:textId="66F69B19" w:rsidR="009B37A2" w:rsidRPr="00781112" w:rsidRDefault="002B7490" w:rsidP="00CE1CE8">
      <w:pPr>
        <w:rPr>
          <w:rFonts w:cs="Arial"/>
          <w:color w:val="000000" w:themeColor="text1"/>
          <w:szCs w:val="16"/>
        </w:rPr>
      </w:pPr>
      <w:bookmarkStart w:id="64" w:name="_Hlk494459610"/>
      <w:r w:rsidRPr="00781112">
        <w:rPr>
          <w:rFonts w:cs="Arial"/>
          <w:color w:val="000000" w:themeColor="text1"/>
          <w:szCs w:val="16"/>
        </w:rPr>
        <w:t>Disproportionate representation defined:</w:t>
        <w:br/>
        <w:t>1. Calculation method: Risk Ratio and Alternate Risk Ratio</w:t>
        <w:br/>
        <w:t>2. Threshold at which disproportionate representation is identified: Risk Ratio (RR) and Alternate Risk Ratio (ARR) of 3.0 or above (over-representation) for students ages 5 in Kindergarten – 21</w:t>
        <w:br/>
        <w:t>3. Number of years of data used in calculation: One year</w:t>
        <w:br/>
        <w:t>4. Minimum cell size: Greater than 10 students or more in a particular race/ethnicity category</w:t>
        <w:br/>
        <w:t/>
        <w:br/>
        <w:t>Methodology</w:t>
        <w:br/>
        <w:t>For an LEA to be identified as having disproportionate representation in special education and related services of racial and ethnic groups, that was the result of inappropriate identification, the following criteria must be met:</w:t>
        <w:br/>
        <w:t xml:space="preserve">• Have an N size of greater than 10 students, or more, in the racial and ethnic groups; and </w:t>
        <w:br/>
        <w:t>• Risk Ratio (RR) and Alternate Risk Ratio (ARR) of 3.0 or above (over-representation) for students ages 5 in Kindergarten – 21; and</w:t>
        <w:br/>
        <w:t>• Policies, procedures, and/or practices which contributed to the disproportionate representation.</w:t>
        <w:br/>
        <w:t>• One year of data is used in the calculation.</w:t>
      </w:r>
    </w:p>
    <w:bookmarkEnd w:id="64"/>
    <w:p w14:paraId="7574A63E" w14:textId="34AB5613" w:rsidR="000F256B" w:rsidRPr="00781112" w:rsidRDefault="000F256B" w:rsidP="004369B2">
      <w:pPr>
        <w:rPr>
          <w:b/>
          <w:color w:val="000000" w:themeColor="text1"/>
        </w:rPr>
      </w:pPr>
      <w:r w:rsidRPr="00781112">
        <w:rPr>
          <w:b/>
          <w:color w:val="000000" w:themeColor="text1"/>
        </w:rPr>
        <w:t>Describe how the State made its annual determination as to whether the disproportionate representation it identified of racial and ethnic groups in special education and related services was the result of inappropriate identification.</w:t>
      </w:r>
    </w:p>
    <w:p w14:paraId="43771B17" w14:textId="1EE1B86A" w:rsidR="009B37A2" w:rsidRPr="00781112" w:rsidRDefault="002B7490" w:rsidP="003817C0">
      <w:pPr>
        <w:rPr>
          <w:rFonts w:cs="Arial"/>
          <w:color w:val="000000" w:themeColor="text1"/>
          <w:szCs w:val="16"/>
        </w:rPr>
      </w:pPr>
      <w:r w:rsidRPr="00781112">
        <w:rPr>
          <w:rFonts w:cs="Arial"/>
          <w:color w:val="000000" w:themeColor="text1"/>
          <w:szCs w:val="16"/>
        </w:rPr>
        <w:t xml:space="preserve">In FFY 2022, no LEAs were identified as demonstrating possible disproportionate representation in special education and related services by racial and ethnic groups. If an LEA(s) were identified by meeting the criteria described in the methodology section above, the LEA(s) would be notified in writing of the disproportionate representation and be required to complete the Indicator 9 Self-Assessment Protocol. The purpose of the self-assessment is to identify if the LEA(s) has deficient policies, procedures, and practices. The State would examine the self-assessment to determine if the policies, procedures, and practices are deficient and contributed to the inappropriate identification.  Upon conclusion of this process, the State determines whether the disproportionate representation was the result of inappropriate identification. </w:t>
      </w:r>
    </w:p>
    <w:p w14:paraId="3B71A72A" w14:textId="77777777" w:rsidR="00DF1529" w:rsidRPr="00781112" w:rsidRDefault="00DF1529" w:rsidP="00DF1529">
      <w:pPr>
        <w:rPr>
          <w:rFonts w:cs="Arial"/>
          <w:b/>
          <w:color w:val="000000" w:themeColor="text1"/>
          <w:szCs w:val="16"/>
        </w:rPr>
      </w:pPr>
      <w:bookmarkStart w:id="65" w:name="_Toc381956337"/>
      <w:bookmarkStart w:id="66" w:name="_Toc384383347"/>
      <w:bookmarkStart w:id="67" w:name="_Toc392159315"/>
      <w:r w:rsidRPr="00781112">
        <w:rPr>
          <w:rFonts w:cs="Arial"/>
          <w:b/>
          <w:color w:val="000000" w:themeColor="text1"/>
          <w:szCs w:val="16"/>
        </w:rPr>
        <w:t>Provide additional information about this indicator (optional)</w:t>
      </w:r>
    </w:p>
    <w:p w14:paraId="0CC85C5C" w14:textId="196142DC" w:rsidR="009B37A2" w:rsidRPr="00781112" w:rsidRDefault="002B7490" w:rsidP="007D435F">
      <w:pPr>
        <w:rPr>
          <w:rFonts w:cs="Arial"/>
          <w:color w:val="000000" w:themeColor="text1"/>
          <w:szCs w:val="16"/>
        </w:rPr>
      </w:pPr>
      <w:r w:rsidRPr="00781112">
        <w:rPr>
          <w:rFonts w:cs="Arial"/>
          <w:color w:val="000000" w:themeColor="text1"/>
          <w:szCs w:val="16"/>
        </w:rPr>
        <w:t>The State is currently in the process of examining the methodology and definition for disproportionate representation to ensure it is reasonably designed. State staff are working with staff from the IDEA Data Center (IDC) with this process. Any changes made will be completed in collaboration with stakeholders.</w:t>
      </w:r>
    </w:p>
    <w:p w14:paraId="1FEDA55E" w14:textId="77777777" w:rsidR="00F14FC6" w:rsidRPr="00781112" w:rsidRDefault="00F14FC6" w:rsidP="004369B2">
      <w:pPr>
        <w:rPr>
          <w:color w:val="000000" w:themeColor="text1"/>
        </w:rPr>
      </w:pPr>
    </w:p>
    <w:p w14:paraId="69DF7E10" w14:textId="1D14F0F3" w:rsidR="009A755E" w:rsidRPr="00781112" w:rsidRDefault="00450F98" w:rsidP="004369B2">
      <w:pPr>
        <w:rPr>
          <w:color w:val="000000" w:themeColor="text1"/>
        </w:rPr>
      </w:pPr>
      <w:r>
        <w:rPr>
          <w:b/>
          <w:color w:val="000000" w:themeColor="text1"/>
        </w:rPr>
        <w:t>Correction of Findings of Noncompliance Identified in FFY 2021</w:t>
      </w:r>
    </w:p>
    <w:tbl>
      <w:tblPr>
        <w:tblStyle w:val="TableGrid"/>
        <w:tblW w:w="5000" w:type="pct"/>
        <w:tblLook w:val="04A0" w:firstRow="1" w:lastRow="0" w:firstColumn="1" w:lastColumn="0" w:noHBand="0" w:noVBand="1"/>
        <w:tblCaption w:val="B09PFFYNCFINDINGS"/>
      </w:tblPr>
      <w:tblGrid>
        <w:gridCol w:w="2649"/>
        <w:gridCol w:w="2779"/>
        <w:gridCol w:w="2656"/>
        <w:gridCol w:w="2706"/>
      </w:tblGrid>
      <w:tr w:rsidR="005C29F8" w:rsidRPr="00781112" w14:paraId="435C2E3A" w14:textId="77777777" w:rsidTr="004671FF">
        <w:trPr>
          <w:trHeight w:val="389"/>
          <w:tblHeader/>
        </w:trPr>
        <w:tc>
          <w:tcPr>
            <w:tcW w:w="1228" w:type="pct"/>
            <w:shd w:val="clear" w:color="auto" w:fill="auto"/>
            <w:vAlign w:val="bottom"/>
          </w:tcPr>
          <w:p w14:paraId="3DF4178F"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5838AA6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10EF23D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413FB053"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764124D7" w14:textId="77777777" w:rsidTr="004671FF">
        <w:tc>
          <w:tcPr>
            <w:tcW w:w="1228" w:type="pct"/>
            <w:shd w:val="clear" w:color="auto" w:fill="auto"/>
          </w:tcPr>
          <w:p w14:paraId="42664B40" w14:textId="26FCEE8E" w:rsidR="009A755E" w:rsidRPr="00781112" w:rsidRDefault="002B7490" w:rsidP="00A018D4">
            <w:pPr>
              <w:jc w:val="center"/>
              <w:rPr>
                <w:rFonts w:cs="Arial"/>
                <w:color w:val="000000" w:themeColor="text1"/>
                <w:szCs w:val="16"/>
              </w:rPr>
            </w:pPr>
            <w:r w:rsidRPr="00781112">
              <w:rPr>
                <w:rFonts w:cs="Arial"/>
                <w:color w:val="000000" w:themeColor="text1"/>
                <w:szCs w:val="16"/>
              </w:rPr>
              <w:t/>
            </w:r>
          </w:p>
        </w:tc>
        <w:tc>
          <w:tcPr>
            <w:tcW w:w="1288" w:type="pct"/>
            <w:shd w:val="clear" w:color="auto" w:fill="auto"/>
          </w:tcPr>
          <w:p w14:paraId="6961AA78" w14:textId="6F435E76" w:rsidR="009A755E" w:rsidRPr="00781112" w:rsidRDefault="002B7490" w:rsidP="00A018D4">
            <w:pPr>
              <w:jc w:val="center"/>
              <w:rPr>
                <w:rFonts w:cs="Arial"/>
                <w:color w:val="000000" w:themeColor="text1"/>
                <w:szCs w:val="16"/>
              </w:rPr>
            </w:pPr>
            <w:r w:rsidRPr="00781112">
              <w:rPr>
                <w:rFonts w:cs="Arial"/>
                <w:color w:val="000000" w:themeColor="text1"/>
                <w:szCs w:val="16"/>
              </w:rPr>
              <w:t/>
            </w:r>
          </w:p>
        </w:tc>
        <w:tc>
          <w:tcPr>
            <w:tcW w:w="1231" w:type="pct"/>
            <w:shd w:val="clear" w:color="auto" w:fill="auto"/>
          </w:tcPr>
          <w:p w14:paraId="62D59DBA" w14:textId="3A100C9A" w:rsidR="009A755E" w:rsidRPr="00781112" w:rsidRDefault="002B7490" w:rsidP="00A018D4">
            <w:pPr>
              <w:jc w:val="center"/>
              <w:rPr>
                <w:rFonts w:cs="Arial"/>
                <w:color w:val="000000" w:themeColor="text1"/>
                <w:szCs w:val="16"/>
              </w:rPr>
            </w:pPr>
            <w:r w:rsidRPr="00781112">
              <w:rPr>
                <w:rFonts w:cs="Arial"/>
                <w:color w:val="000000" w:themeColor="text1"/>
                <w:szCs w:val="16"/>
              </w:rPr>
              <w:t/>
            </w:r>
          </w:p>
        </w:tc>
        <w:tc>
          <w:tcPr>
            <w:tcW w:w="1254" w:type="pct"/>
            <w:shd w:val="clear" w:color="auto" w:fill="auto"/>
          </w:tcPr>
          <w:p w14:paraId="3810C422" w14:textId="3AC4106C" w:rsidR="009A755E" w:rsidRPr="00781112" w:rsidRDefault="002B7490" w:rsidP="00A018D4">
            <w:pPr>
              <w:jc w:val="center"/>
              <w:rPr>
                <w:rFonts w:cs="Arial"/>
                <w:color w:val="000000" w:themeColor="text1"/>
                <w:szCs w:val="16"/>
              </w:rPr>
            </w:pPr>
            <w:r w:rsidRPr="00781112">
              <w:rPr>
                <w:rFonts w:cs="Arial"/>
                <w:color w:val="000000" w:themeColor="text1"/>
                <w:szCs w:val="16"/>
              </w:rPr>
              <w:t/>
            </w:r>
          </w:p>
        </w:tc>
      </w:tr>
    </w:tbl>
    <w:p w14:paraId="47600374" w14:textId="77777777" w:rsidR="00F5391D" w:rsidRPr="00781112" w:rsidRDefault="00F5391D" w:rsidP="004369B2">
      <w:pPr>
        <w:rPr>
          <w:color w:val="000000" w:themeColor="text1"/>
        </w:rPr>
      </w:pPr>
    </w:p>
    <w:p w14:paraId="287CA0E8" w14:textId="46CA5D65" w:rsidR="009A755E" w:rsidRPr="00781112" w:rsidRDefault="00450F98" w:rsidP="004369B2">
      <w:pPr>
        <w:rPr>
          <w:color w:val="000000" w:themeColor="text1"/>
        </w:rPr>
      </w:pPr>
      <w:r>
        <w:rPr>
          <w:b/>
          <w:color w:val="000000" w:themeColor="text1"/>
        </w:rPr>
        <w:t>Correction of Findings of Noncompliance Identified Prior to FFY 2021</w:t>
      </w:r>
    </w:p>
    <w:tbl>
      <w:tblPr>
        <w:tblStyle w:val="TableGrid"/>
        <w:tblW w:w="5000" w:type="pct"/>
        <w:tblLook w:val="04A0" w:firstRow="1" w:lastRow="0" w:firstColumn="1" w:lastColumn="0" w:noHBand="0" w:noVBand="1"/>
        <w:tblCaption w:val="B09PPFFYNCFINDINGS"/>
      </w:tblPr>
      <w:tblGrid>
        <w:gridCol w:w="1890"/>
        <w:gridCol w:w="3131"/>
        <w:gridCol w:w="3123"/>
        <w:gridCol w:w="2646"/>
      </w:tblGrid>
      <w:tr w:rsidR="005C29F8" w:rsidRPr="00781112" w14:paraId="45BB80A1" w14:textId="77777777" w:rsidTr="00052590">
        <w:trPr>
          <w:tblHeader/>
        </w:trPr>
        <w:tc>
          <w:tcPr>
            <w:tcW w:w="876" w:type="pct"/>
            <w:shd w:val="clear" w:color="auto" w:fill="auto"/>
            <w:vAlign w:val="bottom"/>
          </w:tcPr>
          <w:p w14:paraId="5035B654" w14:textId="11C86A56"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451" w:type="pct"/>
            <w:shd w:val="clear" w:color="auto" w:fill="auto"/>
            <w:vAlign w:val="bottom"/>
          </w:tcPr>
          <w:p w14:paraId="37A08A62" w14:textId="5C6DB68B"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2021 APR</w:t>
            </w:r>
          </w:p>
        </w:tc>
        <w:tc>
          <w:tcPr>
            <w:tcW w:w="1447" w:type="pct"/>
            <w:shd w:val="clear" w:color="auto" w:fill="auto"/>
            <w:vAlign w:val="bottom"/>
          </w:tcPr>
          <w:p w14:paraId="24E9B196"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26" w:type="pct"/>
            <w:shd w:val="clear" w:color="auto" w:fill="auto"/>
            <w:vAlign w:val="bottom"/>
          </w:tcPr>
          <w:p w14:paraId="344E951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5988805E" w14:textId="77777777" w:rsidTr="00052590">
        <w:tc>
          <w:tcPr>
            <w:tcW w:w="876" w:type="pct"/>
            <w:shd w:val="clear" w:color="auto" w:fill="auto"/>
          </w:tcPr>
          <w:p w14:paraId="45428D6F" w14:textId="7D4EAEAA" w:rsidR="009A755E" w:rsidRPr="00781112" w:rsidRDefault="002B7490" w:rsidP="00A018D4">
            <w:pPr>
              <w:jc w:val="center"/>
              <w:rPr>
                <w:rFonts w:cs="Arial"/>
                <w:color w:val="000000" w:themeColor="text1"/>
                <w:szCs w:val="16"/>
              </w:rPr>
            </w:pPr>
            <w:r w:rsidRPr="00781112">
              <w:rPr>
                <w:rFonts w:cs="Arial"/>
                <w:color w:val="000000" w:themeColor="text1"/>
                <w:szCs w:val="16"/>
              </w:rPr>
              <w:t/>
            </w:r>
          </w:p>
        </w:tc>
        <w:tc>
          <w:tcPr>
            <w:tcW w:w="1451" w:type="pct"/>
            <w:shd w:val="clear" w:color="auto" w:fill="auto"/>
          </w:tcPr>
          <w:p w14:paraId="2538B936" w14:textId="1E5EBCEA"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447" w:type="pct"/>
            <w:shd w:val="clear" w:color="auto" w:fill="auto"/>
          </w:tcPr>
          <w:p w14:paraId="0C2616F3" w14:textId="51C19A6F"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226" w:type="pct"/>
            <w:shd w:val="clear" w:color="auto" w:fill="auto"/>
          </w:tcPr>
          <w:p w14:paraId="2C4B22F3" w14:textId="328F69BF" w:rsidR="009A755E" w:rsidRPr="00781112" w:rsidRDefault="002B7490">
            <w:pPr>
              <w:jc w:val="center"/>
              <w:rPr>
                <w:rFonts w:cs="Arial"/>
                <w:noProof/>
                <w:color w:val="000000" w:themeColor="text1"/>
                <w:szCs w:val="16"/>
              </w:rPr>
            </w:pPr>
            <w:r w:rsidRPr="00781112">
              <w:rPr>
                <w:rFonts w:cs="Arial"/>
                <w:color w:val="000000" w:themeColor="text1"/>
                <w:szCs w:val="16"/>
              </w:rPr>
              <w:t/>
            </w:r>
          </w:p>
        </w:tc>
      </w:tr>
      <w:tr w:rsidR="005C29F8" w:rsidRPr="00781112" w14:paraId="64C29D12" w14:textId="77777777" w:rsidTr="00052590">
        <w:tc>
          <w:tcPr>
            <w:tcW w:w="876" w:type="pct"/>
            <w:shd w:val="clear" w:color="auto" w:fill="auto"/>
          </w:tcPr>
          <w:p w14:paraId="64B189E9" w14:textId="0AFBAB97" w:rsidR="009A755E" w:rsidRPr="00781112" w:rsidRDefault="002B7490" w:rsidP="00A018D4">
            <w:pPr>
              <w:jc w:val="center"/>
              <w:rPr>
                <w:rFonts w:cs="Arial"/>
                <w:color w:val="000000" w:themeColor="text1"/>
                <w:szCs w:val="16"/>
              </w:rPr>
            </w:pPr>
            <w:r w:rsidRPr="00781112">
              <w:rPr>
                <w:rFonts w:cs="Arial"/>
                <w:color w:val="000000" w:themeColor="text1"/>
                <w:szCs w:val="16"/>
              </w:rPr>
              <w:t/>
            </w:r>
          </w:p>
        </w:tc>
        <w:tc>
          <w:tcPr>
            <w:tcW w:w="1451" w:type="pct"/>
            <w:shd w:val="clear" w:color="auto" w:fill="auto"/>
          </w:tcPr>
          <w:p w14:paraId="0A04A1D7" w14:textId="686FEC4A" w:rsidR="009A755E" w:rsidRPr="00781112" w:rsidRDefault="00591597">
            <w:pPr>
              <w:jc w:val="center"/>
              <w:rPr>
                <w:rFonts w:cs="Arial"/>
                <w:noProof/>
                <w:color w:val="000000" w:themeColor="text1"/>
                <w:szCs w:val="16"/>
              </w:rPr>
            </w:pPr>
            <w:r w:rsidRPr="00781112">
              <w:rPr>
                <w:rFonts w:cs="Arial"/>
                <w:color w:val="000000" w:themeColor="text1"/>
                <w:szCs w:val="16"/>
              </w:rPr>
              <w:t/>
            </w:r>
          </w:p>
        </w:tc>
        <w:tc>
          <w:tcPr>
            <w:tcW w:w="1447" w:type="pct"/>
            <w:shd w:val="clear" w:color="auto" w:fill="auto"/>
          </w:tcPr>
          <w:p w14:paraId="6EC161AF" w14:textId="6E0D3C99" w:rsidR="009A755E" w:rsidRPr="00781112" w:rsidRDefault="00591597">
            <w:pPr>
              <w:jc w:val="center"/>
              <w:rPr>
                <w:rFonts w:cs="Arial"/>
                <w:noProof/>
                <w:color w:val="000000" w:themeColor="text1"/>
                <w:szCs w:val="16"/>
              </w:rPr>
            </w:pPr>
            <w:r w:rsidRPr="00781112">
              <w:rPr>
                <w:rFonts w:cs="Arial"/>
                <w:color w:val="000000" w:themeColor="text1"/>
                <w:szCs w:val="16"/>
              </w:rPr>
              <w:t/>
            </w:r>
          </w:p>
        </w:tc>
        <w:tc>
          <w:tcPr>
            <w:tcW w:w="1226" w:type="pct"/>
            <w:shd w:val="clear" w:color="auto" w:fill="auto"/>
          </w:tcPr>
          <w:p w14:paraId="0BCD79B4" w14:textId="02E3B9EE" w:rsidR="009A755E" w:rsidRPr="00781112" w:rsidRDefault="002B7490">
            <w:pPr>
              <w:jc w:val="center"/>
              <w:rPr>
                <w:rFonts w:cs="Arial"/>
                <w:noProof/>
                <w:color w:val="000000" w:themeColor="text1"/>
                <w:szCs w:val="16"/>
              </w:rPr>
            </w:pPr>
            <w:r w:rsidRPr="00781112">
              <w:rPr>
                <w:rFonts w:cs="Arial"/>
                <w:color w:val="000000" w:themeColor="text1"/>
                <w:szCs w:val="16"/>
              </w:rPr>
              <w:t/>
            </w:r>
          </w:p>
        </w:tc>
      </w:tr>
      <w:tr w:rsidR="005C29F8" w:rsidRPr="00781112" w14:paraId="5DBE1D84" w14:textId="77777777" w:rsidTr="00052590">
        <w:tc>
          <w:tcPr>
            <w:tcW w:w="876" w:type="pct"/>
            <w:shd w:val="clear" w:color="auto" w:fill="auto"/>
          </w:tcPr>
          <w:p w14:paraId="19109B9A" w14:textId="16CEFD65" w:rsidR="009A755E" w:rsidRPr="00781112" w:rsidRDefault="002B7490" w:rsidP="00A018D4">
            <w:pPr>
              <w:jc w:val="center"/>
              <w:rPr>
                <w:rFonts w:cs="Arial"/>
                <w:color w:val="000000" w:themeColor="text1"/>
                <w:szCs w:val="16"/>
              </w:rPr>
            </w:pPr>
            <w:r w:rsidRPr="00781112">
              <w:rPr>
                <w:rFonts w:cs="Arial"/>
                <w:color w:val="000000" w:themeColor="text1"/>
                <w:szCs w:val="16"/>
              </w:rPr>
              <w:t/>
            </w:r>
          </w:p>
        </w:tc>
        <w:tc>
          <w:tcPr>
            <w:tcW w:w="1451" w:type="pct"/>
            <w:shd w:val="clear" w:color="auto" w:fill="auto"/>
          </w:tcPr>
          <w:p w14:paraId="2D2E112D" w14:textId="794C18F8" w:rsidR="009A755E" w:rsidRPr="00781112" w:rsidRDefault="00591597">
            <w:pPr>
              <w:jc w:val="center"/>
              <w:rPr>
                <w:rFonts w:cs="Arial"/>
                <w:noProof/>
                <w:color w:val="000000" w:themeColor="text1"/>
                <w:szCs w:val="16"/>
              </w:rPr>
            </w:pPr>
            <w:r w:rsidRPr="00781112">
              <w:rPr>
                <w:rFonts w:cs="Arial"/>
                <w:color w:val="000000" w:themeColor="text1"/>
                <w:szCs w:val="16"/>
              </w:rPr>
              <w:t/>
            </w:r>
          </w:p>
        </w:tc>
        <w:tc>
          <w:tcPr>
            <w:tcW w:w="1447" w:type="pct"/>
            <w:shd w:val="clear" w:color="auto" w:fill="auto"/>
          </w:tcPr>
          <w:p w14:paraId="5B55C7F5" w14:textId="3406276E" w:rsidR="009A755E" w:rsidRPr="00781112" w:rsidRDefault="00591597">
            <w:pPr>
              <w:jc w:val="center"/>
              <w:rPr>
                <w:rFonts w:cs="Arial"/>
                <w:noProof/>
                <w:color w:val="000000" w:themeColor="text1"/>
                <w:szCs w:val="16"/>
              </w:rPr>
            </w:pPr>
            <w:r w:rsidRPr="00781112">
              <w:rPr>
                <w:rFonts w:cs="Arial"/>
                <w:color w:val="000000" w:themeColor="text1"/>
                <w:szCs w:val="16"/>
              </w:rPr>
              <w:t/>
            </w:r>
          </w:p>
        </w:tc>
        <w:tc>
          <w:tcPr>
            <w:tcW w:w="1226" w:type="pct"/>
            <w:shd w:val="clear" w:color="auto" w:fill="auto"/>
          </w:tcPr>
          <w:p w14:paraId="04E4EF54" w14:textId="064E0A7A" w:rsidR="009A755E" w:rsidRPr="00781112" w:rsidRDefault="002B7490">
            <w:pPr>
              <w:jc w:val="center"/>
              <w:rPr>
                <w:rFonts w:cs="Arial"/>
                <w:noProof/>
                <w:color w:val="000000" w:themeColor="text1"/>
                <w:szCs w:val="16"/>
              </w:rPr>
            </w:pPr>
            <w:r w:rsidRPr="00781112">
              <w:rPr>
                <w:rFonts w:cs="Arial"/>
                <w:color w:val="000000" w:themeColor="text1"/>
                <w:szCs w:val="16"/>
              </w:rPr>
              <w:t/>
            </w:r>
          </w:p>
        </w:tc>
      </w:tr>
      <w:tr w:rsidR="00052590" w:rsidRPr="00781112" w14:paraId="48E611E2" w14:textId="77777777" w:rsidTr="00052590">
        <w:tc>
          <w:tcPr>
            <w:tcW w:w="876" w:type="pct"/>
            <w:shd w:val="clear" w:color="auto" w:fill="auto"/>
          </w:tcPr>
          <w:p w14:paraId="04BACD3E" w14:textId="36D5B78A" w:rsidR="00052590" w:rsidRPr="00781112" w:rsidRDefault="00052590" w:rsidP="00052590">
            <w:pPr>
              <w:jc w:val="center"/>
              <w:rPr>
                <w:rFonts w:cs="Arial"/>
                <w:color w:val="000000" w:themeColor="text1"/>
                <w:szCs w:val="16"/>
              </w:rPr>
            </w:pPr>
            <w:r w:rsidRPr="00781112">
              <w:rPr>
                <w:rFonts w:cs="Arial"/>
                <w:color w:val="000000" w:themeColor="text1"/>
                <w:szCs w:val="16"/>
              </w:rPr>
              <w:t/>
            </w:r>
          </w:p>
        </w:tc>
        <w:tc>
          <w:tcPr>
            <w:tcW w:w="1451" w:type="pct"/>
            <w:shd w:val="clear" w:color="auto" w:fill="auto"/>
          </w:tcPr>
          <w:p w14:paraId="0D60840A" w14:textId="145B9759" w:rsidR="00052590" w:rsidRPr="00781112" w:rsidRDefault="00052590" w:rsidP="00052590">
            <w:pPr>
              <w:jc w:val="center"/>
              <w:rPr>
                <w:rFonts w:cs="Arial"/>
                <w:color w:val="000000" w:themeColor="text1"/>
                <w:szCs w:val="16"/>
              </w:rPr>
            </w:pPr>
            <w:r w:rsidRPr="00781112">
              <w:rPr>
                <w:rFonts w:cs="Arial"/>
                <w:color w:val="000000" w:themeColor="text1"/>
                <w:szCs w:val="16"/>
              </w:rPr>
              <w:t/>
            </w:r>
          </w:p>
        </w:tc>
        <w:tc>
          <w:tcPr>
            <w:tcW w:w="1447" w:type="pct"/>
            <w:shd w:val="clear" w:color="auto" w:fill="auto"/>
          </w:tcPr>
          <w:p w14:paraId="4AB6362B" w14:textId="02CFA0F9" w:rsidR="00052590" w:rsidRPr="00781112" w:rsidRDefault="00052590" w:rsidP="00052590">
            <w:pPr>
              <w:jc w:val="center"/>
              <w:rPr>
                <w:rFonts w:cs="Arial"/>
                <w:color w:val="000000" w:themeColor="text1"/>
                <w:szCs w:val="16"/>
              </w:rPr>
            </w:pPr>
            <w:r w:rsidRPr="00781112">
              <w:rPr>
                <w:rFonts w:cs="Arial"/>
                <w:color w:val="000000" w:themeColor="text1"/>
                <w:szCs w:val="16"/>
              </w:rPr>
              <w:t/>
            </w:r>
          </w:p>
        </w:tc>
        <w:tc>
          <w:tcPr>
            <w:tcW w:w="1226" w:type="pct"/>
            <w:shd w:val="clear" w:color="auto" w:fill="auto"/>
          </w:tcPr>
          <w:p w14:paraId="4B48F4D9" w14:textId="7D6E3BDD" w:rsidR="00052590" w:rsidRPr="00781112" w:rsidRDefault="00052590" w:rsidP="00052590">
            <w:pPr>
              <w:jc w:val="center"/>
              <w:rPr>
                <w:rFonts w:cs="Arial"/>
                <w:color w:val="000000" w:themeColor="text1"/>
                <w:szCs w:val="16"/>
              </w:rPr>
            </w:pPr>
            <w:r w:rsidRPr="00781112">
              <w:rPr>
                <w:rFonts w:cs="Arial"/>
                <w:color w:val="000000" w:themeColor="text1"/>
                <w:szCs w:val="16"/>
              </w:rPr>
              <w:t/>
            </w:r>
          </w:p>
        </w:tc>
      </w:tr>
      <w:tr w:rsidR="00052590" w:rsidRPr="00781112" w14:paraId="0E5C2E26" w14:textId="77777777" w:rsidTr="00052590">
        <w:tc>
          <w:tcPr>
            <w:tcW w:w="876" w:type="pct"/>
            <w:shd w:val="clear" w:color="auto" w:fill="auto"/>
          </w:tcPr>
          <w:p w14:paraId="209314FB" w14:textId="49BE47EC" w:rsidR="00052590" w:rsidRPr="00781112" w:rsidRDefault="00052590" w:rsidP="00052590">
            <w:pPr>
              <w:jc w:val="center"/>
              <w:rPr>
                <w:rFonts w:cs="Arial"/>
                <w:color w:val="000000" w:themeColor="text1"/>
                <w:szCs w:val="16"/>
              </w:rPr>
            </w:pPr>
            <w:r w:rsidRPr="00781112">
              <w:rPr>
                <w:rFonts w:cs="Arial"/>
                <w:color w:val="000000" w:themeColor="text1"/>
                <w:szCs w:val="16"/>
              </w:rPr>
              <w:t/>
            </w:r>
          </w:p>
        </w:tc>
        <w:tc>
          <w:tcPr>
            <w:tcW w:w="1451" w:type="pct"/>
            <w:shd w:val="clear" w:color="auto" w:fill="auto"/>
          </w:tcPr>
          <w:p w14:paraId="459895DC" w14:textId="6755A04B" w:rsidR="00052590" w:rsidRPr="00781112" w:rsidRDefault="00052590" w:rsidP="00052590">
            <w:pPr>
              <w:jc w:val="center"/>
              <w:rPr>
                <w:rFonts w:cs="Arial"/>
                <w:color w:val="000000" w:themeColor="text1"/>
                <w:szCs w:val="16"/>
              </w:rPr>
            </w:pPr>
            <w:r w:rsidRPr="00781112">
              <w:rPr>
                <w:rFonts w:cs="Arial"/>
                <w:color w:val="000000" w:themeColor="text1"/>
                <w:szCs w:val="16"/>
              </w:rPr>
              <w:t/>
            </w:r>
          </w:p>
        </w:tc>
        <w:tc>
          <w:tcPr>
            <w:tcW w:w="1447" w:type="pct"/>
            <w:shd w:val="clear" w:color="auto" w:fill="auto"/>
          </w:tcPr>
          <w:p w14:paraId="09B9E700" w14:textId="2464B5FB" w:rsidR="00052590" w:rsidRPr="00781112" w:rsidRDefault="00052590" w:rsidP="00052590">
            <w:pPr>
              <w:jc w:val="center"/>
              <w:rPr>
                <w:rFonts w:cs="Arial"/>
                <w:color w:val="000000" w:themeColor="text1"/>
                <w:szCs w:val="16"/>
              </w:rPr>
            </w:pPr>
            <w:r w:rsidRPr="00781112">
              <w:rPr>
                <w:rFonts w:cs="Arial"/>
                <w:color w:val="000000" w:themeColor="text1"/>
                <w:szCs w:val="16"/>
              </w:rPr>
              <w:t/>
            </w:r>
          </w:p>
        </w:tc>
        <w:tc>
          <w:tcPr>
            <w:tcW w:w="1226" w:type="pct"/>
            <w:shd w:val="clear" w:color="auto" w:fill="auto"/>
          </w:tcPr>
          <w:p w14:paraId="3BDFA8D1" w14:textId="2BBB1D3D" w:rsidR="00052590" w:rsidRPr="00781112" w:rsidRDefault="00052590" w:rsidP="00052590">
            <w:pPr>
              <w:jc w:val="center"/>
              <w:rPr>
                <w:rFonts w:cs="Arial"/>
                <w:color w:val="000000" w:themeColor="text1"/>
                <w:szCs w:val="16"/>
              </w:rPr>
            </w:pPr>
            <w:r w:rsidRPr="00781112">
              <w:rPr>
                <w:rFonts w:cs="Arial"/>
                <w:color w:val="000000" w:themeColor="text1"/>
                <w:szCs w:val="16"/>
              </w:rPr>
              <w:t/>
            </w:r>
          </w:p>
        </w:tc>
      </w:tr>
    </w:tbl>
    <w:p w14:paraId="7A74DCD8" w14:textId="61B7BAF7" w:rsidR="004E2151" w:rsidRPr="00781112" w:rsidRDefault="00400C56" w:rsidP="008645AD">
      <w:pPr>
        <w:pStyle w:val="Heading2"/>
      </w:pPr>
      <w:r w:rsidRPr="00781112">
        <w:t>9</w:t>
      </w:r>
      <w:r w:rsidR="00844ADE" w:rsidRPr="00781112">
        <w:t xml:space="preserve"> </w:t>
      </w:r>
      <w:r w:rsidRPr="00781112">
        <w:t xml:space="preserve">- </w:t>
      </w:r>
      <w:r w:rsidR="004E2151" w:rsidRPr="00781112">
        <w:t>Prior FFY Required Actions</w:t>
      </w:r>
    </w:p>
    <w:p w14:paraId="704944D3" w14:textId="21E697E2" w:rsidR="004E2151" w:rsidRPr="00781112" w:rsidRDefault="002B7490" w:rsidP="004E2151">
      <w:pPr>
        <w:rPr>
          <w:rFonts w:cs="Arial"/>
          <w:color w:val="000000" w:themeColor="text1"/>
          <w:szCs w:val="16"/>
        </w:rPr>
      </w:pPr>
      <w:r w:rsidRPr="00781112">
        <w:rPr>
          <w:rFonts w:cs="Arial"/>
          <w:color w:val="000000" w:themeColor="text1"/>
          <w:szCs w:val="16"/>
        </w:rPr>
        <w:t>None</w:t>
      </w:r>
    </w:p>
    <w:p w14:paraId="7A2A42E5" w14:textId="77777777" w:rsidR="00591597" w:rsidRPr="00781112" w:rsidRDefault="00591597" w:rsidP="004E2151">
      <w:pPr>
        <w:rPr>
          <w:rFonts w:cs="Arial"/>
          <w:color w:val="000000" w:themeColor="text1"/>
          <w:szCs w:val="16"/>
        </w:rPr>
      </w:pPr>
    </w:p>
    <w:p w14:paraId="1139CB4A" w14:textId="77777777" w:rsidR="00591597" w:rsidRPr="00781112" w:rsidRDefault="00591597" w:rsidP="004E2151">
      <w:pPr>
        <w:rPr>
          <w:rFonts w:cs="Arial"/>
          <w:color w:val="000000" w:themeColor="text1"/>
          <w:szCs w:val="16"/>
        </w:rPr>
      </w:pPr>
    </w:p>
    <w:p w14:paraId="6FDBF7F5" w14:textId="608C7842" w:rsidR="007F5071" w:rsidRPr="00781112" w:rsidRDefault="00400C56" w:rsidP="008645AD">
      <w:pPr>
        <w:pStyle w:val="Heading2"/>
      </w:pPr>
      <w:r w:rsidRPr="00781112">
        <w:t>9 - OSEP Response</w:t>
      </w:r>
    </w:p>
    <w:p w14:paraId="77DED45E" w14:textId="3920B295" w:rsidR="00481536" w:rsidRPr="00781112" w:rsidRDefault="002B7490" w:rsidP="00212954">
      <w:pPr>
        <w:rPr>
          <w:rFonts w:cs="Arial"/>
          <w:color w:val="000000" w:themeColor="text1"/>
          <w:szCs w:val="16"/>
        </w:rPr>
      </w:pPr>
      <w:r w:rsidRPr="00781112">
        <w:rPr>
          <w:rFonts w:cs="Arial"/>
          <w:color w:val="000000" w:themeColor="text1"/>
          <w:szCs w:val="16"/>
        </w:rPr>
        <w:t/>
      </w:r>
    </w:p>
    <w:p w14:paraId="3F79B021" w14:textId="16E0C852" w:rsidR="007F5071" w:rsidRPr="00781112" w:rsidRDefault="00977D0D" w:rsidP="008645AD">
      <w:pPr>
        <w:pStyle w:val="Heading2"/>
      </w:pPr>
      <w:r w:rsidRPr="00781112">
        <w:t>9 - Required Actions</w:t>
      </w:r>
    </w:p>
    <w:p w14:paraId="0B404586" w14:textId="0A97D85C" w:rsidR="00481536" w:rsidRPr="00781112" w:rsidRDefault="002B7490" w:rsidP="00212954">
      <w:pPr>
        <w:rPr>
          <w:rFonts w:cs="Arial"/>
          <w:color w:val="000000" w:themeColor="text1"/>
          <w:szCs w:val="16"/>
        </w:rPr>
      </w:pPr>
      <w:r w:rsidRPr="00781112">
        <w:rPr>
          <w:rFonts w:cs="Arial"/>
          <w:color w:val="000000" w:themeColor="text1"/>
          <w:szCs w:val="16"/>
        </w:rPr>
        <w:t/>
      </w:r>
    </w:p>
    <w:p w14:paraId="20A15EBC"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5D8087B6" w14:textId="0C652DF9" w:rsidR="00D03701" w:rsidRPr="00781112" w:rsidRDefault="00D03701" w:rsidP="000444E2">
      <w:pPr>
        <w:pStyle w:val="Heading1"/>
        <w:rPr>
          <w:color w:val="000000" w:themeColor="text1"/>
          <w:sz w:val="22"/>
        </w:rPr>
      </w:pPr>
      <w:r w:rsidRPr="00781112">
        <w:rPr>
          <w:color w:val="000000" w:themeColor="text1"/>
          <w:sz w:val="22"/>
        </w:rPr>
        <w:lastRenderedPageBreak/>
        <w:t>Indicator 10: Disproportionate Representation in Specific Disability Categories</w:t>
      </w:r>
      <w:bookmarkEnd w:id="65"/>
      <w:bookmarkEnd w:id="66"/>
      <w:bookmarkEnd w:id="67"/>
      <w:r w:rsidRPr="00781112">
        <w:rPr>
          <w:color w:val="000000" w:themeColor="text1"/>
          <w:sz w:val="22"/>
        </w:rPr>
        <w:t xml:space="preserve"> </w:t>
      </w:r>
    </w:p>
    <w:p w14:paraId="139B488B" w14:textId="77777777" w:rsidR="00B70FBF" w:rsidRPr="00781112" w:rsidRDefault="00B70FBF" w:rsidP="00A018D4">
      <w:pPr>
        <w:rPr>
          <w:color w:val="000000" w:themeColor="text1"/>
          <w:szCs w:val="20"/>
        </w:rPr>
      </w:pPr>
      <w:bookmarkStart w:id="68" w:name="_Toc384383348"/>
      <w:bookmarkStart w:id="69" w:name="_Toc392159316"/>
      <w:r w:rsidRPr="00781112">
        <w:rPr>
          <w:b/>
          <w:color w:val="000000" w:themeColor="text1"/>
          <w:sz w:val="20"/>
          <w:szCs w:val="20"/>
        </w:rPr>
        <w:t>Instructions and Measurement</w:t>
      </w:r>
    </w:p>
    <w:p w14:paraId="26E33C31" w14:textId="3616C8E9" w:rsidR="00CC634E" w:rsidRPr="00781112" w:rsidRDefault="00CC634E" w:rsidP="005A3C12">
      <w:pPr>
        <w:rPr>
          <w:rFonts w:cs="Arial"/>
          <w:b/>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xml:space="preserve"> Disproportionality</w:t>
      </w:r>
    </w:p>
    <w:p w14:paraId="2D2ACC66" w14:textId="77777777" w:rsidR="001D677D" w:rsidRPr="00781112" w:rsidRDefault="00CC634E" w:rsidP="005A3C12">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Percent of districts with disproportionate representation of racial and ethnic groups in specific disability categories that is the result of inappropriate identification.</w:t>
      </w:r>
    </w:p>
    <w:p w14:paraId="7688ECEE" w14:textId="1C1D5AA2" w:rsidR="00CC634E" w:rsidRPr="00781112" w:rsidRDefault="00CC634E" w:rsidP="005A3C12">
      <w:pPr>
        <w:rPr>
          <w:rFonts w:cs="Arial"/>
          <w:color w:val="000000" w:themeColor="text1"/>
          <w:szCs w:val="16"/>
        </w:rPr>
      </w:pPr>
      <w:r w:rsidRPr="00781112">
        <w:rPr>
          <w:rFonts w:cs="Arial"/>
          <w:color w:val="000000" w:themeColor="text1"/>
          <w:szCs w:val="16"/>
        </w:rPr>
        <w:t xml:space="preserve"> (20 U.S.C. 1416(a)(3)(C))</w:t>
      </w:r>
    </w:p>
    <w:p w14:paraId="37F13F1F" w14:textId="77777777" w:rsidR="001D677D" w:rsidRPr="00781112" w:rsidRDefault="001D677D" w:rsidP="004369B2">
      <w:pPr>
        <w:rPr>
          <w:color w:val="000000" w:themeColor="text1"/>
        </w:rPr>
      </w:pPr>
      <w:r w:rsidRPr="00781112">
        <w:rPr>
          <w:b/>
          <w:color w:val="000000" w:themeColor="text1"/>
        </w:rPr>
        <w:t>Data Source</w:t>
      </w:r>
    </w:p>
    <w:p w14:paraId="3D0F53DD" w14:textId="1C69F23D" w:rsidR="001D677D" w:rsidRPr="00781112" w:rsidRDefault="007A3964" w:rsidP="00286BDF">
      <w:pPr>
        <w:rPr>
          <w:rFonts w:cs="Arial"/>
          <w:color w:val="000000" w:themeColor="text1"/>
          <w:szCs w:val="16"/>
        </w:rPr>
      </w:pPr>
      <w:r w:rsidRPr="00781112">
        <w:rPr>
          <w:rFonts w:cs="Arial"/>
          <w:color w:val="000000" w:themeColor="text1"/>
          <w:szCs w:val="16"/>
          <w:shd w:val="clear" w:color="auto" w:fill="FFFFFF"/>
        </w:rPr>
        <w:t>State’s analysis, based on State’s Child Count data collected under IDEA section 618, to determine if the disproportionate representation of racial and ethnic groups in specific disability categories was the result of inappropriate identification.</w:t>
      </w:r>
    </w:p>
    <w:p w14:paraId="101129B1" w14:textId="77777777" w:rsidR="001D677D" w:rsidRPr="00781112" w:rsidRDefault="001D677D" w:rsidP="004369B2">
      <w:pPr>
        <w:rPr>
          <w:color w:val="000000" w:themeColor="text1"/>
        </w:rPr>
      </w:pPr>
      <w:r w:rsidRPr="00781112">
        <w:rPr>
          <w:b/>
          <w:color w:val="000000" w:themeColor="text1"/>
        </w:rPr>
        <w:t>Measurement</w:t>
      </w:r>
    </w:p>
    <w:p w14:paraId="564157FF" w14:textId="77777777" w:rsidR="007A3964" w:rsidRPr="00781112" w:rsidRDefault="007A3964" w:rsidP="007A3964">
      <w:pPr>
        <w:rPr>
          <w:rFonts w:cs="Arial"/>
          <w:color w:val="000000" w:themeColor="text1"/>
          <w:szCs w:val="16"/>
        </w:rPr>
      </w:pPr>
      <w:r w:rsidRPr="00781112">
        <w:rPr>
          <w:rFonts w:cs="Arial"/>
          <w:color w:val="000000" w:themeColor="text1"/>
          <w:szCs w:val="16"/>
        </w:rPr>
        <w:t>Percent = [(# of districts, that meet the State-established n and/or cell size (if applicable) for one or more racial/ethnic groups, with disproportionate representation of racial and ethnic groups in specific disability categories that is the result of inappropriate identification) divided by the (# of districts in the State that meet the State-established n and/or cell size (if applicable) for one or more racial/ethnic groups)] times 100.</w:t>
      </w:r>
    </w:p>
    <w:p w14:paraId="23D9C135" w14:textId="77777777" w:rsidR="007A3964" w:rsidRPr="00781112" w:rsidRDefault="007A3964" w:rsidP="007A3964">
      <w:pPr>
        <w:rPr>
          <w:rFonts w:cs="Arial"/>
          <w:color w:val="000000" w:themeColor="text1"/>
          <w:szCs w:val="16"/>
        </w:rPr>
      </w:pPr>
      <w:r w:rsidRPr="00781112">
        <w:rPr>
          <w:rFonts w:cs="Arial"/>
          <w:color w:val="000000" w:themeColor="text1"/>
          <w:szCs w:val="16"/>
        </w:rPr>
        <w:t>Include State’s definition of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w:t>
      </w:r>
    </w:p>
    <w:p w14:paraId="7F3C03F6" w14:textId="14F7D73B" w:rsidR="001D677D" w:rsidRPr="00781112" w:rsidRDefault="007A3964" w:rsidP="007A3964">
      <w:pPr>
        <w:rPr>
          <w:rFonts w:cs="Arial"/>
          <w:color w:val="000000" w:themeColor="text1"/>
          <w:szCs w:val="16"/>
        </w:rPr>
      </w:pPr>
      <w:r w:rsidRPr="00781112">
        <w:rPr>
          <w:rFonts w:cs="Arial"/>
          <w:color w:val="000000" w:themeColor="text1"/>
          <w:szCs w:val="16"/>
        </w:rPr>
        <w:t xml:space="preserve">Based on its review of the </w:t>
      </w:r>
      <w:r w:rsidR="00084AD7">
        <w:rPr>
          <w:rFonts w:cs="Arial"/>
          <w:color w:val="000000" w:themeColor="text1"/>
          <w:szCs w:val="16"/>
        </w:rPr>
        <w:t xml:space="preserve">section </w:t>
      </w:r>
      <w:r w:rsidRPr="00781112">
        <w:rPr>
          <w:rFonts w:cs="Arial"/>
          <w:color w:val="000000" w:themeColor="text1"/>
          <w:szCs w:val="16"/>
        </w:rPr>
        <w:t xml:space="preserve">618 data for the reporting year, describe how the State made its annual determination as to whether the disproportionate representation it identified of racial and ethnic groups in specific disability categories was the result of inappropriate identification as required by 34 CFR §§300.600(d)(3) and 300.602(a), </w:t>
      </w:r>
      <w:r w:rsidR="00084AD7">
        <w:rPr>
          <w:rFonts w:cs="Arial"/>
          <w:color w:val="000000" w:themeColor="text1"/>
          <w:szCs w:val="16"/>
        </w:rPr>
        <w:t>(</w:t>
      </w:r>
      <w:r w:rsidRPr="00781112">
        <w:rPr>
          <w:rFonts w:cs="Arial"/>
          <w:color w:val="000000" w:themeColor="text1"/>
          <w:szCs w:val="16"/>
        </w:rPr>
        <w:t>e.g., using monitoring data; reviewing policies, practices and procedures</w:t>
      </w:r>
      <w:r w:rsidR="00084AD7">
        <w:rPr>
          <w:rFonts w:cs="Arial"/>
          <w:color w:val="000000" w:themeColor="text1"/>
          <w:szCs w:val="16"/>
        </w:rPr>
        <w:t>).</w:t>
      </w:r>
      <w:r w:rsidRPr="00781112">
        <w:rPr>
          <w:rFonts w:cs="Arial"/>
          <w:color w:val="000000" w:themeColor="text1"/>
          <w:szCs w:val="16"/>
        </w:rPr>
        <w:t xml:space="preserve"> In determining disproportionate representation, analyze data, for each district, for all racial and ethnic groups in the district, or all racial and ethnic groups in the district that meet a minimum n and/or cell size set by the State. Report on the percent of districts in which disproportionate representation of racial and ethnic groups in </w:t>
      </w:r>
      <w:r w:rsidR="00C77D8E" w:rsidRPr="00781112">
        <w:rPr>
          <w:rFonts w:cs="Arial"/>
          <w:szCs w:val="16"/>
        </w:rPr>
        <w:t xml:space="preserve">specific disability categories </w:t>
      </w:r>
      <w:r w:rsidRPr="00781112">
        <w:rPr>
          <w:rFonts w:cs="Arial"/>
          <w:color w:val="000000" w:themeColor="text1"/>
          <w:szCs w:val="16"/>
        </w:rPr>
        <w:t xml:space="preserve">is the result of inappropriate identification, even if the determination of inappropriate identification was made after the end of the FFY </w:t>
      </w:r>
      <w:r w:rsidR="00206A65" w:rsidRPr="00781112">
        <w:rPr>
          <w:rFonts w:cs="Arial"/>
          <w:color w:val="000000" w:themeColor="text1"/>
          <w:szCs w:val="16"/>
        </w:rPr>
        <w:t>202</w:t>
      </w:r>
      <w:r w:rsidR="00676379">
        <w:rPr>
          <w:rFonts w:cs="Arial"/>
          <w:color w:val="000000" w:themeColor="text1"/>
          <w:szCs w:val="16"/>
        </w:rPr>
        <w:t>2</w:t>
      </w:r>
      <w:r w:rsidR="00206A65" w:rsidRPr="00781112">
        <w:rPr>
          <w:rFonts w:cs="Arial"/>
          <w:color w:val="000000" w:themeColor="text1"/>
          <w:szCs w:val="16"/>
        </w:rPr>
        <w:t xml:space="preserve"> </w:t>
      </w:r>
      <w:r w:rsidRPr="00781112">
        <w:rPr>
          <w:rFonts w:cs="Arial"/>
          <w:color w:val="000000" w:themeColor="text1"/>
          <w:szCs w:val="16"/>
        </w:rPr>
        <w:t xml:space="preserve">reporting period (i.e., after June 30, </w:t>
      </w:r>
      <w:r w:rsidR="00206A65" w:rsidRPr="00781112">
        <w:rPr>
          <w:rFonts w:cs="Arial"/>
          <w:color w:val="000000" w:themeColor="text1"/>
          <w:szCs w:val="16"/>
        </w:rPr>
        <w:t>202</w:t>
      </w:r>
      <w:r w:rsidR="00676379">
        <w:rPr>
          <w:rFonts w:cs="Arial"/>
          <w:color w:val="000000" w:themeColor="text1"/>
          <w:szCs w:val="16"/>
        </w:rPr>
        <w:t>3</w:t>
      </w:r>
      <w:r w:rsidRPr="00781112">
        <w:rPr>
          <w:rFonts w:cs="Arial"/>
          <w:color w:val="000000" w:themeColor="text1"/>
          <w:szCs w:val="16"/>
        </w:rPr>
        <w:t>).</w:t>
      </w:r>
    </w:p>
    <w:p w14:paraId="3C70F698" w14:textId="77777777" w:rsidR="001D677D" w:rsidRPr="00781112" w:rsidRDefault="001D677D" w:rsidP="004369B2">
      <w:pPr>
        <w:rPr>
          <w:color w:val="000000" w:themeColor="text1"/>
        </w:rPr>
      </w:pPr>
      <w:r w:rsidRPr="00781112">
        <w:rPr>
          <w:b/>
          <w:color w:val="000000" w:themeColor="text1"/>
        </w:rPr>
        <w:t>Instructions</w:t>
      </w:r>
    </w:p>
    <w:p w14:paraId="54B0F35E" w14:textId="65BA9D20" w:rsidR="001D677D" w:rsidRPr="00781112" w:rsidRDefault="001D677D" w:rsidP="00286BDF">
      <w:pPr>
        <w:rPr>
          <w:rFonts w:cs="Arial"/>
          <w:color w:val="000000" w:themeColor="text1"/>
          <w:szCs w:val="16"/>
        </w:rPr>
      </w:pPr>
      <w:r w:rsidRPr="00781112">
        <w:rPr>
          <w:rFonts w:cs="Arial"/>
          <w:iCs/>
          <w:color w:val="000000" w:themeColor="text1"/>
          <w:szCs w:val="16"/>
        </w:rPr>
        <w:t>P</w:t>
      </w:r>
      <w:r w:rsidRPr="00781112">
        <w:rPr>
          <w:rFonts w:cs="Arial"/>
          <w:color w:val="000000" w:themeColor="text1"/>
          <w:szCs w:val="16"/>
        </w:rPr>
        <w:t>rovide racial/ethnic disproportionality data for all children</w:t>
      </w:r>
      <w:r w:rsidR="00522BEA" w:rsidRPr="00522BEA">
        <w:t xml:space="preserve"> </w:t>
      </w:r>
      <w:r w:rsidR="00522BEA" w:rsidRPr="00522BEA">
        <w:rPr>
          <w:rFonts w:cs="Arial"/>
          <w:color w:val="000000" w:themeColor="text1"/>
          <w:szCs w:val="16"/>
        </w:rPr>
        <w:t>aged 5 who are enrolled in kindergarten and</w:t>
      </w:r>
      <w:r w:rsidRPr="00781112">
        <w:rPr>
          <w:rFonts w:cs="Arial"/>
          <w:color w:val="000000" w:themeColor="text1"/>
          <w:szCs w:val="16"/>
        </w:rPr>
        <w:t xml:space="preserve"> aged 6 through 21 served under IDEA.</w:t>
      </w:r>
      <w:r w:rsidR="006E0CC6" w:rsidRPr="00781112">
        <w:rPr>
          <w:rFonts w:cs="Arial"/>
          <w:color w:val="000000" w:themeColor="text1"/>
          <w:szCs w:val="16"/>
        </w:rPr>
        <w:t xml:space="preserve"> </w:t>
      </w:r>
      <w:r w:rsidR="006E0CC6" w:rsidRPr="00781112">
        <w:rPr>
          <w:rFonts w:cs="Arial"/>
          <w:szCs w:val="16"/>
        </w:rPr>
        <w:t>Provide these data at a minimum for children in the following six disability categories: intellectual disability, specific learning disabilities, emotional disturbance, speech or language impairments, other health impairments, and autism. If a State has identified disproportionate representation of racial and ethnic groups in specific disability categories other than these six disability categories, the State must include these data and report on whether the State determined that the disproportionate representation of racial and ethnic groups in specific disability categories was the result of inappropriate identification</w:t>
      </w:r>
      <w:r w:rsidR="009F2D7B" w:rsidRPr="00781112">
        <w:rPr>
          <w:rFonts w:cs="Arial"/>
          <w:szCs w:val="16"/>
        </w:rPr>
        <w:t>.</w:t>
      </w:r>
      <w:r w:rsidR="00084AD7">
        <w:rPr>
          <w:rFonts w:cs="Arial"/>
          <w:szCs w:val="16"/>
        </w:rPr>
        <w:t xml:space="preserve"> </w:t>
      </w:r>
      <w:r w:rsidR="00084AD7" w:rsidRPr="00084AD7">
        <w:rPr>
          <w:rFonts w:cs="Arial"/>
          <w:szCs w:val="16"/>
        </w:rPr>
        <w:t>Provide the actual numbers used in the calculation.</w:t>
      </w:r>
    </w:p>
    <w:p w14:paraId="2375484C" w14:textId="77777777" w:rsidR="001D677D" w:rsidRPr="00781112" w:rsidRDefault="001D677D" w:rsidP="00286BDF">
      <w:pPr>
        <w:rPr>
          <w:rFonts w:cs="Arial"/>
          <w:color w:val="000000" w:themeColor="text1"/>
          <w:szCs w:val="16"/>
        </w:rPr>
      </w:pPr>
      <w:r w:rsidRPr="00781112">
        <w:rPr>
          <w:rFonts w:cs="Arial"/>
          <w:color w:val="000000" w:themeColor="text1"/>
          <w:szCs w:val="16"/>
        </w:rPr>
        <w:t>States are not required to report on underrepresentation.</w:t>
      </w:r>
    </w:p>
    <w:p w14:paraId="65635BB5" w14:textId="77777777" w:rsidR="001D677D" w:rsidRPr="00781112" w:rsidRDefault="001D677D" w:rsidP="00286BDF">
      <w:pPr>
        <w:rPr>
          <w:rFonts w:cs="Arial"/>
          <w:color w:val="000000" w:themeColor="text1"/>
          <w:szCs w:val="16"/>
        </w:rPr>
      </w:pPr>
      <w:r w:rsidRPr="00781112">
        <w:rPr>
          <w:rFonts w:cs="Arial"/>
          <w:color w:val="000000" w:themeColor="text1"/>
          <w:szCs w:val="16"/>
        </w:rPr>
        <w:t>If the State has established a minimum n and/or cell size requirement, the State may only include, in both the numerator and the denominator, districts that met that State-established n and/or cell size. If the State used a minimum n and/or cell size requirement, report the number of districts totally excluded from the calculation as a result of this requirement because the district did not meet the minimum n and/or cell size for any racial/ethnic group.</w:t>
      </w:r>
    </w:p>
    <w:p w14:paraId="2FC20F43" w14:textId="77777777" w:rsidR="001D677D" w:rsidRPr="00781112" w:rsidRDefault="001D677D" w:rsidP="00286BDF">
      <w:pPr>
        <w:rPr>
          <w:rFonts w:cs="Arial"/>
          <w:color w:val="000000" w:themeColor="text1"/>
          <w:szCs w:val="16"/>
        </w:rPr>
      </w:pPr>
      <w:r w:rsidRPr="00781112">
        <w:rPr>
          <w:rFonts w:cs="Arial"/>
          <w:color w:val="000000" w:themeColor="text1"/>
          <w:szCs w:val="16"/>
        </w:rPr>
        <w:t>Consider using multiple methods in calculating disproportionate representation of racial and ethnic groups to reduce the risk of overlooking potential problems. Describe the method(s) used to calculate disproportionate representation.</w:t>
      </w:r>
    </w:p>
    <w:p w14:paraId="42D05561" w14:textId="057A6DF7" w:rsidR="001D677D" w:rsidRPr="00781112" w:rsidRDefault="001D677D" w:rsidP="00286BDF">
      <w:pPr>
        <w:rPr>
          <w:rFonts w:cs="Arial"/>
          <w:color w:val="000000" w:themeColor="text1"/>
          <w:szCs w:val="16"/>
        </w:rPr>
      </w:pPr>
      <w:r w:rsidRPr="00781112">
        <w:rPr>
          <w:rFonts w:cs="Arial"/>
          <w:color w:val="000000" w:themeColor="text1"/>
          <w:szCs w:val="16"/>
        </w:rPr>
        <w:t xml:space="preserve">Provide the number of districts that met the State-established n and/or cell size (if applicable) for one or more racial/ethnic groups identified with disproportionate representation of racial and ethnic groups in </w:t>
      </w:r>
      <w:r w:rsidR="00175656" w:rsidRPr="00781112">
        <w:rPr>
          <w:rFonts w:cs="Arial"/>
          <w:szCs w:val="16"/>
        </w:rPr>
        <w:t>specific disability categories</w:t>
      </w:r>
      <w:r w:rsidRPr="00781112">
        <w:rPr>
          <w:rFonts w:cs="Arial"/>
          <w:color w:val="000000" w:themeColor="text1"/>
          <w:szCs w:val="16"/>
        </w:rPr>
        <w:t xml:space="preserve"> and the number of those districts identified with disproportionate representation that is the result of inappropriate identification.</w:t>
      </w:r>
    </w:p>
    <w:p w14:paraId="4D68547C" w14:textId="77777777" w:rsidR="001D677D" w:rsidRPr="00781112" w:rsidRDefault="001D677D" w:rsidP="00286BDF">
      <w:pPr>
        <w:rPr>
          <w:rFonts w:cs="Arial"/>
          <w:color w:val="000000" w:themeColor="text1"/>
          <w:szCs w:val="16"/>
        </w:rPr>
      </w:pPr>
      <w:r w:rsidRPr="00781112">
        <w:rPr>
          <w:rFonts w:cs="Arial"/>
          <w:color w:val="000000" w:themeColor="text1"/>
          <w:szCs w:val="16"/>
        </w:rPr>
        <w:t>Targets must be 0%.</w:t>
      </w:r>
    </w:p>
    <w:p w14:paraId="7F575E8E" w14:textId="0308BFD7" w:rsidR="001D677D" w:rsidRPr="00781112" w:rsidRDefault="001D677D" w:rsidP="00286BDF">
      <w:pPr>
        <w:rPr>
          <w:rFonts w:cs="Arial"/>
          <w:color w:val="000000" w:themeColor="text1"/>
          <w:szCs w:val="16"/>
        </w:rPr>
      </w:pPr>
      <w:r w:rsidRPr="00781112">
        <w:rPr>
          <w:rFonts w:cs="Arial"/>
          <w:color w:val="000000" w:themeColor="text1"/>
          <w:szCs w:val="16"/>
        </w:rPr>
        <w:t xml:space="preserve">Provide detailed information about the timely correction of </w:t>
      </w:r>
      <w:bookmarkStart w:id="70" w:name="_Hlk150864288"/>
      <w:r w:rsidR="00084AD7" w:rsidRPr="00084AD7">
        <w:rPr>
          <w:rFonts w:cs="Arial"/>
          <w:color w:val="000000" w:themeColor="text1"/>
          <w:szCs w:val="16"/>
        </w:rPr>
        <w:t>child-specific and regulatory/systemic</w:t>
      </w:r>
      <w:r w:rsidR="00084AD7">
        <w:rPr>
          <w:sz w:val="20"/>
          <w:szCs w:val="14"/>
        </w:rPr>
        <w:t xml:space="preserve"> </w:t>
      </w:r>
      <w:bookmarkEnd w:id="70"/>
      <w:r w:rsidRPr="00781112">
        <w:rPr>
          <w:rFonts w:cs="Arial"/>
          <w:color w:val="000000" w:themeColor="text1"/>
          <w:szCs w:val="16"/>
        </w:rPr>
        <w:t>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and any enforcement actions that were taken.</w:t>
      </w:r>
    </w:p>
    <w:p w14:paraId="367E089E" w14:textId="2EEBFF3C" w:rsidR="001D677D" w:rsidRPr="00781112" w:rsidRDefault="007A3964"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2022 SPP/APR, the data for FFY 2021), and the State did not identify any findings of noncompliance, provide an explanation of why the State did not identify any findings of noncompliance.</w:t>
      </w:r>
    </w:p>
    <w:p w14:paraId="307820E6" w14:textId="2418F86F" w:rsidR="00B70FBF" w:rsidRPr="00781112" w:rsidRDefault="009F64D5" w:rsidP="008645AD">
      <w:pPr>
        <w:pStyle w:val="Heading2"/>
      </w:pPr>
      <w:bookmarkStart w:id="71" w:name="_Toc384383349"/>
      <w:bookmarkStart w:id="72" w:name="_Toc392159317"/>
      <w:bookmarkEnd w:id="68"/>
      <w:bookmarkEnd w:id="69"/>
      <w:r w:rsidRPr="00781112">
        <w:t>10</w:t>
      </w:r>
      <w:r w:rsidR="00596F4D" w:rsidRPr="00781112">
        <w:t xml:space="preserve"> </w:t>
      </w:r>
      <w:r w:rsidRPr="00781112">
        <w:t xml:space="preserve">- </w:t>
      </w:r>
      <w:r w:rsidR="00D853AE" w:rsidRPr="00781112">
        <w:t>Indicator Data</w:t>
      </w:r>
    </w:p>
    <w:p w14:paraId="198C31F1" w14:textId="77777777" w:rsidR="0091098C" w:rsidRPr="00781112" w:rsidRDefault="0091098C" w:rsidP="004369B2">
      <w:pPr>
        <w:rPr>
          <w:color w:val="000000" w:themeColor="text1"/>
        </w:rPr>
      </w:pPr>
      <w:r w:rsidRPr="00781112">
        <w:rPr>
          <w:b/>
          <w:color w:val="000000" w:themeColor="text1"/>
        </w:rPr>
        <w:t>Not Applicable</w:t>
      </w:r>
    </w:p>
    <w:p w14:paraId="769429F9" w14:textId="2143DCD6" w:rsidR="00C2395D" w:rsidRPr="00781112" w:rsidRDefault="001B07D3">
      <w:pPr>
        <w:rPr>
          <w:b/>
          <w:color w:val="000000" w:themeColor="text1"/>
        </w:rPr>
      </w:pPr>
      <w:r w:rsidRPr="00781112">
        <w:rPr>
          <w:b/>
          <w:color w:val="000000" w:themeColor="text1"/>
        </w:rPr>
        <w:t>Select yes if this indicator is not applicable.</w:t>
      </w:r>
    </w:p>
    <w:p w14:paraId="5BEDAC27" w14:textId="63B8B677" w:rsidR="00043AC9" w:rsidRPr="00781112" w:rsidRDefault="00043AC9" w:rsidP="004369B2">
      <w:pPr>
        <w:rPr>
          <w:rFonts w:cs="Arial"/>
          <w:color w:val="000000" w:themeColor="text1"/>
          <w:szCs w:val="16"/>
        </w:rPr>
      </w:pPr>
      <w:r w:rsidRPr="00781112">
        <w:rPr>
          <w:rFonts w:cs="Arial"/>
          <w:color w:val="000000" w:themeColor="text1"/>
          <w:szCs w:val="16"/>
        </w:rPr>
        <w:t>NO</w:t>
      </w:r>
    </w:p>
    <w:p w14:paraId="74ABC795" w14:textId="77777777" w:rsidR="00C50290" w:rsidRPr="00781112" w:rsidRDefault="00C50290" w:rsidP="004369B2">
      <w:pPr>
        <w:rPr>
          <w:color w:val="000000" w:themeColor="text1"/>
        </w:rPr>
      </w:pPr>
    </w:p>
    <w:p w14:paraId="07402C56" w14:textId="1ED19344" w:rsidR="005A3C12" w:rsidRPr="00781112" w:rsidRDefault="005A3C12"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0BASELINEDATA"/>
      </w:tblPr>
      <w:tblGrid>
        <w:gridCol w:w="1797"/>
        <w:gridCol w:w="1798"/>
      </w:tblGrid>
      <w:tr w:rsidR="00D533A5" w:rsidRPr="00781112" w14:paraId="7C3AA767" w14:textId="77777777" w:rsidTr="00123D76">
        <w:trPr>
          <w:trHeight w:val="311"/>
          <w:tblHeader/>
        </w:trPr>
        <w:tc>
          <w:tcPr>
            <w:tcW w:w="1797" w:type="dxa"/>
          </w:tcPr>
          <w:p w14:paraId="1A4E37E9" w14:textId="77777777" w:rsidR="00D533A5" w:rsidRPr="00781112" w:rsidRDefault="00D533A5" w:rsidP="00123D76">
            <w:pPr>
              <w:jc w:val="center"/>
              <w:rPr>
                <w:b/>
                <w:color w:val="000000" w:themeColor="text1"/>
              </w:rPr>
            </w:pPr>
            <w:r w:rsidRPr="00781112">
              <w:rPr>
                <w:rFonts w:cs="Arial"/>
                <w:b/>
                <w:color w:val="000000" w:themeColor="text1"/>
                <w:szCs w:val="16"/>
              </w:rPr>
              <w:t>Baseline Year</w:t>
            </w:r>
          </w:p>
        </w:tc>
        <w:tc>
          <w:tcPr>
            <w:tcW w:w="1798" w:type="dxa"/>
          </w:tcPr>
          <w:p w14:paraId="45C39BBE" w14:textId="77777777" w:rsidR="00D533A5" w:rsidRPr="00781112" w:rsidRDefault="00D533A5" w:rsidP="00123D76">
            <w:pPr>
              <w:jc w:val="center"/>
              <w:rPr>
                <w:b/>
                <w:color w:val="000000" w:themeColor="text1"/>
              </w:rPr>
            </w:pPr>
            <w:r w:rsidRPr="00781112">
              <w:rPr>
                <w:b/>
                <w:color w:val="000000" w:themeColor="text1"/>
              </w:rPr>
              <w:t>Baseline Data</w:t>
            </w:r>
          </w:p>
        </w:tc>
      </w:tr>
      <w:tr w:rsidR="00D533A5" w:rsidRPr="00781112" w14:paraId="4AFD3BFF" w14:textId="77777777" w:rsidTr="00123D76">
        <w:trPr>
          <w:trHeight w:val="311"/>
        </w:trPr>
        <w:tc>
          <w:tcPr>
            <w:tcW w:w="1797" w:type="dxa"/>
            <w:vAlign w:val="center"/>
          </w:tcPr>
          <w:p w14:paraId="71352362" w14:textId="3C2D4289" w:rsidR="00D533A5" w:rsidRPr="00781112" w:rsidRDefault="00D533A5" w:rsidP="00123D76">
            <w:pPr>
              <w:jc w:val="center"/>
              <w:rPr>
                <w:bCs/>
                <w:color w:val="000000" w:themeColor="text1"/>
              </w:rPr>
            </w:pPr>
            <w:r w:rsidRPr="00781112">
              <w:rPr>
                <w:bCs/>
                <w:color w:val="000000" w:themeColor="text1"/>
              </w:rPr>
              <w:t>2020</w:t>
            </w:r>
          </w:p>
        </w:tc>
        <w:tc>
          <w:tcPr>
            <w:tcW w:w="1798" w:type="dxa"/>
            <w:vAlign w:val="center"/>
          </w:tcPr>
          <w:p w14:paraId="1E9B684E" w14:textId="004A2B05" w:rsidR="00D533A5" w:rsidRPr="00781112" w:rsidRDefault="00D533A5" w:rsidP="00123D76">
            <w:pPr>
              <w:jc w:val="center"/>
              <w:rPr>
                <w:bCs/>
                <w:color w:val="000000" w:themeColor="text1"/>
              </w:rPr>
            </w:pPr>
            <w:r w:rsidRPr="00781112">
              <w:rPr>
                <w:bCs/>
                <w:color w:val="000000" w:themeColor="text1"/>
              </w:rPr>
              <w:t>0.00%</w:t>
            </w:r>
          </w:p>
        </w:tc>
      </w:tr>
    </w:tbl>
    <w:p w14:paraId="690B4CC0" w14:textId="77777777" w:rsidR="00D533A5" w:rsidRPr="00781112" w:rsidRDefault="00D533A5"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0HISTDATA"/>
      </w:tblPr>
      <w:tblGrid>
        <w:gridCol w:w="1798"/>
        <w:gridCol w:w="1798"/>
        <w:gridCol w:w="1798"/>
        <w:gridCol w:w="1798"/>
        <w:gridCol w:w="1798"/>
        <w:gridCol w:w="1800"/>
      </w:tblGrid>
      <w:tr w:rsidR="005C29F8" w:rsidRPr="00781112" w14:paraId="489E6808" w14:textId="77777777" w:rsidTr="002B4D97">
        <w:trPr>
          <w:trHeight w:val="350"/>
        </w:trPr>
        <w:tc>
          <w:tcPr>
            <w:tcW w:w="833" w:type="pct"/>
            <w:tcBorders>
              <w:bottom w:val="single" w:sz="4" w:space="0" w:color="auto"/>
            </w:tcBorders>
            <w:shd w:val="clear" w:color="auto" w:fill="auto"/>
          </w:tcPr>
          <w:p w14:paraId="0171756F" w14:textId="77777777" w:rsidR="005A3C12" w:rsidRPr="00781112" w:rsidRDefault="005A3C12" w:rsidP="004369B2">
            <w:pPr>
              <w:jc w:val="center"/>
              <w:rPr>
                <w:b/>
                <w:color w:val="000000" w:themeColor="text1"/>
              </w:rPr>
            </w:pPr>
            <w:r w:rsidRPr="00781112">
              <w:rPr>
                <w:b/>
                <w:color w:val="000000" w:themeColor="text1"/>
              </w:rPr>
              <w:lastRenderedPageBreak/>
              <w:t>FFY</w:t>
            </w:r>
          </w:p>
        </w:tc>
        <w:tc>
          <w:tcPr>
            <w:tcW w:w="833" w:type="pct"/>
            <w:shd w:val="clear" w:color="auto" w:fill="auto"/>
          </w:tcPr>
          <w:p w14:paraId="78B2C5F0" w14:textId="44C4ABDF" w:rsidR="005A3C12" w:rsidRPr="00781112" w:rsidRDefault="002B7490" w:rsidP="0077257F">
            <w:pPr>
              <w:jc w:val="center"/>
              <w:rPr>
                <w:b/>
                <w:color w:val="000000" w:themeColor="text1"/>
              </w:rPr>
            </w:pPr>
            <w:r w:rsidRPr="00781112">
              <w:rPr>
                <w:b/>
                <w:color w:val="000000" w:themeColor="text1"/>
              </w:rPr>
              <w:t>2017</w:t>
            </w:r>
          </w:p>
        </w:tc>
        <w:tc>
          <w:tcPr>
            <w:tcW w:w="833" w:type="pct"/>
            <w:shd w:val="clear" w:color="auto" w:fill="auto"/>
          </w:tcPr>
          <w:p w14:paraId="7D60853E" w14:textId="148AFB2D" w:rsidR="005A3C12" w:rsidRPr="00781112" w:rsidRDefault="002B7490" w:rsidP="0077257F">
            <w:pPr>
              <w:jc w:val="center"/>
              <w:rPr>
                <w:b/>
                <w:color w:val="000000" w:themeColor="text1"/>
              </w:rPr>
            </w:pPr>
            <w:r w:rsidRPr="00781112">
              <w:rPr>
                <w:b/>
                <w:color w:val="000000" w:themeColor="text1"/>
              </w:rPr>
              <w:t>2018</w:t>
            </w:r>
          </w:p>
        </w:tc>
        <w:tc>
          <w:tcPr>
            <w:tcW w:w="833" w:type="pct"/>
            <w:shd w:val="clear" w:color="auto" w:fill="auto"/>
          </w:tcPr>
          <w:p w14:paraId="7AE4870B" w14:textId="1CBB7B36" w:rsidR="005A3C12" w:rsidRPr="00781112" w:rsidRDefault="002B7490" w:rsidP="0077257F">
            <w:pPr>
              <w:jc w:val="center"/>
              <w:rPr>
                <w:b/>
                <w:color w:val="000000" w:themeColor="text1"/>
              </w:rPr>
            </w:pPr>
            <w:r w:rsidRPr="00781112">
              <w:rPr>
                <w:b/>
                <w:color w:val="000000" w:themeColor="text1"/>
              </w:rPr>
              <w:t>2019</w:t>
            </w:r>
          </w:p>
        </w:tc>
        <w:tc>
          <w:tcPr>
            <w:tcW w:w="833" w:type="pct"/>
            <w:shd w:val="clear" w:color="auto" w:fill="auto"/>
          </w:tcPr>
          <w:p w14:paraId="2C1DA403" w14:textId="484DDCF7" w:rsidR="005A3C12" w:rsidRPr="00781112" w:rsidRDefault="002B7490" w:rsidP="0077257F">
            <w:pPr>
              <w:jc w:val="center"/>
              <w:rPr>
                <w:b/>
                <w:color w:val="000000" w:themeColor="text1"/>
              </w:rPr>
            </w:pPr>
            <w:r w:rsidRPr="00781112">
              <w:rPr>
                <w:b/>
                <w:color w:val="000000" w:themeColor="text1"/>
              </w:rPr>
              <w:t>2020</w:t>
            </w:r>
          </w:p>
        </w:tc>
        <w:tc>
          <w:tcPr>
            <w:tcW w:w="834" w:type="pct"/>
            <w:shd w:val="clear" w:color="auto" w:fill="auto"/>
          </w:tcPr>
          <w:p w14:paraId="0829DA0A" w14:textId="7480CDCA" w:rsidR="005A3C12" w:rsidRPr="00781112" w:rsidRDefault="002B7490" w:rsidP="0077257F">
            <w:pPr>
              <w:jc w:val="center"/>
              <w:rPr>
                <w:b/>
                <w:color w:val="000000" w:themeColor="text1"/>
              </w:rPr>
            </w:pPr>
            <w:r w:rsidRPr="00781112">
              <w:rPr>
                <w:b/>
                <w:color w:val="000000" w:themeColor="text1"/>
              </w:rPr>
              <w:t>2021</w:t>
            </w:r>
          </w:p>
        </w:tc>
      </w:tr>
      <w:tr w:rsidR="005C29F8" w:rsidRPr="00781112" w14:paraId="070DB2EE" w14:textId="77777777" w:rsidTr="002B4D97">
        <w:trPr>
          <w:trHeight w:val="357"/>
        </w:trPr>
        <w:tc>
          <w:tcPr>
            <w:tcW w:w="833" w:type="pct"/>
            <w:shd w:val="clear" w:color="auto" w:fill="auto"/>
          </w:tcPr>
          <w:p w14:paraId="0009CFCE" w14:textId="438B1224" w:rsidR="005A3C12" w:rsidRPr="00781112" w:rsidRDefault="005A3C12" w:rsidP="00BA3DBE">
            <w:pPr>
              <w:jc w:val="center"/>
              <w:rPr>
                <w:rFonts w:cs="Arial"/>
                <w:color w:val="000000" w:themeColor="text1"/>
                <w:szCs w:val="16"/>
              </w:rPr>
            </w:pPr>
            <w:r w:rsidRPr="00781112">
              <w:rPr>
                <w:rFonts w:cs="Arial"/>
                <w:color w:val="000000" w:themeColor="text1"/>
                <w:szCs w:val="16"/>
              </w:rPr>
              <w:t>Target</w:t>
            </w:r>
          </w:p>
        </w:tc>
        <w:tc>
          <w:tcPr>
            <w:tcW w:w="833" w:type="pct"/>
            <w:shd w:val="clear" w:color="auto" w:fill="auto"/>
          </w:tcPr>
          <w:p w14:paraId="1375BD99" w14:textId="6D10741B"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26F74D0F" w14:textId="4AE09CE9"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7853FB9A" w14:textId="12B0C6E3"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48E831B0" w14:textId="55B124AD"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c>
          <w:tcPr>
            <w:tcW w:w="834" w:type="pct"/>
            <w:shd w:val="clear" w:color="auto" w:fill="auto"/>
          </w:tcPr>
          <w:p w14:paraId="0EC718C3" w14:textId="25E87C80"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r>
      <w:tr w:rsidR="005C29F8" w:rsidRPr="00781112" w14:paraId="72345F0E" w14:textId="77777777" w:rsidTr="002B4D97">
        <w:trPr>
          <w:trHeight w:val="85"/>
        </w:trPr>
        <w:tc>
          <w:tcPr>
            <w:tcW w:w="833" w:type="pct"/>
            <w:shd w:val="clear" w:color="auto" w:fill="auto"/>
          </w:tcPr>
          <w:p w14:paraId="33960FE1" w14:textId="77777777" w:rsidR="005A3C12" w:rsidRPr="00781112" w:rsidRDefault="005A3C12"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1EEC0627" w14:textId="677F8A3D"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tcPr>
          <w:p w14:paraId="5FB4D0B8" w14:textId="190E02CD"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36B818C8" w14:textId="70F8E2EA"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4F9B86C0" w14:textId="2EC4A366"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c>
          <w:tcPr>
            <w:tcW w:w="834" w:type="pct"/>
            <w:tcBorders>
              <w:bottom w:val="single" w:sz="4" w:space="0" w:color="auto"/>
            </w:tcBorders>
            <w:shd w:val="clear" w:color="auto" w:fill="auto"/>
            <w:vAlign w:val="center"/>
          </w:tcPr>
          <w:p w14:paraId="1C8D4247" w14:textId="1E5D4F59"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r>
      <w:bookmarkEnd w:id="71"/>
      <w:bookmarkEnd w:id="72"/>
    </w:tbl>
    <w:p w14:paraId="1840A66A" w14:textId="77777777" w:rsidR="00BA687C" w:rsidRPr="00781112" w:rsidRDefault="00BA687C" w:rsidP="004369B2">
      <w:pPr>
        <w:rPr>
          <w:color w:val="000000" w:themeColor="text1"/>
        </w:rPr>
      </w:pPr>
    </w:p>
    <w:p w14:paraId="618FFFDA" w14:textId="2F1D75E5" w:rsidR="007A3964" w:rsidRPr="00781112" w:rsidRDefault="007A3964" w:rsidP="004369B2">
      <w:pPr>
        <w:rPr>
          <w:color w:val="000000" w:themeColor="text1"/>
        </w:rPr>
      </w:pPr>
      <w:r w:rsidRPr="00781112">
        <w:rPr>
          <w:b/>
          <w:color w:val="000000" w:themeColor="text1"/>
        </w:rPr>
        <w:t>Targets</w:t>
      </w:r>
    </w:p>
    <w:tbl>
      <w:tblPr>
        <w:tblW w:w="3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0TARGETS"/>
      </w:tblPr>
      <w:tblGrid>
        <w:gridCol w:w="1539"/>
        <w:gridCol w:w="1542"/>
        <w:gridCol w:w="1543"/>
        <w:gridCol w:w="1542"/>
        <w:gridCol w:w="1542"/>
      </w:tblGrid>
      <w:tr w:rsidR="00B67FCE" w:rsidRPr="00781112" w14:paraId="66B5B2AB" w14:textId="77A1A8F1" w:rsidTr="00845B9B">
        <w:trPr>
          <w:trHeight w:val="424"/>
        </w:trPr>
        <w:tc>
          <w:tcPr>
            <w:tcW w:w="999" w:type="pct"/>
            <w:tcBorders>
              <w:bottom w:val="single" w:sz="4" w:space="0" w:color="auto"/>
            </w:tcBorders>
            <w:shd w:val="clear" w:color="auto" w:fill="auto"/>
          </w:tcPr>
          <w:p w14:paraId="6C572A94" w14:textId="77777777" w:rsidR="00B67FCE" w:rsidRPr="00781112" w:rsidRDefault="00B67FCE" w:rsidP="00D0796B">
            <w:pPr>
              <w:jc w:val="center"/>
              <w:rPr>
                <w:b/>
                <w:color w:val="000000" w:themeColor="text1"/>
              </w:rPr>
            </w:pPr>
            <w:r w:rsidRPr="00781112">
              <w:rPr>
                <w:b/>
                <w:color w:val="000000" w:themeColor="text1"/>
              </w:rPr>
              <w:t>FFY</w:t>
            </w:r>
          </w:p>
        </w:tc>
        <w:tc>
          <w:tcPr>
            <w:tcW w:w="1000" w:type="pct"/>
            <w:shd w:val="clear" w:color="auto" w:fill="auto"/>
          </w:tcPr>
          <w:p w14:paraId="67096E8B" w14:textId="77777777" w:rsidR="00B67FCE" w:rsidRPr="00781112" w:rsidRDefault="00B67FCE" w:rsidP="00D0796B">
            <w:pPr>
              <w:jc w:val="center"/>
              <w:rPr>
                <w:b/>
                <w:color w:val="000000" w:themeColor="text1"/>
              </w:rPr>
            </w:pPr>
            <w:r w:rsidRPr="00781112">
              <w:rPr>
                <w:b/>
                <w:color w:val="000000" w:themeColor="text1"/>
              </w:rPr>
              <w:t>2022</w:t>
            </w:r>
          </w:p>
        </w:tc>
        <w:tc>
          <w:tcPr>
            <w:tcW w:w="1001" w:type="pct"/>
          </w:tcPr>
          <w:p w14:paraId="0FDB27DB" w14:textId="2A7CA3D5" w:rsidR="00B67FCE" w:rsidRPr="00781112" w:rsidRDefault="00B67FCE" w:rsidP="00D0796B">
            <w:pPr>
              <w:jc w:val="center"/>
              <w:rPr>
                <w:b/>
                <w:color w:val="000000" w:themeColor="text1"/>
              </w:rPr>
            </w:pPr>
            <w:r w:rsidRPr="00781112">
              <w:rPr>
                <w:rFonts w:cs="Arial"/>
                <w:b/>
                <w:color w:val="000000" w:themeColor="text1"/>
                <w:szCs w:val="16"/>
              </w:rPr>
              <w:t>2023</w:t>
            </w:r>
          </w:p>
        </w:tc>
        <w:tc>
          <w:tcPr>
            <w:tcW w:w="1000" w:type="pct"/>
          </w:tcPr>
          <w:p w14:paraId="6594AB3D" w14:textId="0AA5EB84" w:rsidR="00B67FCE" w:rsidRPr="00781112" w:rsidRDefault="00B67FCE" w:rsidP="00D0796B">
            <w:pPr>
              <w:jc w:val="center"/>
              <w:rPr>
                <w:b/>
                <w:color w:val="000000" w:themeColor="text1"/>
              </w:rPr>
            </w:pPr>
            <w:r w:rsidRPr="00781112">
              <w:rPr>
                <w:rFonts w:cs="Arial"/>
                <w:b/>
                <w:color w:val="000000" w:themeColor="text1"/>
                <w:szCs w:val="16"/>
              </w:rPr>
              <w:t>2024</w:t>
            </w:r>
          </w:p>
        </w:tc>
        <w:tc>
          <w:tcPr>
            <w:tcW w:w="1001" w:type="pct"/>
          </w:tcPr>
          <w:p w14:paraId="137A2339" w14:textId="1A48CA5C" w:rsidR="00B67FCE" w:rsidRPr="00781112" w:rsidRDefault="00B67FCE" w:rsidP="00D0796B">
            <w:pPr>
              <w:jc w:val="center"/>
              <w:rPr>
                <w:b/>
                <w:color w:val="000000" w:themeColor="text1"/>
              </w:rPr>
            </w:pPr>
            <w:r w:rsidRPr="00781112">
              <w:rPr>
                <w:rFonts w:cs="Arial"/>
                <w:b/>
                <w:color w:val="000000" w:themeColor="text1"/>
                <w:szCs w:val="16"/>
              </w:rPr>
              <w:t>2025</w:t>
            </w:r>
          </w:p>
        </w:tc>
      </w:tr>
      <w:tr w:rsidR="00B67FCE" w:rsidRPr="00781112" w14:paraId="169ED4F0" w14:textId="16F5CD6F" w:rsidTr="00845B9B">
        <w:trPr>
          <w:trHeight w:val="432"/>
        </w:trPr>
        <w:tc>
          <w:tcPr>
            <w:tcW w:w="999" w:type="pct"/>
            <w:shd w:val="clear" w:color="auto" w:fill="auto"/>
            <w:vAlign w:val="center"/>
          </w:tcPr>
          <w:p w14:paraId="639437BD" w14:textId="5F1854A1" w:rsidR="00B67FCE" w:rsidRPr="00781112" w:rsidRDefault="00B67FCE" w:rsidP="00BA3DBE">
            <w:pPr>
              <w:jc w:val="center"/>
              <w:rPr>
                <w:rFonts w:cs="Arial"/>
                <w:color w:val="000000" w:themeColor="text1"/>
                <w:szCs w:val="16"/>
              </w:rPr>
            </w:pPr>
            <w:r w:rsidRPr="00781112">
              <w:rPr>
                <w:rFonts w:cs="Arial"/>
                <w:color w:val="000000" w:themeColor="text1"/>
                <w:szCs w:val="16"/>
              </w:rPr>
              <w:t>Target</w:t>
            </w:r>
          </w:p>
        </w:tc>
        <w:tc>
          <w:tcPr>
            <w:tcW w:w="1000" w:type="pct"/>
            <w:shd w:val="clear" w:color="auto" w:fill="auto"/>
            <w:vAlign w:val="center"/>
          </w:tcPr>
          <w:p w14:paraId="482B43E6" w14:textId="62FCF10C" w:rsidR="00B67FCE" w:rsidRPr="00781112" w:rsidRDefault="00B67FCE" w:rsidP="00D0796B">
            <w:pPr>
              <w:jc w:val="center"/>
              <w:rPr>
                <w:rFonts w:cs="Arial"/>
                <w:color w:val="000000" w:themeColor="text1"/>
                <w:szCs w:val="16"/>
              </w:rPr>
            </w:pPr>
            <w:r w:rsidRPr="00781112">
              <w:rPr>
                <w:rFonts w:cs="Arial"/>
                <w:color w:val="000000" w:themeColor="text1"/>
                <w:szCs w:val="16"/>
              </w:rPr>
              <w:t>0%</w:t>
            </w:r>
          </w:p>
        </w:tc>
        <w:tc>
          <w:tcPr>
            <w:tcW w:w="1001" w:type="pct"/>
          </w:tcPr>
          <w:p w14:paraId="6ED6CF52" w14:textId="07C8F82B" w:rsidR="00B67FCE" w:rsidRPr="00781112" w:rsidRDefault="00B67FCE" w:rsidP="00D0796B">
            <w:pPr>
              <w:jc w:val="center"/>
              <w:rPr>
                <w:rFonts w:cs="Arial"/>
                <w:color w:val="000000" w:themeColor="text1"/>
                <w:szCs w:val="16"/>
              </w:rPr>
            </w:pPr>
            <w:r w:rsidRPr="00781112">
              <w:rPr>
                <w:color w:val="000000" w:themeColor="text1"/>
                <w:szCs w:val="16"/>
              </w:rPr>
              <w:t>0%</w:t>
            </w:r>
          </w:p>
        </w:tc>
        <w:tc>
          <w:tcPr>
            <w:tcW w:w="1000" w:type="pct"/>
          </w:tcPr>
          <w:p w14:paraId="41DC7F3D" w14:textId="129F7B75" w:rsidR="00B67FCE" w:rsidRPr="00781112" w:rsidRDefault="00B67FCE" w:rsidP="00D0796B">
            <w:pPr>
              <w:jc w:val="center"/>
              <w:rPr>
                <w:rFonts w:cs="Arial"/>
                <w:color w:val="000000" w:themeColor="text1"/>
                <w:szCs w:val="16"/>
              </w:rPr>
            </w:pPr>
            <w:r w:rsidRPr="00781112">
              <w:rPr>
                <w:color w:val="000000" w:themeColor="text1"/>
                <w:szCs w:val="16"/>
              </w:rPr>
              <w:t>0%</w:t>
            </w:r>
          </w:p>
        </w:tc>
        <w:tc>
          <w:tcPr>
            <w:tcW w:w="1001" w:type="pct"/>
          </w:tcPr>
          <w:p w14:paraId="430A2A24" w14:textId="13021BDA" w:rsidR="00B67FCE" w:rsidRPr="00781112" w:rsidRDefault="00B67FCE" w:rsidP="00D0796B">
            <w:pPr>
              <w:jc w:val="center"/>
              <w:rPr>
                <w:rFonts w:cs="Arial"/>
                <w:color w:val="000000" w:themeColor="text1"/>
                <w:szCs w:val="16"/>
              </w:rPr>
            </w:pPr>
            <w:r w:rsidRPr="00781112">
              <w:rPr>
                <w:color w:val="000000" w:themeColor="text1"/>
                <w:szCs w:val="16"/>
              </w:rPr>
              <w:t>0%</w:t>
            </w:r>
          </w:p>
        </w:tc>
      </w:tr>
    </w:tbl>
    <w:p w14:paraId="52F4815B" w14:textId="77777777" w:rsidR="00BA687C" w:rsidRPr="00781112" w:rsidRDefault="00BA687C" w:rsidP="004369B2">
      <w:pPr>
        <w:rPr>
          <w:color w:val="000000" w:themeColor="text1"/>
        </w:rPr>
      </w:pPr>
    </w:p>
    <w:p w14:paraId="7CAE922F" w14:textId="2EAB64FC" w:rsidR="005A3C12" w:rsidRPr="00781112" w:rsidRDefault="0047313F">
      <w:pPr>
        <w:rPr>
          <w:b/>
          <w:color w:val="000000" w:themeColor="text1"/>
        </w:rPr>
      </w:pPr>
      <w:r>
        <w:rPr>
          <w:b/>
          <w:color w:val="000000" w:themeColor="text1"/>
        </w:rPr>
        <w:t>FFY 2022 SPP/APR Data</w:t>
      </w:r>
    </w:p>
    <w:p w14:paraId="2910402D" w14:textId="579385FD" w:rsidR="00C2395D" w:rsidRPr="00781112" w:rsidRDefault="00C2395D">
      <w:pPr>
        <w:rPr>
          <w:rFonts w:cs="Arial"/>
          <w:b/>
          <w:color w:val="000000" w:themeColor="text1"/>
          <w:szCs w:val="16"/>
        </w:rPr>
      </w:pPr>
      <w:r w:rsidRPr="00781112">
        <w:rPr>
          <w:rFonts w:cs="Arial"/>
          <w:b/>
          <w:color w:val="000000" w:themeColor="text1"/>
          <w:szCs w:val="16"/>
        </w:rPr>
        <w:t>Has the state established a minimum n and/or cell size requirement? (yes/no)</w:t>
      </w:r>
    </w:p>
    <w:p w14:paraId="51881593" w14:textId="15FAF06D" w:rsidR="00C2395D" w:rsidRPr="00781112" w:rsidRDefault="00C2395D">
      <w:pPr>
        <w:rPr>
          <w:rFonts w:cs="Arial"/>
          <w:color w:val="000000" w:themeColor="text1"/>
          <w:szCs w:val="16"/>
        </w:rPr>
      </w:pPr>
      <w:bookmarkStart w:id="73" w:name="_Hlk20258880"/>
      <w:r w:rsidRPr="00781112">
        <w:rPr>
          <w:rFonts w:cs="Arial"/>
          <w:color w:val="000000" w:themeColor="text1"/>
          <w:szCs w:val="16"/>
        </w:rPr>
        <w:t>YES</w:t>
      </w:r>
    </w:p>
    <w:bookmarkEnd w:id="73"/>
    <w:p w14:paraId="68C2343A" w14:textId="52DDFC94" w:rsidR="00C2395D" w:rsidRPr="00781112" w:rsidRDefault="00C2395D">
      <w:pPr>
        <w:rPr>
          <w:rFonts w:cs="Arial"/>
          <w:b/>
          <w:color w:val="000000" w:themeColor="text1"/>
          <w:szCs w:val="16"/>
        </w:rPr>
      </w:pPr>
      <w:r w:rsidRPr="00781112">
        <w:rPr>
          <w:rFonts w:cs="Arial"/>
          <w:b/>
          <w:color w:val="000000" w:themeColor="text1"/>
          <w:szCs w:val="16"/>
        </w:rPr>
        <w:t>If yes, the State may only include, in both the numerator and the denominator, districts that met the State-established n and/or cell size. Report the number of districts excluded from the calculation as a result of the requirement.</w:t>
      </w:r>
    </w:p>
    <w:p w14:paraId="0B319A04" w14:textId="0BE2333F" w:rsidR="00C2395D" w:rsidRPr="00781112" w:rsidRDefault="00C2395D">
      <w:pPr>
        <w:rPr>
          <w:rFonts w:cs="Arial"/>
          <w:color w:val="000000" w:themeColor="text1"/>
          <w:szCs w:val="16"/>
        </w:rPr>
      </w:pPr>
      <w:r w:rsidRPr="00781112">
        <w:rPr>
          <w:rFonts w:cs="Arial"/>
          <w:color w:val="000000" w:themeColor="text1"/>
          <w:szCs w:val="16"/>
        </w:rPr>
        <w:t>54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0CFFYAPRDATA"/>
      </w:tblPr>
      <w:tblGrid>
        <w:gridCol w:w="1200"/>
        <w:gridCol w:w="1259"/>
        <w:gridCol w:w="1807"/>
        <w:gridCol w:w="1158"/>
        <w:gridCol w:w="1724"/>
        <w:gridCol w:w="1045"/>
        <w:gridCol w:w="1319"/>
        <w:gridCol w:w="1278"/>
      </w:tblGrid>
      <w:tr w:rsidR="00206A65" w:rsidRPr="00781112" w14:paraId="46B7EEE9" w14:textId="299BDFCD" w:rsidTr="002B4D97">
        <w:trPr>
          <w:trHeight w:val="354"/>
        </w:trPr>
        <w:tc>
          <w:tcPr>
            <w:tcW w:w="556" w:type="pct"/>
            <w:shd w:val="clear" w:color="auto" w:fill="auto"/>
            <w:vAlign w:val="bottom"/>
          </w:tcPr>
          <w:p w14:paraId="0E28349C" w14:textId="44D96017" w:rsidR="00206A65" w:rsidRPr="00781112" w:rsidRDefault="00206A65" w:rsidP="00206A65">
            <w:pPr>
              <w:jc w:val="center"/>
              <w:rPr>
                <w:b/>
                <w:color w:val="000000" w:themeColor="text1"/>
              </w:rPr>
            </w:pPr>
            <w:r w:rsidRPr="00781112">
              <w:rPr>
                <w:b/>
                <w:color w:val="000000" w:themeColor="text1"/>
              </w:rPr>
              <w:t>Number of districts with disproportionate representation of racial/ethnic groups in specific disability categories</w:t>
            </w:r>
          </w:p>
        </w:tc>
        <w:tc>
          <w:tcPr>
            <w:tcW w:w="583" w:type="pct"/>
            <w:shd w:val="clear" w:color="auto" w:fill="auto"/>
            <w:vAlign w:val="bottom"/>
          </w:tcPr>
          <w:p w14:paraId="3776FC0B" w14:textId="62483782" w:rsidR="00206A65" w:rsidRPr="00781112" w:rsidRDefault="00206A65" w:rsidP="00206A65">
            <w:pPr>
              <w:jc w:val="center"/>
              <w:rPr>
                <w:b/>
                <w:color w:val="000000" w:themeColor="text1"/>
              </w:rPr>
            </w:pPr>
            <w:r w:rsidRPr="00781112">
              <w:rPr>
                <w:b/>
                <w:color w:val="000000" w:themeColor="text1"/>
              </w:rPr>
              <w:t>Number of districts with disproportionate representation of racial/ethnic groups in specific disability categories that is the result of inappropriate identification</w:t>
            </w:r>
          </w:p>
        </w:tc>
        <w:tc>
          <w:tcPr>
            <w:tcW w:w="837" w:type="pct"/>
            <w:shd w:val="clear" w:color="auto" w:fill="auto"/>
            <w:vAlign w:val="bottom"/>
          </w:tcPr>
          <w:p w14:paraId="355E2973" w14:textId="5007428A" w:rsidR="00206A65" w:rsidRPr="00781112" w:rsidRDefault="00206A65" w:rsidP="00206A65">
            <w:pPr>
              <w:jc w:val="center"/>
              <w:rPr>
                <w:b/>
                <w:color w:val="000000" w:themeColor="text1"/>
              </w:rPr>
            </w:pPr>
            <w:r w:rsidRPr="00781112">
              <w:rPr>
                <w:b/>
                <w:color w:val="000000" w:themeColor="text1"/>
              </w:rPr>
              <w:t>Number of districts that met the State's minimum n and/or cell size</w:t>
            </w:r>
          </w:p>
        </w:tc>
        <w:tc>
          <w:tcPr>
            <w:tcW w:w="537" w:type="pct"/>
            <w:shd w:val="clear" w:color="auto" w:fill="auto"/>
            <w:vAlign w:val="bottom"/>
          </w:tcPr>
          <w:p w14:paraId="7466F790" w14:textId="004DD644" w:rsidR="00206A65" w:rsidRPr="00CC1061" w:rsidRDefault="00206A65" w:rsidP="00206A65">
            <w:pPr>
              <w:jc w:val="center"/>
              <w:rPr>
                <w:b/>
                <w:bCs/>
                <w:color w:val="000000" w:themeColor="text1"/>
              </w:rPr>
            </w:pPr>
            <w:r w:rsidRPr="00CC1061">
              <w:rPr>
                <w:b/>
                <w:bCs/>
              </w:rPr>
              <w:t>FFY 2021 Data</w:t>
            </w:r>
          </w:p>
        </w:tc>
        <w:tc>
          <w:tcPr>
            <w:tcW w:w="799" w:type="pct"/>
            <w:shd w:val="clear" w:color="auto" w:fill="auto"/>
            <w:vAlign w:val="bottom"/>
          </w:tcPr>
          <w:p w14:paraId="72475F3B" w14:textId="4521A374" w:rsidR="00206A65" w:rsidRPr="00CC1061" w:rsidRDefault="00206A65" w:rsidP="00206A65">
            <w:pPr>
              <w:jc w:val="center"/>
              <w:rPr>
                <w:b/>
                <w:bCs/>
                <w:color w:val="000000" w:themeColor="text1"/>
              </w:rPr>
            </w:pPr>
            <w:r w:rsidRPr="00CC1061">
              <w:rPr>
                <w:b/>
                <w:bCs/>
              </w:rPr>
              <w:t>FFY 2022 Target</w:t>
            </w:r>
          </w:p>
        </w:tc>
        <w:tc>
          <w:tcPr>
            <w:tcW w:w="484" w:type="pct"/>
            <w:shd w:val="clear" w:color="auto" w:fill="auto"/>
            <w:vAlign w:val="bottom"/>
          </w:tcPr>
          <w:p w14:paraId="71FC938A" w14:textId="36886E30" w:rsidR="00206A65" w:rsidRPr="00CC1061" w:rsidRDefault="00206A65" w:rsidP="00206A65">
            <w:pPr>
              <w:jc w:val="center"/>
              <w:rPr>
                <w:b/>
                <w:bCs/>
                <w:color w:val="000000" w:themeColor="text1"/>
              </w:rPr>
            </w:pPr>
            <w:r w:rsidRPr="00CC1061">
              <w:rPr>
                <w:b/>
                <w:bCs/>
              </w:rPr>
              <w:t>FFY 2022 Data</w:t>
            </w:r>
          </w:p>
        </w:tc>
        <w:tc>
          <w:tcPr>
            <w:tcW w:w="611" w:type="pct"/>
            <w:shd w:val="clear" w:color="auto" w:fill="auto"/>
            <w:vAlign w:val="bottom"/>
          </w:tcPr>
          <w:p w14:paraId="3412B11F" w14:textId="60F985B5" w:rsidR="00206A65" w:rsidRPr="00781112" w:rsidRDefault="00206A65" w:rsidP="00206A65">
            <w:pPr>
              <w:jc w:val="center"/>
              <w:rPr>
                <w:b/>
                <w:color w:val="000000" w:themeColor="text1"/>
              </w:rPr>
            </w:pPr>
            <w:r w:rsidRPr="00781112">
              <w:rPr>
                <w:b/>
                <w:color w:val="000000" w:themeColor="text1"/>
              </w:rPr>
              <w:t>Status</w:t>
            </w:r>
          </w:p>
        </w:tc>
        <w:tc>
          <w:tcPr>
            <w:tcW w:w="592" w:type="pct"/>
            <w:shd w:val="clear" w:color="auto" w:fill="auto"/>
            <w:vAlign w:val="bottom"/>
          </w:tcPr>
          <w:p w14:paraId="5BE578EA" w14:textId="42655681" w:rsidR="00206A65" w:rsidRPr="00781112" w:rsidRDefault="00206A65" w:rsidP="00206A65">
            <w:pPr>
              <w:jc w:val="center"/>
              <w:rPr>
                <w:b/>
                <w:color w:val="000000" w:themeColor="text1"/>
              </w:rPr>
            </w:pPr>
            <w:r w:rsidRPr="00781112">
              <w:rPr>
                <w:b/>
                <w:color w:val="000000" w:themeColor="text1"/>
              </w:rPr>
              <w:t>Slippage</w:t>
            </w:r>
          </w:p>
        </w:tc>
      </w:tr>
      <w:tr w:rsidR="005C29F8" w:rsidRPr="00781112" w14:paraId="15B9A5E7" w14:textId="77777777" w:rsidTr="002B4D97">
        <w:tblPrEx>
          <w:jc w:val="center"/>
        </w:tblPrEx>
        <w:trPr>
          <w:trHeight w:val="361"/>
          <w:jc w:val="center"/>
        </w:trPr>
        <w:tc>
          <w:tcPr>
            <w:tcW w:w="556" w:type="pct"/>
            <w:shd w:val="clear" w:color="auto" w:fill="auto"/>
            <w:vAlign w:val="center"/>
          </w:tcPr>
          <w:p w14:paraId="4E60E5C8" w14:textId="6324B6DD" w:rsidR="00832807" w:rsidRPr="00781112" w:rsidRDefault="002B7490" w:rsidP="00A018D4">
            <w:pPr>
              <w:jc w:val="center"/>
              <w:rPr>
                <w:rFonts w:cs="Arial"/>
                <w:color w:val="000000" w:themeColor="text1"/>
                <w:szCs w:val="16"/>
              </w:rPr>
            </w:pPr>
            <w:r w:rsidRPr="00781112">
              <w:rPr>
                <w:rFonts w:cs="Arial"/>
                <w:color w:val="000000" w:themeColor="text1"/>
                <w:szCs w:val="16"/>
              </w:rPr>
              <w:t>1</w:t>
            </w:r>
          </w:p>
        </w:tc>
        <w:tc>
          <w:tcPr>
            <w:tcW w:w="583" w:type="pct"/>
            <w:shd w:val="clear" w:color="auto" w:fill="auto"/>
            <w:vAlign w:val="center"/>
          </w:tcPr>
          <w:p w14:paraId="765C1600" w14:textId="09979D5F" w:rsidR="00832807" w:rsidRPr="00781112" w:rsidRDefault="002B7490">
            <w:pPr>
              <w:jc w:val="center"/>
              <w:rPr>
                <w:rFonts w:cs="Arial"/>
                <w:color w:val="000000" w:themeColor="text1"/>
                <w:szCs w:val="16"/>
              </w:rPr>
            </w:pPr>
            <w:r w:rsidRPr="00781112">
              <w:rPr>
                <w:rFonts w:cs="Arial"/>
                <w:color w:val="000000" w:themeColor="text1"/>
                <w:szCs w:val="16"/>
              </w:rPr>
              <w:t>0</w:t>
            </w:r>
          </w:p>
        </w:tc>
        <w:tc>
          <w:tcPr>
            <w:tcW w:w="837" w:type="pct"/>
            <w:shd w:val="clear" w:color="auto" w:fill="auto"/>
          </w:tcPr>
          <w:p w14:paraId="2F5939A9" w14:textId="0BB9A6FC" w:rsidR="00832807" w:rsidRPr="00781112" w:rsidRDefault="002B7490">
            <w:pPr>
              <w:jc w:val="center"/>
              <w:rPr>
                <w:rFonts w:cs="Arial"/>
                <w:color w:val="000000" w:themeColor="text1"/>
                <w:szCs w:val="16"/>
              </w:rPr>
            </w:pPr>
            <w:r w:rsidRPr="00781112">
              <w:rPr>
                <w:rFonts w:cs="Arial"/>
                <w:color w:val="000000" w:themeColor="text1"/>
                <w:szCs w:val="16"/>
              </w:rPr>
              <w:t>98</w:t>
            </w:r>
          </w:p>
        </w:tc>
        <w:tc>
          <w:tcPr>
            <w:tcW w:w="537" w:type="pct"/>
            <w:shd w:val="clear" w:color="auto" w:fill="auto"/>
          </w:tcPr>
          <w:p w14:paraId="0D05C70A" w14:textId="18F3C221" w:rsidR="00832807" w:rsidRPr="00781112" w:rsidRDefault="002B7490">
            <w:pPr>
              <w:jc w:val="center"/>
              <w:rPr>
                <w:rFonts w:cs="Arial"/>
                <w:color w:val="000000" w:themeColor="text1"/>
                <w:szCs w:val="16"/>
              </w:rPr>
            </w:pPr>
            <w:r w:rsidRPr="00781112">
              <w:rPr>
                <w:rFonts w:cs="Arial"/>
                <w:color w:val="000000" w:themeColor="text1"/>
                <w:szCs w:val="16"/>
              </w:rPr>
              <w:t>0.00%</w:t>
            </w:r>
          </w:p>
        </w:tc>
        <w:tc>
          <w:tcPr>
            <w:tcW w:w="799" w:type="pct"/>
            <w:shd w:val="clear" w:color="auto" w:fill="auto"/>
          </w:tcPr>
          <w:p w14:paraId="31B1786A" w14:textId="1C0FB493" w:rsidR="00832807" w:rsidRPr="00781112" w:rsidRDefault="009C65E9">
            <w:pPr>
              <w:jc w:val="center"/>
              <w:rPr>
                <w:rFonts w:cs="Arial"/>
                <w:color w:val="000000" w:themeColor="text1"/>
                <w:szCs w:val="16"/>
              </w:rPr>
            </w:pPr>
            <w:r w:rsidRPr="00781112">
              <w:rPr>
                <w:rFonts w:cs="Arial"/>
                <w:color w:val="000000" w:themeColor="text1"/>
                <w:szCs w:val="16"/>
              </w:rPr>
              <w:t>0%</w:t>
            </w:r>
          </w:p>
        </w:tc>
        <w:tc>
          <w:tcPr>
            <w:tcW w:w="484" w:type="pct"/>
            <w:shd w:val="clear" w:color="auto" w:fill="auto"/>
          </w:tcPr>
          <w:p w14:paraId="006553AD" w14:textId="5CF8CF00" w:rsidR="00832807" w:rsidRPr="00781112" w:rsidRDefault="002B7490">
            <w:pPr>
              <w:jc w:val="center"/>
              <w:rPr>
                <w:rFonts w:cs="Arial"/>
                <w:color w:val="000000" w:themeColor="text1"/>
                <w:szCs w:val="16"/>
              </w:rPr>
            </w:pPr>
            <w:r w:rsidRPr="00781112">
              <w:rPr>
                <w:rFonts w:cs="Arial"/>
                <w:color w:val="000000" w:themeColor="text1"/>
                <w:szCs w:val="16"/>
              </w:rPr>
              <w:t>0.00%</w:t>
            </w:r>
          </w:p>
        </w:tc>
        <w:tc>
          <w:tcPr>
            <w:tcW w:w="611" w:type="pct"/>
            <w:shd w:val="clear" w:color="auto" w:fill="auto"/>
          </w:tcPr>
          <w:p w14:paraId="4A47CD2B" w14:textId="7BEFFB19" w:rsidR="00832807" w:rsidRPr="00781112" w:rsidRDefault="002B7490">
            <w:pPr>
              <w:jc w:val="center"/>
              <w:rPr>
                <w:rFonts w:cs="Arial"/>
                <w:color w:val="000000" w:themeColor="text1"/>
                <w:szCs w:val="16"/>
              </w:rPr>
            </w:pPr>
            <w:r w:rsidRPr="00781112">
              <w:rPr>
                <w:rFonts w:cs="Arial"/>
                <w:color w:val="000000" w:themeColor="text1"/>
                <w:szCs w:val="16"/>
              </w:rPr>
              <w:t>Met target</w:t>
            </w:r>
          </w:p>
        </w:tc>
        <w:tc>
          <w:tcPr>
            <w:tcW w:w="592" w:type="pct"/>
            <w:shd w:val="clear" w:color="auto" w:fill="auto"/>
          </w:tcPr>
          <w:p w14:paraId="3F96C2BD" w14:textId="2A9BD6CA" w:rsidR="00832807" w:rsidRPr="00781112" w:rsidRDefault="002B7490">
            <w:pPr>
              <w:jc w:val="center"/>
              <w:rPr>
                <w:rFonts w:cs="Arial"/>
                <w:color w:val="000000" w:themeColor="text1"/>
                <w:szCs w:val="16"/>
              </w:rPr>
            </w:pPr>
            <w:r w:rsidRPr="00781112">
              <w:rPr>
                <w:rFonts w:cs="Arial"/>
                <w:color w:val="000000" w:themeColor="text1"/>
                <w:szCs w:val="16"/>
              </w:rPr>
              <w:t>No Slippage</w:t>
            </w:r>
          </w:p>
        </w:tc>
      </w:tr>
    </w:tbl>
    <w:p w14:paraId="59BA2CEF" w14:textId="4C507427" w:rsidR="00590296" w:rsidRPr="00781112" w:rsidRDefault="00A479A0" w:rsidP="00B6413B">
      <w:pPr>
        <w:rPr>
          <w:rFonts w:cs="Arial"/>
          <w:b/>
          <w:color w:val="000000" w:themeColor="text1"/>
          <w:szCs w:val="16"/>
        </w:rPr>
      </w:pPr>
      <w:r w:rsidRPr="00781112">
        <w:rPr>
          <w:rFonts w:cs="Arial"/>
          <w:b/>
          <w:color w:val="000000" w:themeColor="text1"/>
          <w:szCs w:val="16"/>
        </w:rPr>
        <w:t xml:space="preserve">Were all races and ethnicities included in the review? </w:t>
      </w:r>
    </w:p>
    <w:p w14:paraId="1590ED0F" w14:textId="7DC32C1D" w:rsidR="00590296" w:rsidRPr="00781112" w:rsidRDefault="00590296" w:rsidP="00B6413B">
      <w:pPr>
        <w:rPr>
          <w:rFonts w:cs="Arial"/>
          <w:color w:val="000000" w:themeColor="text1"/>
          <w:szCs w:val="16"/>
        </w:rPr>
      </w:pPr>
      <w:r w:rsidRPr="00781112">
        <w:rPr>
          <w:rFonts w:cs="Arial"/>
          <w:color w:val="000000" w:themeColor="text1"/>
          <w:szCs w:val="16"/>
        </w:rPr>
        <w:t>YES</w:t>
      </w:r>
    </w:p>
    <w:p w14:paraId="6EC83BB6" w14:textId="77777777" w:rsidR="0057259D" w:rsidRPr="00781112" w:rsidRDefault="0057259D" w:rsidP="004369B2">
      <w:pPr>
        <w:rPr>
          <w:b/>
          <w:color w:val="000000" w:themeColor="text1"/>
        </w:rPr>
      </w:pPr>
      <w:r w:rsidRPr="00781112">
        <w:rPr>
          <w:b/>
          <w:color w:val="000000" w:themeColor="text1"/>
        </w:rPr>
        <w:t xml:space="preserve">Define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 </w:t>
      </w:r>
    </w:p>
    <w:p w14:paraId="5C0E7099" w14:textId="60F75C08" w:rsidR="00481536" w:rsidRPr="00781112" w:rsidRDefault="002B7490" w:rsidP="003817C0">
      <w:pPr>
        <w:rPr>
          <w:rFonts w:cs="Arial"/>
          <w:color w:val="000000" w:themeColor="text1"/>
          <w:szCs w:val="16"/>
        </w:rPr>
      </w:pPr>
      <w:r w:rsidRPr="00781112">
        <w:rPr>
          <w:rFonts w:cs="Arial"/>
          <w:color w:val="000000" w:themeColor="text1"/>
          <w:szCs w:val="16"/>
        </w:rPr>
        <w:t>Disproportionate representation defined:</w:t>
        <w:br/>
        <w:t>1. Calculation method: Risk Ratio and Alternate Risk Ratio</w:t>
        <w:br/>
        <w:t>2. Threshold at which disproportionate representation is identified: Risk Ratio (RR) and Alternate Risk Ratio (ARR) of 3.0 or above (over-representation) for students ages 5 in Kindergarten – 21</w:t>
        <w:br/>
        <w:t>3. Number of years of data used in calculation: One year</w:t>
        <w:br/>
        <w:t>4. Minimum cell size: Greater than 10 students or more in racial/ethnic group category and disability category</w:t>
        <w:br/>
        <w:t/>
        <w:br/>
        <w:t>Methodology</w:t>
        <w:br/>
        <w:t>For an LEA to be identified as having disproportionate representation in special education and related services of racial and ethnic groups, by disability category, that was the result of inappropriate identification, the following criteria must be met:</w:t>
        <w:br/>
        <w:t xml:space="preserve">• Have an N size of greater than 10 students, or more, in the racial and ethnic groups and disability category; and </w:t>
        <w:br/>
        <w:t>• Risk Ratio (RR) and Alternate Risk Ratio (ARR) of 3.0 or above (over-representation) for students ages 5 in Kindergarten – 21; and</w:t>
        <w:br/>
        <w:t>• Policies, procedures, and/or practices which contributed to the disproportionate representation.</w:t>
        <w:br/>
        <w:t>• One year of data is used in the calculation.</w:t>
      </w:r>
    </w:p>
    <w:p w14:paraId="469A27F6" w14:textId="13AEF7C8" w:rsidR="0057259D" w:rsidRPr="00781112" w:rsidRDefault="0057259D" w:rsidP="004369B2">
      <w:pPr>
        <w:rPr>
          <w:b/>
          <w:color w:val="000000" w:themeColor="text1"/>
        </w:rPr>
      </w:pPr>
      <w:r w:rsidRPr="00781112">
        <w:rPr>
          <w:b/>
          <w:color w:val="000000" w:themeColor="text1"/>
        </w:rPr>
        <w:t>Describe how the State made its annual determination as to whether the disproportionate overrepresentation it identified of racial and ethnic groups in specific disability categories was the result of inappropriate identification.</w:t>
      </w:r>
    </w:p>
    <w:p w14:paraId="37B23307" w14:textId="467F2F39" w:rsidR="00481536" w:rsidRPr="00781112" w:rsidRDefault="002B7490" w:rsidP="003817C0">
      <w:pPr>
        <w:rPr>
          <w:rFonts w:cs="Arial"/>
          <w:color w:val="000000" w:themeColor="text1"/>
          <w:szCs w:val="16"/>
        </w:rPr>
      </w:pPr>
      <w:r w:rsidRPr="00781112">
        <w:rPr>
          <w:rFonts w:cs="Arial"/>
          <w:color w:val="000000" w:themeColor="text1"/>
          <w:szCs w:val="16"/>
        </w:rPr>
        <w:t xml:space="preserve">In FFY 2022, no LEAs were identified as demonstrating disproportionate overrepresentation in special education and related services of racial and ethnic groups by disability category. To make this determination for the one LEA that met the criteria in the calculation method and threshold described in the section above, the state completed a review of an LEA completed self-assessment along with a review of LEA policies, practices and procedures (PPPs).  The LEA was notified in writing of the possible disproportionate representation and required to complete and submit the Indicator 10 Self-Assessment Protocol, along with the LEAs PPPs to the State.  The State examined the LEA's self-assessment and the PPPs  to determine if they contributed to the possible inappropriate identification. Upon conclusion of this process, the State determined for the one LEA, that the disproportionate representation was not the result of inappropriate identification. </w:t>
      </w:r>
    </w:p>
    <w:p w14:paraId="1FCF1BF3" w14:textId="77777777" w:rsidR="00DF1529" w:rsidRPr="00781112" w:rsidRDefault="00DF1529" w:rsidP="00DF1529">
      <w:pPr>
        <w:rPr>
          <w:rFonts w:cs="Arial"/>
          <w:b/>
          <w:color w:val="000000" w:themeColor="text1"/>
          <w:szCs w:val="16"/>
        </w:rPr>
      </w:pPr>
      <w:bookmarkStart w:id="74" w:name="_Toc381956338"/>
      <w:bookmarkStart w:id="75" w:name="_Toc384383352"/>
      <w:bookmarkStart w:id="76" w:name="_Toc392159320"/>
      <w:r w:rsidRPr="00781112">
        <w:rPr>
          <w:rFonts w:cs="Arial"/>
          <w:b/>
          <w:color w:val="000000" w:themeColor="text1"/>
          <w:szCs w:val="16"/>
        </w:rPr>
        <w:t>Provide additional information about this indicator (optional)</w:t>
      </w:r>
    </w:p>
    <w:p w14:paraId="6A3194C2" w14:textId="40939986" w:rsidR="00481536" w:rsidRPr="00781112" w:rsidRDefault="002B7490" w:rsidP="007D435F">
      <w:pPr>
        <w:rPr>
          <w:rFonts w:cs="Arial"/>
          <w:color w:val="000000" w:themeColor="text1"/>
          <w:szCs w:val="16"/>
        </w:rPr>
      </w:pPr>
      <w:r w:rsidRPr="00781112">
        <w:rPr>
          <w:rFonts w:cs="Arial"/>
          <w:color w:val="000000" w:themeColor="text1"/>
          <w:szCs w:val="16"/>
        </w:rPr>
        <w:t>The State is currently in the process of examining the methodology and definition for disproportionate representation to ensure it is reasonably designed. State staff are working with staff from the IDEA Data Center (IDC) with this process. Any changes made will be completed in collaboration with stakeholders.</w:t>
      </w:r>
    </w:p>
    <w:p w14:paraId="4638F78F" w14:textId="77777777" w:rsidR="00BA687C" w:rsidRPr="00781112" w:rsidRDefault="00BA687C" w:rsidP="004369B2">
      <w:pPr>
        <w:rPr>
          <w:color w:val="000000" w:themeColor="text1"/>
        </w:rPr>
      </w:pPr>
    </w:p>
    <w:p w14:paraId="6268B372" w14:textId="2AF7EF85" w:rsidR="009A755E" w:rsidRPr="00781112" w:rsidRDefault="00450F98" w:rsidP="004369B2">
      <w:pPr>
        <w:rPr>
          <w:color w:val="000000" w:themeColor="text1"/>
        </w:rPr>
      </w:pPr>
      <w:r>
        <w:rPr>
          <w:b/>
          <w:color w:val="000000" w:themeColor="text1"/>
        </w:rPr>
        <w:t>Correction of Findings of Noncompliance Identified in FFY 2021</w:t>
      </w:r>
    </w:p>
    <w:tbl>
      <w:tblPr>
        <w:tblStyle w:val="TableGrid"/>
        <w:tblW w:w="5000" w:type="pct"/>
        <w:tblLook w:val="04A0" w:firstRow="1" w:lastRow="0" w:firstColumn="1" w:lastColumn="0" w:noHBand="0" w:noVBand="1"/>
        <w:tblCaption w:val="B10PFFYNCFINDINGS"/>
      </w:tblPr>
      <w:tblGrid>
        <w:gridCol w:w="2649"/>
        <w:gridCol w:w="2779"/>
        <w:gridCol w:w="2656"/>
        <w:gridCol w:w="2706"/>
      </w:tblGrid>
      <w:tr w:rsidR="005C29F8" w:rsidRPr="00781112" w14:paraId="56588706" w14:textId="77777777" w:rsidTr="0033429D">
        <w:trPr>
          <w:trHeight w:val="389"/>
          <w:tblHeader/>
        </w:trPr>
        <w:tc>
          <w:tcPr>
            <w:tcW w:w="1228" w:type="pct"/>
            <w:shd w:val="clear" w:color="auto" w:fill="auto"/>
            <w:vAlign w:val="bottom"/>
          </w:tcPr>
          <w:p w14:paraId="65B8FFC5"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053913D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79BBE351"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380C990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7C6EB489" w14:textId="77777777" w:rsidTr="00690A61">
        <w:tc>
          <w:tcPr>
            <w:tcW w:w="1228" w:type="pct"/>
            <w:shd w:val="clear" w:color="auto" w:fill="auto"/>
          </w:tcPr>
          <w:p w14:paraId="1D40E253" w14:textId="63B8E0E2" w:rsidR="009A755E" w:rsidRPr="00781112" w:rsidRDefault="002B7490" w:rsidP="004369B2">
            <w:pPr>
              <w:jc w:val="center"/>
              <w:rPr>
                <w:rFonts w:cs="Arial"/>
                <w:color w:val="000000" w:themeColor="text1"/>
                <w:szCs w:val="16"/>
              </w:rPr>
            </w:pPr>
            <w:r w:rsidRPr="00781112">
              <w:rPr>
                <w:rFonts w:cs="Arial"/>
                <w:color w:val="000000" w:themeColor="text1"/>
                <w:szCs w:val="16"/>
              </w:rPr>
              <w:t/>
            </w:r>
          </w:p>
        </w:tc>
        <w:tc>
          <w:tcPr>
            <w:tcW w:w="1288" w:type="pct"/>
            <w:shd w:val="clear" w:color="auto" w:fill="auto"/>
          </w:tcPr>
          <w:p w14:paraId="5D374844" w14:textId="5622CFF8" w:rsidR="009A755E" w:rsidRPr="00781112" w:rsidRDefault="002B7490" w:rsidP="004369B2">
            <w:pPr>
              <w:jc w:val="center"/>
              <w:rPr>
                <w:rFonts w:cs="Arial"/>
                <w:color w:val="000000" w:themeColor="text1"/>
                <w:szCs w:val="16"/>
              </w:rPr>
            </w:pPr>
            <w:r w:rsidRPr="00781112">
              <w:rPr>
                <w:rFonts w:cs="Arial"/>
                <w:color w:val="000000" w:themeColor="text1"/>
                <w:szCs w:val="16"/>
              </w:rPr>
              <w:t/>
            </w:r>
          </w:p>
        </w:tc>
        <w:tc>
          <w:tcPr>
            <w:tcW w:w="1231" w:type="pct"/>
            <w:shd w:val="clear" w:color="auto" w:fill="auto"/>
          </w:tcPr>
          <w:p w14:paraId="2CDC48CC" w14:textId="2F009478" w:rsidR="009A755E" w:rsidRPr="00781112" w:rsidRDefault="002B7490" w:rsidP="004369B2">
            <w:pPr>
              <w:jc w:val="center"/>
              <w:rPr>
                <w:rFonts w:cs="Arial"/>
                <w:color w:val="000000" w:themeColor="text1"/>
                <w:szCs w:val="16"/>
              </w:rPr>
            </w:pPr>
            <w:r w:rsidRPr="00781112">
              <w:rPr>
                <w:rFonts w:cs="Arial"/>
                <w:color w:val="000000" w:themeColor="text1"/>
                <w:szCs w:val="16"/>
              </w:rPr>
              <w:t/>
            </w:r>
          </w:p>
        </w:tc>
        <w:tc>
          <w:tcPr>
            <w:tcW w:w="1254" w:type="pct"/>
            <w:shd w:val="clear" w:color="auto" w:fill="auto"/>
          </w:tcPr>
          <w:p w14:paraId="19E189C3" w14:textId="39CA8E23" w:rsidR="009A755E" w:rsidRPr="00781112" w:rsidRDefault="002B7490" w:rsidP="004369B2">
            <w:pPr>
              <w:jc w:val="center"/>
              <w:rPr>
                <w:rFonts w:cs="Arial"/>
                <w:color w:val="000000" w:themeColor="text1"/>
                <w:szCs w:val="16"/>
              </w:rPr>
            </w:pPr>
            <w:r w:rsidRPr="00781112">
              <w:rPr>
                <w:rFonts w:cs="Arial"/>
                <w:color w:val="000000" w:themeColor="text1"/>
                <w:szCs w:val="16"/>
              </w:rPr>
              <w:t/>
            </w:r>
          </w:p>
        </w:tc>
      </w:tr>
    </w:tbl>
    <w:p w14:paraId="60BB42FC" w14:textId="41E379EE" w:rsidR="009A755E" w:rsidRPr="00781112" w:rsidRDefault="00450F98" w:rsidP="004369B2">
      <w:pPr>
        <w:rPr>
          <w:color w:val="000000" w:themeColor="text1"/>
        </w:rPr>
      </w:pPr>
      <w:r>
        <w:rPr>
          <w:b/>
          <w:color w:val="000000" w:themeColor="text1"/>
        </w:rPr>
        <w:t>Correction of Findings of Noncompliance Identified Prior to FFY 2021</w:t>
      </w:r>
    </w:p>
    <w:tbl>
      <w:tblPr>
        <w:tblStyle w:val="TableGrid"/>
        <w:tblW w:w="5000" w:type="pct"/>
        <w:tblLook w:val="04A0" w:firstRow="1" w:lastRow="0" w:firstColumn="1" w:lastColumn="0" w:noHBand="0" w:noVBand="1"/>
        <w:tblCaption w:val="B10BPPFFYNCFINDINGS"/>
      </w:tblPr>
      <w:tblGrid>
        <w:gridCol w:w="1890"/>
        <w:gridCol w:w="3332"/>
        <w:gridCol w:w="2743"/>
        <w:gridCol w:w="2825"/>
      </w:tblGrid>
      <w:tr w:rsidR="005C29F8" w:rsidRPr="00781112" w14:paraId="730926F0" w14:textId="77777777" w:rsidTr="00BD26DC">
        <w:trPr>
          <w:tblHeader/>
        </w:trPr>
        <w:tc>
          <w:tcPr>
            <w:tcW w:w="876" w:type="pct"/>
            <w:shd w:val="clear" w:color="auto" w:fill="auto"/>
            <w:vAlign w:val="bottom"/>
          </w:tcPr>
          <w:p w14:paraId="0B05B92F" w14:textId="50A415B8"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544" w:type="pct"/>
            <w:shd w:val="clear" w:color="auto" w:fill="auto"/>
            <w:vAlign w:val="bottom"/>
          </w:tcPr>
          <w:p w14:paraId="759DE84F" w14:textId="4EC98849"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2021 APR</w:t>
            </w:r>
          </w:p>
        </w:tc>
        <w:tc>
          <w:tcPr>
            <w:tcW w:w="1271" w:type="pct"/>
            <w:shd w:val="clear" w:color="auto" w:fill="auto"/>
            <w:vAlign w:val="bottom"/>
          </w:tcPr>
          <w:p w14:paraId="45E60D4B"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309" w:type="pct"/>
            <w:shd w:val="clear" w:color="auto" w:fill="auto"/>
            <w:vAlign w:val="bottom"/>
          </w:tcPr>
          <w:p w14:paraId="2598D3FC"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27C292A1" w14:textId="77777777" w:rsidTr="00BD26DC">
        <w:tc>
          <w:tcPr>
            <w:tcW w:w="876" w:type="pct"/>
            <w:shd w:val="clear" w:color="auto" w:fill="auto"/>
          </w:tcPr>
          <w:p w14:paraId="4127AE76" w14:textId="36C06893" w:rsidR="009A755E" w:rsidRPr="00781112" w:rsidRDefault="002B7490" w:rsidP="00A018D4">
            <w:pPr>
              <w:jc w:val="center"/>
              <w:rPr>
                <w:rFonts w:cs="Arial"/>
                <w:color w:val="000000" w:themeColor="text1"/>
                <w:szCs w:val="16"/>
              </w:rPr>
            </w:pPr>
            <w:r w:rsidRPr="00781112">
              <w:rPr>
                <w:rFonts w:cs="Arial"/>
                <w:color w:val="000000" w:themeColor="text1"/>
                <w:szCs w:val="16"/>
              </w:rPr>
              <w:t/>
            </w:r>
          </w:p>
        </w:tc>
        <w:tc>
          <w:tcPr>
            <w:tcW w:w="1544" w:type="pct"/>
            <w:shd w:val="clear" w:color="auto" w:fill="auto"/>
          </w:tcPr>
          <w:p w14:paraId="2A5CC6A6" w14:textId="3962DD57"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271" w:type="pct"/>
            <w:shd w:val="clear" w:color="auto" w:fill="auto"/>
          </w:tcPr>
          <w:p w14:paraId="443DA9B8" w14:textId="5BA02353"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309" w:type="pct"/>
            <w:shd w:val="clear" w:color="auto" w:fill="auto"/>
          </w:tcPr>
          <w:p w14:paraId="0CA4C267" w14:textId="5E5F97F2" w:rsidR="009A755E" w:rsidRPr="00781112" w:rsidRDefault="002B7490">
            <w:pPr>
              <w:jc w:val="center"/>
              <w:rPr>
                <w:rFonts w:cs="Arial"/>
                <w:noProof/>
                <w:color w:val="000000" w:themeColor="text1"/>
                <w:szCs w:val="16"/>
              </w:rPr>
            </w:pPr>
            <w:r w:rsidRPr="00781112">
              <w:rPr>
                <w:rFonts w:cs="Arial"/>
                <w:color w:val="000000" w:themeColor="text1"/>
                <w:szCs w:val="16"/>
              </w:rPr>
              <w:t/>
            </w:r>
          </w:p>
        </w:tc>
      </w:tr>
      <w:tr w:rsidR="005C29F8" w:rsidRPr="00781112" w14:paraId="21AB92FA" w14:textId="77777777" w:rsidTr="00BD26DC">
        <w:tc>
          <w:tcPr>
            <w:tcW w:w="876" w:type="pct"/>
            <w:shd w:val="clear" w:color="auto" w:fill="auto"/>
          </w:tcPr>
          <w:p w14:paraId="6E800094" w14:textId="1F782081" w:rsidR="009A755E" w:rsidRPr="00781112" w:rsidRDefault="002B7490" w:rsidP="00A018D4">
            <w:pPr>
              <w:jc w:val="center"/>
              <w:rPr>
                <w:rFonts w:cs="Arial"/>
                <w:color w:val="000000" w:themeColor="text1"/>
                <w:szCs w:val="16"/>
              </w:rPr>
            </w:pPr>
            <w:r w:rsidRPr="00781112">
              <w:rPr>
                <w:rFonts w:cs="Arial"/>
                <w:color w:val="000000" w:themeColor="text1"/>
                <w:szCs w:val="16"/>
              </w:rPr>
              <w:t/>
            </w:r>
          </w:p>
        </w:tc>
        <w:tc>
          <w:tcPr>
            <w:tcW w:w="1544" w:type="pct"/>
            <w:shd w:val="clear" w:color="auto" w:fill="auto"/>
          </w:tcPr>
          <w:p w14:paraId="3FA322A7" w14:textId="2543A74B"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271" w:type="pct"/>
            <w:shd w:val="clear" w:color="auto" w:fill="auto"/>
          </w:tcPr>
          <w:p w14:paraId="7075484B" w14:textId="56719905"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309" w:type="pct"/>
            <w:shd w:val="clear" w:color="auto" w:fill="auto"/>
          </w:tcPr>
          <w:p w14:paraId="5E63471A" w14:textId="5230E0AF" w:rsidR="009A755E" w:rsidRPr="00781112" w:rsidRDefault="002B7490">
            <w:pPr>
              <w:jc w:val="center"/>
              <w:rPr>
                <w:rFonts w:cs="Arial"/>
                <w:noProof/>
                <w:color w:val="000000" w:themeColor="text1"/>
                <w:szCs w:val="16"/>
              </w:rPr>
            </w:pPr>
            <w:r w:rsidRPr="00781112">
              <w:rPr>
                <w:rFonts w:cs="Arial"/>
                <w:color w:val="000000" w:themeColor="text1"/>
                <w:szCs w:val="16"/>
              </w:rPr>
              <w:t/>
            </w:r>
          </w:p>
        </w:tc>
      </w:tr>
      <w:tr w:rsidR="005C29F8" w:rsidRPr="00781112" w14:paraId="57ACE7BC" w14:textId="77777777" w:rsidTr="00BD26DC">
        <w:tc>
          <w:tcPr>
            <w:tcW w:w="876" w:type="pct"/>
            <w:shd w:val="clear" w:color="auto" w:fill="auto"/>
          </w:tcPr>
          <w:p w14:paraId="4E325530" w14:textId="03DA8FEF" w:rsidR="009A755E" w:rsidRPr="00781112" w:rsidRDefault="002B7490" w:rsidP="00A018D4">
            <w:pPr>
              <w:jc w:val="center"/>
              <w:rPr>
                <w:rFonts w:cs="Arial"/>
                <w:color w:val="000000" w:themeColor="text1"/>
                <w:szCs w:val="16"/>
              </w:rPr>
            </w:pPr>
            <w:r w:rsidRPr="00781112">
              <w:rPr>
                <w:rFonts w:cs="Arial"/>
                <w:color w:val="000000" w:themeColor="text1"/>
                <w:szCs w:val="16"/>
              </w:rPr>
              <w:t/>
            </w:r>
          </w:p>
        </w:tc>
        <w:tc>
          <w:tcPr>
            <w:tcW w:w="1544" w:type="pct"/>
            <w:shd w:val="clear" w:color="auto" w:fill="auto"/>
          </w:tcPr>
          <w:p w14:paraId="7BFB0081" w14:textId="12B35F6B"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271" w:type="pct"/>
            <w:shd w:val="clear" w:color="auto" w:fill="auto"/>
          </w:tcPr>
          <w:p w14:paraId="674F4E8B" w14:textId="257F6F9E"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309" w:type="pct"/>
            <w:shd w:val="clear" w:color="auto" w:fill="auto"/>
          </w:tcPr>
          <w:p w14:paraId="68852A19" w14:textId="65403F00" w:rsidR="009A755E" w:rsidRPr="00781112" w:rsidRDefault="002B7490">
            <w:pPr>
              <w:jc w:val="center"/>
              <w:rPr>
                <w:rFonts w:cs="Arial"/>
                <w:noProof/>
                <w:color w:val="000000" w:themeColor="text1"/>
                <w:szCs w:val="16"/>
              </w:rPr>
            </w:pPr>
            <w:r w:rsidRPr="00781112">
              <w:rPr>
                <w:rFonts w:cs="Arial"/>
                <w:color w:val="000000" w:themeColor="text1"/>
                <w:szCs w:val="16"/>
              </w:rPr>
              <w:t/>
            </w:r>
          </w:p>
        </w:tc>
      </w:tr>
      <w:tr w:rsidR="00BD26DC" w:rsidRPr="00781112" w14:paraId="64582DB8" w14:textId="77777777" w:rsidTr="00BD26DC">
        <w:tc>
          <w:tcPr>
            <w:tcW w:w="876" w:type="pct"/>
            <w:shd w:val="clear" w:color="auto" w:fill="auto"/>
          </w:tcPr>
          <w:p w14:paraId="32592256" w14:textId="3B313C7D" w:rsidR="00BD26DC" w:rsidRPr="00781112" w:rsidRDefault="00BD26DC" w:rsidP="00BD26DC">
            <w:pPr>
              <w:jc w:val="center"/>
              <w:rPr>
                <w:rFonts w:cs="Arial"/>
                <w:color w:val="000000" w:themeColor="text1"/>
                <w:szCs w:val="16"/>
              </w:rPr>
            </w:pPr>
            <w:r w:rsidRPr="00781112">
              <w:rPr>
                <w:rFonts w:cs="Arial"/>
                <w:color w:val="000000" w:themeColor="text1"/>
                <w:szCs w:val="16"/>
              </w:rPr>
              <w:t/>
            </w:r>
          </w:p>
        </w:tc>
        <w:tc>
          <w:tcPr>
            <w:tcW w:w="1544" w:type="pct"/>
            <w:shd w:val="clear" w:color="auto" w:fill="auto"/>
          </w:tcPr>
          <w:p w14:paraId="208707CC" w14:textId="30B27EFB" w:rsidR="00BD26DC" w:rsidRPr="00781112" w:rsidRDefault="00BD26DC" w:rsidP="00BD26DC">
            <w:pPr>
              <w:jc w:val="center"/>
              <w:rPr>
                <w:rFonts w:cs="Arial"/>
                <w:color w:val="000000" w:themeColor="text1"/>
                <w:szCs w:val="16"/>
              </w:rPr>
            </w:pPr>
            <w:r w:rsidRPr="00781112">
              <w:rPr>
                <w:rFonts w:cs="Arial"/>
                <w:color w:val="000000" w:themeColor="text1"/>
                <w:szCs w:val="16"/>
              </w:rPr>
              <w:t/>
            </w:r>
          </w:p>
        </w:tc>
        <w:tc>
          <w:tcPr>
            <w:tcW w:w="1271" w:type="pct"/>
            <w:shd w:val="clear" w:color="auto" w:fill="auto"/>
          </w:tcPr>
          <w:p w14:paraId="7742ECAE" w14:textId="32CF75EB" w:rsidR="00BD26DC" w:rsidRPr="00781112" w:rsidRDefault="00BD26DC" w:rsidP="00BD26DC">
            <w:pPr>
              <w:jc w:val="center"/>
              <w:rPr>
                <w:rFonts w:cs="Arial"/>
                <w:color w:val="000000" w:themeColor="text1"/>
                <w:szCs w:val="16"/>
              </w:rPr>
            </w:pPr>
            <w:r w:rsidRPr="00781112">
              <w:rPr>
                <w:rFonts w:cs="Arial"/>
                <w:color w:val="000000" w:themeColor="text1"/>
                <w:szCs w:val="16"/>
              </w:rPr>
              <w:t/>
            </w:r>
          </w:p>
        </w:tc>
        <w:tc>
          <w:tcPr>
            <w:tcW w:w="1309" w:type="pct"/>
            <w:shd w:val="clear" w:color="auto" w:fill="auto"/>
          </w:tcPr>
          <w:p w14:paraId="5D7ECBAA" w14:textId="4F3CE826" w:rsidR="00BD26DC" w:rsidRPr="00781112" w:rsidRDefault="00BD26DC" w:rsidP="00BD26DC">
            <w:pPr>
              <w:jc w:val="center"/>
              <w:rPr>
                <w:rFonts w:cs="Arial"/>
                <w:color w:val="000000" w:themeColor="text1"/>
                <w:szCs w:val="16"/>
              </w:rPr>
            </w:pPr>
            <w:r w:rsidRPr="00781112">
              <w:rPr>
                <w:rFonts w:cs="Arial"/>
                <w:color w:val="000000" w:themeColor="text1"/>
                <w:szCs w:val="16"/>
              </w:rPr>
              <w:t/>
            </w:r>
          </w:p>
        </w:tc>
      </w:tr>
      <w:tr w:rsidR="00BD26DC" w:rsidRPr="00781112" w14:paraId="09F5081B" w14:textId="77777777" w:rsidTr="00BD26DC">
        <w:tc>
          <w:tcPr>
            <w:tcW w:w="876" w:type="pct"/>
            <w:shd w:val="clear" w:color="auto" w:fill="auto"/>
          </w:tcPr>
          <w:p w14:paraId="7F0790E2" w14:textId="44868A49" w:rsidR="00BD26DC" w:rsidRPr="00781112" w:rsidRDefault="00BD26DC" w:rsidP="00BD26DC">
            <w:pPr>
              <w:jc w:val="center"/>
              <w:rPr>
                <w:rFonts w:cs="Arial"/>
                <w:color w:val="000000" w:themeColor="text1"/>
                <w:szCs w:val="16"/>
              </w:rPr>
            </w:pPr>
            <w:r w:rsidRPr="00781112">
              <w:rPr>
                <w:rFonts w:cs="Arial"/>
                <w:color w:val="000000" w:themeColor="text1"/>
                <w:szCs w:val="16"/>
              </w:rPr>
              <w:t/>
            </w:r>
          </w:p>
        </w:tc>
        <w:tc>
          <w:tcPr>
            <w:tcW w:w="1544" w:type="pct"/>
            <w:shd w:val="clear" w:color="auto" w:fill="auto"/>
          </w:tcPr>
          <w:p w14:paraId="604E28D5" w14:textId="62E5C7BB" w:rsidR="00BD26DC" w:rsidRPr="00781112" w:rsidRDefault="00BD26DC" w:rsidP="00BD26DC">
            <w:pPr>
              <w:jc w:val="center"/>
              <w:rPr>
                <w:rFonts w:cs="Arial"/>
                <w:color w:val="000000" w:themeColor="text1"/>
                <w:szCs w:val="16"/>
              </w:rPr>
            </w:pPr>
            <w:r w:rsidRPr="00781112">
              <w:rPr>
                <w:rFonts w:cs="Arial"/>
                <w:color w:val="000000" w:themeColor="text1"/>
                <w:szCs w:val="16"/>
              </w:rPr>
              <w:t/>
            </w:r>
          </w:p>
        </w:tc>
        <w:tc>
          <w:tcPr>
            <w:tcW w:w="1271" w:type="pct"/>
            <w:shd w:val="clear" w:color="auto" w:fill="auto"/>
          </w:tcPr>
          <w:p w14:paraId="3181619A" w14:textId="2221FD22" w:rsidR="00BD26DC" w:rsidRPr="00781112" w:rsidRDefault="00BD26DC" w:rsidP="00BD26DC">
            <w:pPr>
              <w:jc w:val="center"/>
              <w:rPr>
                <w:rFonts w:cs="Arial"/>
                <w:color w:val="000000" w:themeColor="text1"/>
                <w:szCs w:val="16"/>
              </w:rPr>
            </w:pPr>
            <w:r w:rsidRPr="00781112">
              <w:rPr>
                <w:rFonts w:cs="Arial"/>
                <w:color w:val="000000" w:themeColor="text1"/>
                <w:szCs w:val="16"/>
              </w:rPr>
              <w:t/>
            </w:r>
          </w:p>
        </w:tc>
        <w:tc>
          <w:tcPr>
            <w:tcW w:w="1309" w:type="pct"/>
            <w:shd w:val="clear" w:color="auto" w:fill="auto"/>
          </w:tcPr>
          <w:p w14:paraId="4B8A0BD7" w14:textId="0CF6AEE6" w:rsidR="00BD26DC" w:rsidRPr="00781112" w:rsidRDefault="00BD26DC" w:rsidP="00BD26DC">
            <w:pPr>
              <w:jc w:val="center"/>
              <w:rPr>
                <w:rFonts w:cs="Arial"/>
                <w:color w:val="000000" w:themeColor="text1"/>
                <w:szCs w:val="16"/>
              </w:rPr>
            </w:pPr>
            <w:r w:rsidRPr="00781112">
              <w:rPr>
                <w:rFonts w:cs="Arial"/>
                <w:color w:val="000000" w:themeColor="text1"/>
                <w:szCs w:val="16"/>
              </w:rPr>
              <w:t/>
            </w:r>
          </w:p>
        </w:tc>
      </w:tr>
    </w:tbl>
    <w:p w14:paraId="53A11FEB" w14:textId="6CFF8254" w:rsidR="004E2151" w:rsidRPr="00781112" w:rsidRDefault="009F64D5" w:rsidP="008645AD">
      <w:pPr>
        <w:pStyle w:val="Heading2"/>
      </w:pPr>
      <w:r w:rsidRPr="00781112">
        <w:t>10</w:t>
      </w:r>
      <w:r w:rsidR="00596F4D" w:rsidRPr="00781112">
        <w:t xml:space="preserve"> </w:t>
      </w:r>
      <w:r w:rsidRPr="00781112">
        <w:t xml:space="preserve">- </w:t>
      </w:r>
      <w:r w:rsidR="004E2151" w:rsidRPr="00781112">
        <w:t>Prior FFY Required Actions</w:t>
      </w:r>
    </w:p>
    <w:p w14:paraId="67525E19" w14:textId="2FAD1162" w:rsidR="004E2151" w:rsidRPr="00781112" w:rsidRDefault="002B7490" w:rsidP="004E2151">
      <w:pPr>
        <w:rPr>
          <w:rFonts w:cs="Arial"/>
          <w:color w:val="000000" w:themeColor="text1"/>
          <w:szCs w:val="16"/>
        </w:rPr>
      </w:pPr>
      <w:r w:rsidRPr="00781112">
        <w:rPr>
          <w:rFonts w:cs="Arial"/>
          <w:color w:val="000000" w:themeColor="text1"/>
          <w:szCs w:val="16"/>
        </w:rPr>
        <w:t>None</w:t>
      </w:r>
    </w:p>
    <w:p w14:paraId="7C7C5568" w14:textId="77777777" w:rsidR="009F69E7" w:rsidRPr="00781112" w:rsidRDefault="009F69E7" w:rsidP="004E2151">
      <w:pPr>
        <w:rPr>
          <w:rFonts w:cs="Arial"/>
          <w:color w:val="000000" w:themeColor="text1"/>
          <w:szCs w:val="16"/>
        </w:rPr>
      </w:pPr>
    </w:p>
    <w:p w14:paraId="7C3D22D6" w14:textId="3FC2A3F5" w:rsidR="004E2151" w:rsidRPr="00781112" w:rsidRDefault="004E2151" w:rsidP="004E2151">
      <w:pPr>
        <w:rPr>
          <w:rFonts w:cs="Arial"/>
          <w:color w:val="000000" w:themeColor="text1"/>
          <w:szCs w:val="16"/>
        </w:rPr>
      </w:pPr>
    </w:p>
    <w:p w14:paraId="024AE3FE" w14:textId="2137BFB6" w:rsidR="007F5071" w:rsidRPr="00781112" w:rsidRDefault="008B2598" w:rsidP="008645AD">
      <w:pPr>
        <w:pStyle w:val="Heading2"/>
      </w:pPr>
      <w:r w:rsidRPr="00781112">
        <w:t>10 - OSEP Response</w:t>
      </w:r>
    </w:p>
    <w:p w14:paraId="4384A342" w14:textId="2981C3D3" w:rsidR="00481536" w:rsidRPr="00781112" w:rsidRDefault="002B7490" w:rsidP="00212954">
      <w:pPr>
        <w:rPr>
          <w:rFonts w:cs="Arial"/>
          <w:color w:val="000000" w:themeColor="text1"/>
          <w:szCs w:val="16"/>
        </w:rPr>
      </w:pPr>
      <w:r w:rsidRPr="00781112">
        <w:rPr>
          <w:rFonts w:cs="Arial"/>
          <w:color w:val="000000" w:themeColor="text1"/>
          <w:szCs w:val="16"/>
        </w:rPr>
        <w:t/>
      </w:r>
    </w:p>
    <w:p w14:paraId="36F60250" w14:textId="56BA36D9" w:rsidR="007F5071" w:rsidRPr="00781112" w:rsidRDefault="007C1BCF" w:rsidP="008645AD">
      <w:pPr>
        <w:pStyle w:val="Heading2"/>
      </w:pPr>
      <w:r w:rsidRPr="00781112">
        <w:t xml:space="preserve">10 - </w:t>
      </w:r>
      <w:r w:rsidR="007F5071" w:rsidRPr="00781112">
        <w:t>Required Actions</w:t>
      </w:r>
    </w:p>
    <w:p w14:paraId="12C0EBBF" w14:textId="69C4D7D0" w:rsidR="00481536" w:rsidRPr="00781112" w:rsidRDefault="002B7490" w:rsidP="00212954">
      <w:pPr>
        <w:rPr>
          <w:rFonts w:cs="Arial"/>
          <w:color w:val="000000" w:themeColor="text1"/>
          <w:szCs w:val="16"/>
        </w:rPr>
      </w:pPr>
      <w:r w:rsidRPr="00781112">
        <w:rPr>
          <w:rFonts w:cs="Arial"/>
          <w:color w:val="000000" w:themeColor="text1"/>
          <w:szCs w:val="16"/>
        </w:rPr>
        <w:t/>
      </w:r>
    </w:p>
    <w:p w14:paraId="2B0C5DE2"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11F067DF" w14:textId="45BAD1B8" w:rsidR="00D03701" w:rsidRPr="00781112" w:rsidRDefault="00D03701" w:rsidP="000444E2">
      <w:pPr>
        <w:pStyle w:val="Heading1"/>
        <w:rPr>
          <w:color w:val="000000" w:themeColor="text1"/>
          <w:sz w:val="22"/>
        </w:rPr>
      </w:pPr>
      <w:r w:rsidRPr="00781112">
        <w:rPr>
          <w:color w:val="000000" w:themeColor="text1"/>
          <w:sz w:val="22"/>
        </w:rPr>
        <w:lastRenderedPageBreak/>
        <w:t>Indicator 11: Child Find</w:t>
      </w:r>
      <w:bookmarkEnd w:id="74"/>
      <w:bookmarkEnd w:id="75"/>
      <w:bookmarkEnd w:id="76"/>
    </w:p>
    <w:p w14:paraId="4F5D642D" w14:textId="77777777" w:rsidR="00E119B0" w:rsidRPr="00781112" w:rsidRDefault="00E119B0" w:rsidP="00A018D4">
      <w:pPr>
        <w:rPr>
          <w:color w:val="000000" w:themeColor="text1"/>
          <w:szCs w:val="20"/>
        </w:rPr>
      </w:pPr>
      <w:bookmarkStart w:id="77" w:name="_Toc384383353"/>
      <w:bookmarkStart w:id="78" w:name="_Toc392159321"/>
      <w:r w:rsidRPr="00781112">
        <w:rPr>
          <w:b/>
          <w:color w:val="000000" w:themeColor="text1"/>
          <w:sz w:val="20"/>
          <w:szCs w:val="20"/>
        </w:rPr>
        <w:t>Instructions and Measurement</w:t>
      </w:r>
    </w:p>
    <w:p w14:paraId="4ECD8CEF" w14:textId="094F874E" w:rsidR="001F3A65" w:rsidRPr="00781112" w:rsidRDefault="001F3A65" w:rsidP="00832807">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Child Find</w:t>
      </w:r>
    </w:p>
    <w:p w14:paraId="56D17CB3" w14:textId="77777777" w:rsidR="003356F1" w:rsidRPr="00781112" w:rsidRDefault="001F3A65" w:rsidP="00832807">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children who were evaluated within 60 days of receiving parental consent for initial evaluation or, if the State establishes a timeframe within which the evaluation must be conducted, within that timeframe. </w:t>
      </w:r>
    </w:p>
    <w:p w14:paraId="3EA48C22" w14:textId="29F5D3F7" w:rsidR="001F3A65" w:rsidRPr="00781112" w:rsidRDefault="001F3A65" w:rsidP="00832807">
      <w:pPr>
        <w:rPr>
          <w:rFonts w:cs="Arial"/>
          <w:color w:val="000000" w:themeColor="text1"/>
          <w:szCs w:val="16"/>
        </w:rPr>
      </w:pPr>
      <w:r w:rsidRPr="00781112">
        <w:rPr>
          <w:rFonts w:cs="Arial"/>
          <w:color w:val="000000" w:themeColor="text1"/>
          <w:szCs w:val="16"/>
        </w:rPr>
        <w:t>(20 U.S.C. 1416(a)(3)(B))</w:t>
      </w:r>
    </w:p>
    <w:p w14:paraId="3DA9D44A" w14:textId="77777777" w:rsidR="003356F1" w:rsidRPr="00781112" w:rsidRDefault="003356F1" w:rsidP="004369B2">
      <w:pPr>
        <w:rPr>
          <w:color w:val="000000" w:themeColor="text1"/>
        </w:rPr>
      </w:pPr>
      <w:r w:rsidRPr="00781112">
        <w:rPr>
          <w:b/>
          <w:color w:val="000000" w:themeColor="text1"/>
        </w:rPr>
        <w:t>Data Source</w:t>
      </w:r>
    </w:p>
    <w:p w14:paraId="3741FEFD" w14:textId="2D50FC3E" w:rsidR="003356F1" w:rsidRPr="00781112" w:rsidRDefault="003356F1" w:rsidP="00286BDF">
      <w:pPr>
        <w:rPr>
          <w:rFonts w:cs="Arial"/>
          <w:color w:val="000000" w:themeColor="text1"/>
          <w:szCs w:val="16"/>
        </w:rPr>
      </w:pPr>
      <w:r w:rsidRPr="00781112">
        <w:rPr>
          <w:rFonts w:cs="Arial"/>
          <w:color w:val="000000" w:themeColor="text1"/>
          <w:szCs w:val="16"/>
          <w:shd w:val="clear" w:color="auto" w:fill="FFFFFF"/>
        </w:rPr>
        <w:t>Data to be taken from State monitoring or State data system and must be based on actual, not an average, number of days. Indicate if the State has established a timeline and, if so, what is the State’s timeline for initial evaluations.</w:t>
      </w:r>
    </w:p>
    <w:p w14:paraId="79DFFD28" w14:textId="77777777" w:rsidR="003356F1" w:rsidRPr="00781112" w:rsidRDefault="003356F1" w:rsidP="004369B2">
      <w:pPr>
        <w:rPr>
          <w:color w:val="000000" w:themeColor="text1"/>
        </w:rPr>
      </w:pPr>
      <w:r w:rsidRPr="00781112">
        <w:rPr>
          <w:b/>
          <w:color w:val="000000" w:themeColor="text1"/>
        </w:rPr>
        <w:t>Measurement</w:t>
      </w:r>
    </w:p>
    <w:p w14:paraId="6421FFFB" w14:textId="6BB4E0C2" w:rsidR="003356F1" w:rsidRPr="00781112" w:rsidRDefault="003F4D08" w:rsidP="006A01BD">
      <w:pPr>
        <w:spacing w:before="0" w:after="0"/>
        <w:ind w:firstLine="720"/>
        <w:rPr>
          <w:rFonts w:eastAsia="Times New Roman" w:cs="Arial"/>
          <w:color w:val="000000" w:themeColor="text1"/>
          <w:szCs w:val="16"/>
        </w:rPr>
      </w:pPr>
      <w:r w:rsidRPr="00781112">
        <w:rPr>
          <w:rFonts w:eastAsia="Times New Roman" w:cs="Arial"/>
          <w:color w:val="000000" w:themeColor="text1"/>
          <w:szCs w:val="16"/>
        </w:rPr>
        <w:t>a. # of children for whom parental consent to evaluate was received.</w:t>
      </w:r>
    </w:p>
    <w:p w14:paraId="07661B9A" w14:textId="43097164" w:rsidR="003356F1" w:rsidRPr="00781112" w:rsidRDefault="003F4D08" w:rsidP="006A01BD">
      <w:pPr>
        <w:spacing w:before="0" w:after="0"/>
        <w:ind w:firstLine="720"/>
        <w:rPr>
          <w:rFonts w:eastAsia="Times New Roman" w:cs="Arial"/>
          <w:color w:val="000000" w:themeColor="text1"/>
          <w:szCs w:val="16"/>
        </w:rPr>
      </w:pPr>
      <w:r w:rsidRPr="00781112">
        <w:rPr>
          <w:rFonts w:eastAsia="Times New Roman" w:cs="Arial"/>
          <w:color w:val="000000" w:themeColor="text1"/>
          <w:szCs w:val="16"/>
        </w:rPr>
        <w:t>b. # of children whose evaluations were completed within 60 days (or State-established timeline).</w:t>
      </w:r>
    </w:p>
    <w:p w14:paraId="733D8722" w14:textId="77777777" w:rsidR="003356F1" w:rsidRPr="00781112" w:rsidRDefault="003356F1" w:rsidP="006A01BD">
      <w:pPr>
        <w:spacing w:before="0" w:after="210"/>
        <w:ind w:left="720"/>
        <w:rPr>
          <w:rFonts w:eastAsia="Times New Roman" w:cs="Arial"/>
          <w:color w:val="000000" w:themeColor="text1"/>
          <w:szCs w:val="16"/>
        </w:rPr>
      </w:pPr>
      <w:r w:rsidRPr="00781112">
        <w:rPr>
          <w:rFonts w:eastAsia="Times New Roman" w:cs="Arial"/>
          <w:color w:val="000000" w:themeColor="text1"/>
          <w:szCs w:val="16"/>
        </w:rPr>
        <w:t>Account for children included in (a), but not included in (b). Indicate the range of days beyond the timeline when the evaluation was completed and any reasons for the delays.</w:t>
      </w:r>
    </w:p>
    <w:p w14:paraId="1A76194B" w14:textId="382D2A54" w:rsidR="003356F1" w:rsidRPr="00781112" w:rsidRDefault="003356F1" w:rsidP="006A01BD">
      <w:pPr>
        <w:spacing w:before="0" w:after="210"/>
        <w:ind w:firstLine="720"/>
        <w:rPr>
          <w:rFonts w:eastAsia="Times New Roman" w:cs="Arial"/>
          <w:color w:val="000000" w:themeColor="text1"/>
          <w:szCs w:val="16"/>
        </w:rPr>
      </w:pPr>
      <w:r w:rsidRPr="00781112">
        <w:rPr>
          <w:rFonts w:eastAsia="Times New Roman" w:cs="Arial"/>
          <w:color w:val="000000" w:themeColor="text1"/>
          <w:szCs w:val="16"/>
        </w:rPr>
        <w:t>Percent = [(b) divided by (a)] times 100.</w:t>
      </w:r>
    </w:p>
    <w:p w14:paraId="5F28023C" w14:textId="77777777" w:rsidR="003356F1" w:rsidRPr="00781112" w:rsidRDefault="003356F1" w:rsidP="004369B2">
      <w:pPr>
        <w:rPr>
          <w:color w:val="000000" w:themeColor="text1"/>
        </w:rPr>
      </w:pPr>
      <w:r w:rsidRPr="00781112">
        <w:rPr>
          <w:b/>
          <w:color w:val="000000" w:themeColor="text1"/>
        </w:rPr>
        <w:t>Instructions</w:t>
      </w:r>
    </w:p>
    <w:p w14:paraId="3DD8C135" w14:textId="77777777" w:rsidR="003356F1" w:rsidRPr="00781112" w:rsidRDefault="003356F1" w:rsidP="00286BDF">
      <w:pPr>
        <w:rPr>
          <w:rFonts w:cs="Arial"/>
          <w:i/>
          <w:iCs/>
          <w:color w:val="000000" w:themeColor="text1"/>
          <w:szCs w:val="16"/>
        </w:rPr>
      </w:pPr>
      <w:r w:rsidRPr="00781112">
        <w:rPr>
          <w:rFonts w:cs="Arial"/>
          <w:i/>
          <w:iCs/>
          <w:color w:val="000000" w:themeColor="text1"/>
          <w:szCs w:val="16"/>
        </w:rPr>
        <w:t>If data are from State monitoring, describe the method used to select LEAs for monitoring. If data are from a State database, include data for the entire reporting year.</w:t>
      </w:r>
    </w:p>
    <w:p w14:paraId="3F78D968" w14:textId="77777777" w:rsidR="003356F1" w:rsidRPr="00781112" w:rsidRDefault="003356F1" w:rsidP="00286BDF">
      <w:pPr>
        <w:rPr>
          <w:rFonts w:cs="Arial"/>
          <w:color w:val="000000" w:themeColor="text1"/>
          <w:szCs w:val="16"/>
        </w:rPr>
      </w:pPr>
      <w:r w:rsidRPr="00781112">
        <w:rPr>
          <w:rFonts w:cs="Arial"/>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the actual numbers used in the calculation.</w:t>
      </w:r>
    </w:p>
    <w:p w14:paraId="1A394BBE" w14:textId="77777777" w:rsidR="003356F1" w:rsidRPr="00781112" w:rsidRDefault="003356F1" w:rsidP="00286BDF">
      <w:pPr>
        <w:rPr>
          <w:rFonts w:cs="Arial"/>
          <w:color w:val="000000" w:themeColor="text1"/>
          <w:szCs w:val="16"/>
        </w:rPr>
      </w:pPr>
      <w:r w:rsidRPr="00781112">
        <w:rPr>
          <w:rFonts w:cs="Arial"/>
          <w:color w:val="000000" w:themeColor="text1"/>
          <w:szCs w:val="16"/>
        </w:rPr>
        <w:t>Note that under 34 CFR §300.301(d), the timeframe set for initial evaluation does not apply to a public agency if: (1) the parent of a child repeatedly fails or refuses to produce the child for the evaluation; or (2) a child enrolls in a school of another public agency after the timeframe for initial evaluations has begun, and prior to a determination by the child’s previous public agency as to whether the child is a child with a disability. States should not report these exceptions in either the numerator (b) or denominator (a). If the State-established timeframe provides for exceptions through State regulation or policy, describe cases falling within those exceptions and include in b.</w:t>
      </w:r>
    </w:p>
    <w:p w14:paraId="231B6D26" w14:textId="77777777" w:rsidR="003356F1" w:rsidRPr="00781112" w:rsidRDefault="003356F1" w:rsidP="00286BDF">
      <w:pPr>
        <w:rPr>
          <w:rFonts w:cs="Arial"/>
          <w:color w:val="000000" w:themeColor="text1"/>
          <w:szCs w:val="16"/>
        </w:rPr>
      </w:pPr>
      <w:r w:rsidRPr="00781112">
        <w:rPr>
          <w:rFonts w:cs="Arial"/>
          <w:color w:val="000000" w:themeColor="text1"/>
          <w:szCs w:val="16"/>
        </w:rPr>
        <w:t>Targets must be 100%.</w:t>
      </w:r>
    </w:p>
    <w:p w14:paraId="6E371C53" w14:textId="01B44093" w:rsidR="003356F1" w:rsidRPr="00781112" w:rsidRDefault="003356F1" w:rsidP="00286BDF">
      <w:pPr>
        <w:rPr>
          <w:rFonts w:cs="Arial"/>
          <w:color w:val="000000" w:themeColor="text1"/>
          <w:szCs w:val="16"/>
        </w:rPr>
      </w:pPr>
      <w:r w:rsidRPr="00781112">
        <w:rPr>
          <w:rFonts w:cs="Arial"/>
          <w:color w:val="000000" w:themeColor="text1"/>
          <w:szCs w:val="16"/>
        </w:rPr>
        <w:t xml:space="preserve">Provide detailed information about the timely correction of </w:t>
      </w:r>
      <w:bookmarkStart w:id="79" w:name="_Hlk150864333"/>
      <w:r w:rsidR="005F55E8" w:rsidRPr="005F55E8">
        <w:rPr>
          <w:rFonts w:cs="Arial"/>
          <w:color w:val="000000" w:themeColor="text1"/>
          <w:szCs w:val="16"/>
        </w:rPr>
        <w:t>child-specific and regulatory/systemic</w:t>
      </w:r>
      <w:r w:rsidR="005F55E8">
        <w:rPr>
          <w:sz w:val="20"/>
          <w:szCs w:val="14"/>
        </w:rPr>
        <w:t xml:space="preserve"> </w:t>
      </w:r>
      <w:bookmarkEnd w:id="79"/>
      <w:r w:rsidRPr="00781112">
        <w:rPr>
          <w:rFonts w:cs="Arial"/>
          <w:color w:val="000000" w:themeColor="text1"/>
          <w:szCs w:val="16"/>
        </w:rPr>
        <w:t>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and any enforcement actions that were taken.</w:t>
      </w:r>
    </w:p>
    <w:p w14:paraId="53468DF8" w14:textId="4CBD8A16" w:rsidR="003356F1" w:rsidRPr="00781112" w:rsidRDefault="007A3964"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2022 SPP/APR, the data for FFY 2021), and the State did not identify any findings of noncompliance, provide an explanation of why the State did not identify any findings of noncompliance.</w:t>
      </w:r>
    </w:p>
    <w:p w14:paraId="4CA3F78B" w14:textId="72C271DF" w:rsidR="00DB20BC" w:rsidRPr="00781112" w:rsidRDefault="00C22B92" w:rsidP="00123D76">
      <w:pPr>
        <w:pStyle w:val="Heading2"/>
      </w:pPr>
      <w:bookmarkStart w:id="80" w:name="_Toc384383354"/>
      <w:bookmarkStart w:id="81" w:name="_Toc392159322"/>
      <w:bookmarkEnd w:id="77"/>
      <w:bookmarkEnd w:id="78"/>
      <w:r w:rsidRPr="00781112">
        <w:t>11</w:t>
      </w:r>
      <w:r w:rsidR="00596F4D" w:rsidRPr="00781112">
        <w:t xml:space="preserve"> </w:t>
      </w:r>
      <w:r w:rsidRPr="00781112">
        <w:t xml:space="preserve">- </w:t>
      </w:r>
      <w:r w:rsidR="00DB20BC" w:rsidRPr="00781112">
        <w:t>Indicator Data</w:t>
      </w:r>
    </w:p>
    <w:p w14:paraId="7C465821" w14:textId="6E27EB07" w:rsidR="00B6413B" w:rsidRPr="00781112" w:rsidRDefault="00B6413B"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1BASELINEDATA"/>
      </w:tblPr>
      <w:tblGrid>
        <w:gridCol w:w="1797"/>
        <w:gridCol w:w="1798"/>
      </w:tblGrid>
      <w:tr w:rsidR="00126B45" w:rsidRPr="00781112" w14:paraId="1E9ECD4B" w14:textId="77777777" w:rsidTr="00123D76">
        <w:trPr>
          <w:trHeight w:val="311"/>
          <w:tblHeader/>
        </w:trPr>
        <w:tc>
          <w:tcPr>
            <w:tcW w:w="1797" w:type="dxa"/>
          </w:tcPr>
          <w:p w14:paraId="7AF55935" w14:textId="77777777" w:rsidR="00126B45" w:rsidRPr="00781112" w:rsidRDefault="00126B45" w:rsidP="00123D76">
            <w:pPr>
              <w:jc w:val="center"/>
              <w:rPr>
                <w:b/>
                <w:color w:val="000000" w:themeColor="text1"/>
              </w:rPr>
            </w:pPr>
            <w:r w:rsidRPr="00781112">
              <w:rPr>
                <w:rFonts w:cs="Arial"/>
                <w:b/>
                <w:color w:val="000000" w:themeColor="text1"/>
                <w:szCs w:val="16"/>
              </w:rPr>
              <w:t>Baseline Year</w:t>
            </w:r>
          </w:p>
        </w:tc>
        <w:tc>
          <w:tcPr>
            <w:tcW w:w="1798" w:type="dxa"/>
          </w:tcPr>
          <w:p w14:paraId="316C30F4" w14:textId="77777777" w:rsidR="00126B45" w:rsidRPr="00781112" w:rsidRDefault="00126B45" w:rsidP="00123D76">
            <w:pPr>
              <w:jc w:val="center"/>
              <w:rPr>
                <w:b/>
                <w:color w:val="000000" w:themeColor="text1"/>
              </w:rPr>
            </w:pPr>
            <w:r w:rsidRPr="00781112">
              <w:rPr>
                <w:b/>
                <w:color w:val="000000" w:themeColor="text1"/>
              </w:rPr>
              <w:t>Baseline Data</w:t>
            </w:r>
          </w:p>
        </w:tc>
      </w:tr>
      <w:tr w:rsidR="00126B45" w:rsidRPr="00781112" w14:paraId="1CE17451" w14:textId="77777777" w:rsidTr="00123D76">
        <w:trPr>
          <w:trHeight w:val="311"/>
        </w:trPr>
        <w:tc>
          <w:tcPr>
            <w:tcW w:w="1797" w:type="dxa"/>
            <w:vAlign w:val="center"/>
          </w:tcPr>
          <w:p w14:paraId="4D36891E" w14:textId="227D3313" w:rsidR="00126B45" w:rsidRPr="00781112" w:rsidRDefault="00126B45" w:rsidP="00123D76">
            <w:pPr>
              <w:jc w:val="center"/>
              <w:rPr>
                <w:bCs/>
                <w:color w:val="000000" w:themeColor="text1"/>
              </w:rPr>
            </w:pPr>
            <w:r w:rsidRPr="00781112">
              <w:rPr>
                <w:bCs/>
                <w:color w:val="000000" w:themeColor="text1"/>
              </w:rPr>
              <w:t>2005</w:t>
            </w:r>
          </w:p>
        </w:tc>
        <w:tc>
          <w:tcPr>
            <w:tcW w:w="1798" w:type="dxa"/>
            <w:vAlign w:val="center"/>
          </w:tcPr>
          <w:p w14:paraId="403719B1" w14:textId="522EF75C" w:rsidR="00126B45" w:rsidRPr="00781112" w:rsidRDefault="00126B45" w:rsidP="00123D76">
            <w:pPr>
              <w:jc w:val="center"/>
              <w:rPr>
                <w:bCs/>
                <w:color w:val="000000" w:themeColor="text1"/>
              </w:rPr>
            </w:pPr>
            <w:r w:rsidRPr="00781112">
              <w:rPr>
                <w:bCs/>
                <w:color w:val="000000" w:themeColor="text1"/>
              </w:rPr>
              <w:t>80.00%</w:t>
            </w:r>
          </w:p>
        </w:tc>
      </w:tr>
    </w:tbl>
    <w:p w14:paraId="0C706E5F" w14:textId="77777777" w:rsidR="00126B45" w:rsidRPr="00781112" w:rsidRDefault="00126B45"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1HISTDATA"/>
      </w:tblPr>
      <w:tblGrid>
        <w:gridCol w:w="1798"/>
        <w:gridCol w:w="1798"/>
        <w:gridCol w:w="1798"/>
        <w:gridCol w:w="1798"/>
        <w:gridCol w:w="1798"/>
        <w:gridCol w:w="1800"/>
      </w:tblGrid>
      <w:tr w:rsidR="005C29F8" w:rsidRPr="00781112" w14:paraId="185735BC" w14:textId="77777777" w:rsidTr="005F2FF9">
        <w:trPr>
          <w:trHeight w:val="350"/>
        </w:trPr>
        <w:tc>
          <w:tcPr>
            <w:tcW w:w="833" w:type="pct"/>
            <w:tcBorders>
              <w:bottom w:val="single" w:sz="4" w:space="0" w:color="auto"/>
            </w:tcBorders>
            <w:shd w:val="clear" w:color="auto" w:fill="auto"/>
          </w:tcPr>
          <w:p w14:paraId="40BFC57F" w14:textId="77777777" w:rsidR="00B6413B" w:rsidRPr="00781112" w:rsidRDefault="00B6413B"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180872C1" w14:textId="09E6591B" w:rsidR="00B6413B" w:rsidRPr="00781112" w:rsidRDefault="002B7490" w:rsidP="00B6413B">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172712E2" w14:textId="17CB7B21" w:rsidR="00B6413B" w:rsidRPr="00781112" w:rsidRDefault="002B7490" w:rsidP="00B6413B">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510C277D" w14:textId="7361F007" w:rsidR="00B6413B" w:rsidRPr="00781112" w:rsidRDefault="002B7490" w:rsidP="00B6413B">
            <w:pPr>
              <w:jc w:val="center"/>
              <w:rPr>
                <w:rFonts w:cs="Arial"/>
                <w:b/>
                <w:color w:val="000000" w:themeColor="text1"/>
                <w:szCs w:val="16"/>
              </w:rPr>
            </w:pPr>
            <w:r w:rsidRPr="00781112">
              <w:rPr>
                <w:rFonts w:cs="Arial"/>
                <w:b/>
                <w:color w:val="000000" w:themeColor="text1"/>
                <w:szCs w:val="16"/>
              </w:rPr>
              <w:t>2019</w:t>
            </w:r>
          </w:p>
        </w:tc>
        <w:tc>
          <w:tcPr>
            <w:tcW w:w="833" w:type="pct"/>
            <w:shd w:val="clear" w:color="auto" w:fill="auto"/>
          </w:tcPr>
          <w:p w14:paraId="5A53D9E0" w14:textId="2FECDD8F" w:rsidR="00B6413B" w:rsidRPr="00781112" w:rsidRDefault="002B7490" w:rsidP="00B6413B">
            <w:pPr>
              <w:jc w:val="center"/>
              <w:rPr>
                <w:rFonts w:cs="Arial"/>
                <w:b/>
                <w:color w:val="000000" w:themeColor="text1"/>
                <w:szCs w:val="16"/>
              </w:rPr>
            </w:pPr>
            <w:r w:rsidRPr="00781112">
              <w:rPr>
                <w:rFonts w:cs="Arial"/>
                <w:b/>
                <w:color w:val="000000" w:themeColor="text1"/>
                <w:szCs w:val="16"/>
              </w:rPr>
              <w:t>2020</w:t>
            </w:r>
          </w:p>
        </w:tc>
        <w:tc>
          <w:tcPr>
            <w:tcW w:w="834" w:type="pct"/>
            <w:shd w:val="clear" w:color="auto" w:fill="auto"/>
          </w:tcPr>
          <w:p w14:paraId="5DDA3CB1" w14:textId="7CA07026" w:rsidR="00B6413B" w:rsidRPr="00781112" w:rsidRDefault="002B7490" w:rsidP="00B6413B">
            <w:pPr>
              <w:jc w:val="center"/>
              <w:rPr>
                <w:rFonts w:cs="Arial"/>
                <w:b/>
                <w:color w:val="000000" w:themeColor="text1"/>
                <w:szCs w:val="16"/>
              </w:rPr>
            </w:pPr>
            <w:r w:rsidRPr="00781112">
              <w:rPr>
                <w:rFonts w:cs="Arial"/>
                <w:b/>
                <w:color w:val="000000" w:themeColor="text1"/>
                <w:szCs w:val="16"/>
              </w:rPr>
              <w:t>2021</w:t>
            </w:r>
          </w:p>
        </w:tc>
      </w:tr>
      <w:tr w:rsidR="005C29F8" w:rsidRPr="00781112" w14:paraId="1D8C5E85" w14:textId="77777777" w:rsidTr="005F2FF9">
        <w:trPr>
          <w:trHeight w:val="357"/>
        </w:trPr>
        <w:tc>
          <w:tcPr>
            <w:tcW w:w="833" w:type="pct"/>
            <w:shd w:val="clear" w:color="auto" w:fill="auto"/>
          </w:tcPr>
          <w:p w14:paraId="64B52232" w14:textId="1F81B17C" w:rsidR="00B6413B" w:rsidRPr="00781112" w:rsidRDefault="00B6413B" w:rsidP="00BA3DBE">
            <w:pPr>
              <w:jc w:val="center"/>
              <w:rPr>
                <w:rFonts w:cs="Arial"/>
                <w:color w:val="000000" w:themeColor="text1"/>
                <w:szCs w:val="16"/>
              </w:rPr>
            </w:pPr>
            <w:r w:rsidRPr="00781112">
              <w:rPr>
                <w:rFonts w:cs="Arial"/>
                <w:color w:val="000000" w:themeColor="text1"/>
                <w:szCs w:val="16"/>
              </w:rPr>
              <w:t>Target</w:t>
            </w:r>
          </w:p>
        </w:tc>
        <w:tc>
          <w:tcPr>
            <w:tcW w:w="833" w:type="pct"/>
            <w:shd w:val="clear" w:color="auto" w:fill="auto"/>
          </w:tcPr>
          <w:p w14:paraId="13EDBB26" w14:textId="03929D2F" w:rsidR="00B6413B" w:rsidRPr="00781112" w:rsidRDefault="00B16A26">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22315242" w14:textId="2AA4BC03" w:rsidR="00B6413B" w:rsidRPr="00781112" w:rsidRDefault="00B16A26">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592D8352" w14:textId="0CCD91D0" w:rsidR="00B6413B" w:rsidRPr="00781112" w:rsidRDefault="00B16A26">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4213B65B" w14:textId="455FA06B" w:rsidR="00B6413B" w:rsidRPr="00781112" w:rsidRDefault="00B16A26">
            <w:pPr>
              <w:jc w:val="center"/>
              <w:rPr>
                <w:rFonts w:cs="Arial"/>
                <w:color w:val="000000" w:themeColor="text1"/>
                <w:szCs w:val="16"/>
              </w:rPr>
            </w:pPr>
            <w:r w:rsidRPr="00781112">
              <w:rPr>
                <w:rFonts w:cs="Arial"/>
                <w:color w:val="000000" w:themeColor="text1"/>
                <w:szCs w:val="16"/>
              </w:rPr>
              <w:t>100%</w:t>
            </w:r>
          </w:p>
        </w:tc>
        <w:tc>
          <w:tcPr>
            <w:tcW w:w="834" w:type="pct"/>
            <w:shd w:val="clear" w:color="auto" w:fill="auto"/>
          </w:tcPr>
          <w:p w14:paraId="0947AB89" w14:textId="009A0A22" w:rsidR="00B6413B" w:rsidRPr="00781112" w:rsidRDefault="00B16A26">
            <w:pPr>
              <w:jc w:val="center"/>
              <w:rPr>
                <w:rFonts w:cs="Arial"/>
                <w:color w:val="000000" w:themeColor="text1"/>
                <w:szCs w:val="16"/>
              </w:rPr>
            </w:pPr>
            <w:r w:rsidRPr="00781112">
              <w:rPr>
                <w:rFonts w:cs="Arial"/>
                <w:color w:val="000000" w:themeColor="text1"/>
                <w:szCs w:val="16"/>
              </w:rPr>
              <w:t>100%</w:t>
            </w:r>
          </w:p>
        </w:tc>
      </w:tr>
      <w:tr w:rsidR="005C29F8" w:rsidRPr="00781112" w14:paraId="034A91A9" w14:textId="77777777" w:rsidTr="005F2FF9">
        <w:trPr>
          <w:trHeight w:val="85"/>
        </w:trPr>
        <w:tc>
          <w:tcPr>
            <w:tcW w:w="833" w:type="pct"/>
            <w:shd w:val="clear" w:color="auto" w:fill="auto"/>
          </w:tcPr>
          <w:p w14:paraId="2D12CD30" w14:textId="77777777" w:rsidR="00B6413B" w:rsidRPr="00781112" w:rsidRDefault="00B6413B"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45567F1B" w14:textId="15BD6387" w:rsidR="00B6413B" w:rsidRPr="00781112" w:rsidRDefault="002B7490" w:rsidP="00A018D4">
            <w:pPr>
              <w:jc w:val="center"/>
              <w:rPr>
                <w:rFonts w:cs="Arial"/>
                <w:color w:val="000000" w:themeColor="text1"/>
                <w:szCs w:val="16"/>
              </w:rPr>
            </w:pPr>
            <w:r w:rsidRPr="00781112">
              <w:rPr>
                <w:rFonts w:cs="Arial"/>
                <w:color w:val="000000" w:themeColor="text1"/>
                <w:szCs w:val="16"/>
              </w:rPr>
              <w:t>99.66%</w:t>
            </w:r>
          </w:p>
        </w:tc>
        <w:tc>
          <w:tcPr>
            <w:tcW w:w="833" w:type="pct"/>
            <w:shd w:val="clear" w:color="auto" w:fill="auto"/>
          </w:tcPr>
          <w:p w14:paraId="22571264" w14:textId="18DEE061" w:rsidR="00B6413B" w:rsidRPr="00781112" w:rsidRDefault="002B7490" w:rsidP="00A018D4">
            <w:pPr>
              <w:jc w:val="center"/>
              <w:rPr>
                <w:rFonts w:cs="Arial"/>
                <w:color w:val="000000" w:themeColor="text1"/>
                <w:szCs w:val="16"/>
              </w:rPr>
            </w:pPr>
            <w:r w:rsidRPr="00781112">
              <w:rPr>
                <w:rFonts w:cs="Arial"/>
                <w:color w:val="000000" w:themeColor="text1"/>
                <w:szCs w:val="16"/>
              </w:rPr>
              <w:t>99.64%</w:t>
            </w:r>
          </w:p>
        </w:tc>
        <w:tc>
          <w:tcPr>
            <w:tcW w:w="833" w:type="pct"/>
            <w:tcBorders>
              <w:bottom w:val="single" w:sz="4" w:space="0" w:color="auto"/>
            </w:tcBorders>
            <w:shd w:val="clear" w:color="auto" w:fill="auto"/>
            <w:vAlign w:val="center"/>
          </w:tcPr>
          <w:p w14:paraId="0169492B" w14:textId="35C25712" w:rsidR="00B6413B" w:rsidRPr="00781112" w:rsidRDefault="002B7490" w:rsidP="00A018D4">
            <w:pPr>
              <w:jc w:val="center"/>
              <w:rPr>
                <w:rFonts w:cs="Arial"/>
                <w:color w:val="000000" w:themeColor="text1"/>
                <w:szCs w:val="16"/>
              </w:rPr>
            </w:pPr>
            <w:r w:rsidRPr="00781112">
              <w:rPr>
                <w:rFonts w:cs="Arial"/>
                <w:color w:val="000000" w:themeColor="text1"/>
                <w:szCs w:val="16"/>
              </w:rPr>
              <w:t>99.67%</w:t>
            </w:r>
          </w:p>
        </w:tc>
        <w:tc>
          <w:tcPr>
            <w:tcW w:w="833" w:type="pct"/>
            <w:tcBorders>
              <w:bottom w:val="single" w:sz="4" w:space="0" w:color="auto"/>
            </w:tcBorders>
            <w:shd w:val="clear" w:color="auto" w:fill="auto"/>
            <w:vAlign w:val="center"/>
          </w:tcPr>
          <w:p w14:paraId="3F28AAFF" w14:textId="54CE0344" w:rsidR="00B6413B" w:rsidRPr="00781112" w:rsidRDefault="002B7490" w:rsidP="00A018D4">
            <w:pPr>
              <w:jc w:val="center"/>
              <w:rPr>
                <w:rFonts w:cs="Arial"/>
                <w:color w:val="000000" w:themeColor="text1"/>
                <w:szCs w:val="16"/>
              </w:rPr>
            </w:pPr>
            <w:r w:rsidRPr="00781112">
              <w:rPr>
                <w:rFonts w:cs="Arial"/>
                <w:color w:val="000000" w:themeColor="text1"/>
                <w:szCs w:val="16"/>
              </w:rPr>
              <w:t>95.31%</w:t>
            </w:r>
          </w:p>
        </w:tc>
        <w:tc>
          <w:tcPr>
            <w:tcW w:w="834" w:type="pct"/>
            <w:tcBorders>
              <w:bottom w:val="single" w:sz="4" w:space="0" w:color="auto"/>
            </w:tcBorders>
            <w:shd w:val="clear" w:color="auto" w:fill="auto"/>
            <w:vAlign w:val="center"/>
          </w:tcPr>
          <w:p w14:paraId="1634D135" w14:textId="4B1B8A56" w:rsidR="00B6413B" w:rsidRPr="00781112" w:rsidRDefault="002B7490" w:rsidP="00A018D4">
            <w:pPr>
              <w:jc w:val="center"/>
              <w:rPr>
                <w:rFonts w:cs="Arial"/>
                <w:color w:val="000000" w:themeColor="text1"/>
                <w:szCs w:val="16"/>
              </w:rPr>
            </w:pPr>
            <w:r w:rsidRPr="00781112">
              <w:rPr>
                <w:rFonts w:cs="Arial"/>
                <w:color w:val="000000" w:themeColor="text1"/>
                <w:szCs w:val="16"/>
              </w:rPr>
              <w:t>99.28%</w:t>
            </w:r>
          </w:p>
        </w:tc>
      </w:tr>
    </w:tbl>
    <w:p w14:paraId="4B68E2EB" w14:textId="77777777" w:rsidR="00DE2E22" w:rsidRPr="00781112" w:rsidRDefault="00DE2E22" w:rsidP="004369B2">
      <w:pPr>
        <w:rPr>
          <w:color w:val="000000" w:themeColor="text1"/>
        </w:rPr>
      </w:pPr>
    </w:p>
    <w:p w14:paraId="665BBDF2" w14:textId="3C595D9B" w:rsidR="007A3964" w:rsidRPr="00781112" w:rsidRDefault="007A3964" w:rsidP="004369B2">
      <w:pPr>
        <w:rPr>
          <w:color w:val="000000" w:themeColor="text1"/>
        </w:rPr>
      </w:pPr>
      <w:r w:rsidRPr="00781112">
        <w:rPr>
          <w:b/>
          <w:color w:val="000000" w:themeColor="text1"/>
        </w:rPr>
        <w:t>Targets</w:t>
      </w:r>
    </w:p>
    <w:tbl>
      <w:tblPr>
        <w:tblW w:w="4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1TARGETS"/>
      </w:tblPr>
      <w:tblGrid>
        <w:gridCol w:w="667"/>
        <w:gridCol w:w="2401"/>
        <w:gridCol w:w="2574"/>
        <w:gridCol w:w="2574"/>
        <w:gridCol w:w="2574"/>
      </w:tblGrid>
      <w:tr w:rsidR="00B67FCE" w:rsidRPr="00781112" w14:paraId="76DFECC2" w14:textId="07DDD47D" w:rsidTr="00845B9B">
        <w:trPr>
          <w:trHeight w:val="460"/>
        </w:trPr>
        <w:tc>
          <w:tcPr>
            <w:tcW w:w="327" w:type="pct"/>
            <w:tcBorders>
              <w:bottom w:val="single" w:sz="4" w:space="0" w:color="auto"/>
            </w:tcBorders>
            <w:shd w:val="clear" w:color="auto" w:fill="auto"/>
          </w:tcPr>
          <w:p w14:paraId="6892E70C" w14:textId="77777777" w:rsidR="00B67FCE" w:rsidRPr="00781112" w:rsidRDefault="00B67FCE" w:rsidP="00487DD1">
            <w:pPr>
              <w:jc w:val="center"/>
              <w:rPr>
                <w:b/>
                <w:color w:val="000000" w:themeColor="text1"/>
              </w:rPr>
            </w:pPr>
            <w:r w:rsidRPr="00781112">
              <w:rPr>
                <w:b/>
                <w:color w:val="000000" w:themeColor="text1"/>
              </w:rPr>
              <w:t>FFY</w:t>
            </w:r>
          </w:p>
        </w:tc>
        <w:tc>
          <w:tcPr>
            <w:tcW w:w="1110" w:type="pct"/>
            <w:shd w:val="clear" w:color="auto" w:fill="auto"/>
          </w:tcPr>
          <w:p w14:paraId="66B6940B" w14:textId="77777777" w:rsidR="00B67FCE" w:rsidRPr="00781112" w:rsidRDefault="00B67FCE" w:rsidP="00487DD1">
            <w:pPr>
              <w:jc w:val="center"/>
              <w:rPr>
                <w:b/>
                <w:color w:val="000000" w:themeColor="text1"/>
              </w:rPr>
            </w:pPr>
            <w:r w:rsidRPr="00781112">
              <w:rPr>
                <w:b/>
                <w:color w:val="000000" w:themeColor="text1"/>
              </w:rPr>
              <w:t>2022</w:t>
            </w:r>
          </w:p>
        </w:tc>
        <w:tc>
          <w:tcPr>
            <w:tcW w:w="1188" w:type="pct"/>
          </w:tcPr>
          <w:p w14:paraId="642D6D44" w14:textId="2A5BD9E4" w:rsidR="00B67FCE" w:rsidRPr="00781112" w:rsidRDefault="00B67FCE" w:rsidP="00487DD1">
            <w:pPr>
              <w:jc w:val="center"/>
              <w:rPr>
                <w:b/>
                <w:color w:val="000000" w:themeColor="text1"/>
              </w:rPr>
            </w:pPr>
            <w:r w:rsidRPr="00781112">
              <w:rPr>
                <w:rFonts w:cs="Arial"/>
                <w:b/>
                <w:color w:val="000000" w:themeColor="text1"/>
                <w:szCs w:val="16"/>
              </w:rPr>
              <w:t>2023</w:t>
            </w:r>
          </w:p>
        </w:tc>
        <w:tc>
          <w:tcPr>
            <w:tcW w:w="1188" w:type="pct"/>
          </w:tcPr>
          <w:p w14:paraId="3DC5C0D5" w14:textId="20C2B807" w:rsidR="00B67FCE" w:rsidRPr="00781112" w:rsidRDefault="00B67FCE" w:rsidP="00487DD1">
            <w:pPr>
              <w:jc w:val="center"/>
              <w:rPr>
                <w:b/>
                <w:color w:val="000000" w:themeColor="text1"/>
              </w:rPr>
            </w:pPr>
            <w:r w:rsidRPr="00781112">
              <w:rPr>
                <w:rFonts w:cs="Arial"/>
                <w:b/>
                <w:color w:val="000000" w:themeColor="text1"/>
                <w:szCs w:val="16"/>
              </w:rPr>
              <w:t>2024</w:t>
            </w:r>
          </w:p>
        </w:tc>
        <w:tc>
          <w:tcPr>
            <w:tcW w:w="1188" w:type="pct"/>
          </w:tcPr>
          <w:p w14:paraId="66836E96" w14:textId="691AA0DC" w:rsidR="00B67FCE" w:rsidRPr="00781112" w:rsidRDefault="00B67FCE" w:rsidP="00487DD1">
            <w:pPr>
              <w:jc w:val="center"/>
              <w:rPr>
                <w:b/>
                <w:color w:val="000000" w:themeColor="text1"/>
              </w:rPr>
            </w:pPr>
            <w:r w:rsidRPr="00781112">
              <w:rPr>
                <w:rFonts w:cs="Arial"/>
                <w:b/>
                <w:color w:val="000000" w:themeColor="text1"/>
                <w:szCs w:val="16"/>
              </w:rPr>
              <w:t>2025</w:t>
            </w:r>
          </w:p>
        </w:tc>
      </w:tr>
      <w:tr w:rsidR="00B67FCE" w:rsidRPr="00781112" w14:paraId="3EC10007" w14:textId="1FF3F876" w:rsidTr="00845B9B">
        <w:trPr>
          <w:trHeight w:val="469"/>
        </w:trPr>
        <w:tc>
          <w:tcPr>
            <w:tcW w:w="327" w:type="pct"/>
            <w:shd w:val="clear" w:color="auto" w:fill="auto"/>
            <w:vAlign w:val="center"/>
          </w:tcPr>
          <w:p w14:paraId="078AD14E" w14:textId="4163BE23" w:rsidR="00B67FCE" w:rsidRPr="00781112" w:rsidRDefault="00B67FCE" w:rsidP="00BA3DBE">
            <w:pPr>
              <w:jc w:val="center"/>
              <w:rPr>
                <w:rFonts w:cs="Arial"/>
                <w:color w:val="000000" w:themeColor="text1"/>
                <w:szCs w:val="16"/>
              </w:rPr>
            </w:pPr>
            <w:r w:rsidRPr="00781112">
              <w:rPr>
                <w:rFonts w:cs="Arial"/>
                <w:color w:val="000000" w:themeColor="text1"/>
                <w:szCs w:val="16"/>
              </w:rPr>
              <w:t>Target</w:t>
            </w:r>
          </w:p>
        </w:tc>
        <w:tc>
          <w:tcPr>
            <w:tcW w:w="1110" w:type="pct"/>
            <w:shd w:val="clear" w:color="auto" w:fill="auto"/>
            <w:vAlign w:val="center"/>
          </w:tcPr>
          <w:p w14:paraId="738C5681" w14:textId="308364FD" w:rsidR="00B67FCE" w:rsidRPr="00781112" w:rsidRDefault="00B67FCE" w:rsidP="00487DD1">
            <w:pPr>
              <w:jc w:val="center"/>
              <w:rPr>
                <w:rFonts w:cs="Arial"/>
                <w:color w:val="000000" w:themeColor="text1"/>
                <w:szCs w:val="16"/>
              </w:rPr>
            </w:pPr>
            <w:r w:rsidRPr="00781112">
              <w:rPr>
                <w:rFonts w:cs="Arial"/>
                <w:color w:val="000000" w:themeColor="text1"/>
                <w:szCs w:val="16"/>
              </w:rPr>
              <w:t>100%</w:t>
            </w:r>
          </w:p>
        </w:tc>
        <w:tc>
          <w:tcPr>
            <w:tcW w:w="1188" w:type="pct"/>
          </w:tcPr>
          <w:p w14:paraId="6D8F87FA" w14:textId="469699AF" w:rsidR="00B67FCE" w:rsidRPr="00781112" w:rsidRDefault="00B67FCE" w:rsidP="00487DD1">
            <w:pPr>
              <w:jc w:val="center"/>
              <w:rPr>
                <w:rFonts w:cs="Arial"/>
                <w:color w:val="000000" w:themeColor="text1"/>
                <w:szCs w:val="16"/>
              </w:rPr>
            </w:pPr>
            <w:r w:rsidRPr="00781112">
              <w:rPr>
                <w:color w:val="000000" w:themeColor="text1"/>
                <w:szCs w:val="16"/>
              </w:rPr>
              <w:t>100%</w:t>
            </w:r>
          </w:p>
        </w:tc>
        <w:tc>
          <w:tcPr>
            <w:tcW w:w="1188" w:type="pct"/>
          </w:tcPr>
          <w:p w14:paraId="36607C1B" w14:textId="54CF66D1" w:rsidR="00B67FCE" w:rsidRPr="00781112" w:rsidRDefault="00B67FCE" w:rsidP="00487DD1">
            <w:pPr>
              <w:jc w:val="center"/>
              <w:rPr>
                <w:rFonts w:cs="Arial"/>
                <w:color w:val="000000" w:themeColor="text1"/>
                <w:szCs w:val="16"/>
              </w:rPr>
            </w:pPr>
            <w:r w:rsidRPr="00781112">
              <w:rPr>
                <w:color w:val="000000" w:themeColor="text1"/>
                <w:szCs w:val="16"/>
              </w:rPr>
              <w:t>100%</w:t>
            </w:r>
          </w:p>
        </w:tc>
        <w:tc>
          <w:tcPr>
            <w:tcW w:w="1188" w:type="pct"/>
          </w:tcPr>
          <w:p w14:paraId="2E85DC12" w14:textId="59499407" w:rsidR="00B67FCE" w:rsidRPr="00781112" w:rsidRDefault="00B67FCE" w:rsidP="00487DD1">
            <w:pPr>
              <w:jc w:val="center"/>
              <w:rPr>
                <w:rFonts w:cs="Arial"/>
                <w:color w:val="000000" w:themeColor="text1"/>
                <w:szCs w:val="16"/>
              </w:rPr>
            </w:pPr>
            <w:r w:rsidRPr="00781112">
              <w:rPr>
                <w:color w:val="000000" w:themeColor="text1"/>
                <w:szCs w:val="16"/>
              </w:rPr>
              <w:t>100%</w:t>
            </w:r>
          </w:p>
        </w:tc>
      </w:tr>
    </w:tbl>
    <w:p w14:paraId="5CBD7BB2" w14:textId="77777777" w:rsidR="00DE2E22" w:rsidRPr="00781112" w:rsidRDefault="00DE2E22" w:rsidP="004369B2">
      <w:pPr>
        <w:rPr>
          <w:color w:val="000000" w:themeColor="text1"/>
        </w:rPr>
      </w:pPr>
    </w:p>
    <w:bookmarkEnd w:id="80"/>
    <w:bookmarkEnd w:id="81"/>
    <w:p w14:paraId="3FAEB3AB" w14:textId="1E67594B" w:rsidR="00D03701" w:rsidRPr="00781112" w:rsidRDefault="0047313F" w:rsidP="004369B2">
      <w:pPr>
        <w:rPr>
          <w:color w:val="000000" w:themeColor="text1"/>
        </w:rPr>
      </w:pPr>
      <w:r>
        <w:rPr>
          <w:b/>
          <w:color w:val="000000" w:themeColor="text1"/>
        </w:rPr>
        <w:t>FFY 2022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1CFFYAPRDATA"/>
      </w:tblPr>
      <w:tblGrid>
        <w:gridCol w:w="1460"/>
        <w:gridCol w:w="1362"/>
        <w:gridCol w:w="1408"/>
        <w:gridCol w:w="2124"/>
        <w:gridCol w:w="1265"/>
        <w:gridCol w:w="1612"/>
        <w:gridCol w:w="1559"/>
      </w:tblGrid>
      <w:tr w:rsidR="00B1652C" w:rsidRPr="00781112" w14:paraId="4D51CA61" w14:textId="77777777" w:rsidTr="008227D4">
        <w:trPr>
          <w:trHeight w:val="357"/>
          <w:tblHeader/>
        </w:trPr>
        <w:tc>
          <w:tcPr>
            <w:tcW w:w="677" w:type="pct"/>
            <w:shd w:val="clear" w:color="auto" w:fill="auto"/>
            <w:vAlign w:val="bottom"/>
          </w:tcPr>
          <w:p w14:paraId="2C2F9079"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lastRenderedPageBreak/>
              <w:t>(a) Number of children for whom parental consent to evaluate was received</w:t>
            </w:r>
          </w:p>
        </w:tc>
        <w:tc>
          <w:tcPr>
            <w:tcW w:w="631" w:type="pct"/>
            <w:shd w:val="clear" w:color="auto" w:fill="auto"/>
            <w:vAlign w:val="bottom"/>
          </w:tcPr>
          <w:p w14:paraId="37C63445"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(b) Number of children whose evaluations were completed within 60 days (or State-established timeline)</w:t>
            </w:r>
          </w:p>
        </w:tc>
        <w:tc>
          <w:tcPr>
            <w:tcW w:w="652" w:type="pct"/>
            <w:shd w:val="clear" w:color="auto" w:fill="auto"/>
            <w:vAlign w:val="bottom"/>
          </w:tcPr>
          <w:p w14:paraId="0F3587FA" w14:textId="7DD949EA" w:rsidR="00B1652C" w:rsidRPr="00CC1061" w:rsidRDefault="00B1652C" w:rsidP="00B1652C">
            <w:pPr>
              <w:jc w:val="center"/>
              <w:rPr>
                <w:rFonts w:cs="Arial"/>
                <w:b/>
                <w:bCs/>
                <w:color w:val="000000" w:themeColor="text1"/>
                <w:szCs w:val="16"/>
              </w:rPr>
            </w:pPr>
            <w:r w:rsidRPr="00CC1061">
              <w:rPr>
                <w:b/>
                <w:bCs/>
              </w:rPr>
              <w:t>FFY 2021 Data</w:t>
            </w:r>
          </w:p>
        </w:tc>
        <w:tc>
          <w:tcPr>
            <w:tcW w:w="984" w:type="pct"/>
            <w:shd w:val="clear" w:color="auto" w:fill="auto"/>
            <w:vAlign w:val="bottom"/>
          </w:tcPr>
          <w:p w14:paraId="46349806" w14:textId="13F594A4" w:rsidR="00B1652C" w:rsidRPr="00CC1061" w:rsidRDefault="00B1652C" w:rsidP="00B1652C">
            <w:pPr>
              <w:jc w:val="center"/>
              <w:rPr>
                <w:rFonts w:cs="Arial"/>
                <w:b/>
                <w:bCs/>
                <w:color w:val="000000" w:themeColor="text1"/>
                <w:szCs w:val="16"/>
              </w:rPr>
            </w:pPr>
            <w:r w:rsidRPr="00CC1061">
              <w:rPr>
                <w:b/>
                <w:bCs/>
              </w:rPr>
              <w:t>FFY 2022 Target</w:t>
            </w:r>
          </w:p>
        </w:tc>
        <w:tc>
          <w:tcPr>
            <w:tcW w:w="586" w:type="pct"/>
            <w:shd w:val="clear" w:color="auto" w:fill="auto"/>
            <w:vAlign w:val="bottom"/>
          </w:tcPr>
          <w:p w14:paraId="789B0350" w14:textId="4F540A27" w:rsidR="00B1652C" w:rsidRPr="00CC1061" w:rsidRDefault="00B1652C" w:rsidP="00B1652C">
            <w:pPr>
              <w:jc w:val="center"/>
              <w:rPr>
                <w:rFonts w:cs="Arial"/>
                <w:b/>
                <w:bCs/>
                <w:color w:val="000000" w:themeColor="text1"/>
                <w:szCs w:val="16"/>
              </w:rPr>
            </w:pPr>
            <w:r w:rsidRPr="00CC1061">
              <w:rPr>
                <w:b/>
                <w:bCs/>
              </w:rPr>
              <w:t>FFY 2022 Data</w:t>
            </w:r>
          </w:p>
        </w:tc>
        <w:tc>
          <w:tcPr>
            <w:tcW w:w="747" w:type="pct"/>
            <w:shd w:val="clear" w:color="auto" w:fill="auto"/>
            <w:vAlign w:val="bottom"/>
          </w:tcPr>
          <w:p w14:paraId="1F8A5D0B" w14:textId="1CA25A33" w:rsidR="00B1652C" w:rsidRPr="00781112" w:rsidRDefault="00B1652C" w:rsidP="00B1652C">
            <w:pPr>
              <w:jc w:val="center"/>
              <w:rPr>
                <w:rFonts w:cs="Arial"/>
                <w:b/>
                <w:color w:val="000000" w:themeColor="text1"/>
                <w:szCs w:val="16"/>
              </w:rPr>
            </w:pPr>
            <w:r w:rsidRPr="00781112">
              <w:rPr>
                <w:rFonts w:cs="Arial"/>
                <w:b/>
                <w:color w:val="000000" w:themeColor="text1"/>
                <w:szCs w:val="16"/>
              </w:rPr>
              <w:t>Status</w:t>
            </w:r>
          </w:p>
        </w:tc>
        <w:tc>
          <w:tcPr>
            <w:tcW w:w="722" w:type="pct"/>
            <w:shd w:val="clear" w:color="auto" w:fill="auto"/>
            <w:vAlign w:val="bottom"/>
          </w:tcPr>
          <w:p w14:paraId="072F67FA" w14:textId="0AF25FE9" w:rsidR="00B1652C" w:rsidRPr="00781112" w:rsidRDefault="00B1652C" w:rsidP="00B1652C">
            <w:pPr>
              <w:jc w:val="center"/>
              <w:rPr>
                <w:rFonts w:cs="Arial"/>
                <w:b/>
                <w:color w:val="000000" w:themeColor="text1"/>
                <w:szCs w:val="16"/>
              </w:rPr>
            </w:pPr>
            <w:r w:rsidRPr="00781112">
              <w:rPr>
                <w:rFonts w:cs="Arial"/>
                <w:b/>
                <w:color w:val="000000" w:themeColor="text1"/>
                <w:szCs w:val="16"/>
              </w:rPr>
              <w:t>Slippage</w:t>
            </w:r>
          </w:p>
        </w:tc>
      </w:tr>
      <w:tr w:rsidR="005C29F8" w:rsidRPr="00781112" w14:paraId="601FAE62" w14:textId="77777777" w:rsidTr="008227D4">
        <w:tblPrEx>
          <w:jc w:val="center"/>
        </w:tblPrEx>
        <w:trPr>
          <w:trHeight w:val="361"/>
          <w:jc w:val="center"/>
        </w:trPr>
        <w:tc>
          <w:tcPr>
            <w:tcW w:w="677" w:type="pct"/>
            <w:shd w:val="clear" w:color="auto" w:fill="auto"/>
            <w:vAlign w:val="center"/>
          </w:tcPr>
          <w:p w14:paraId="40E44618" w14:textId="45B3AEC4" w:rsidR="00227DE4" w:rsidRPr="00781112" w:rsidRDefault="002B7490" w:rsidP="004369B2">
            <w:pPr>
              <w:jc w:val="center"/>
              <w:rPr>
                <w:rFonts w:cs="Arial"/>
                <w:color w:val="000000" w:themeColor="text1"/>
                <w:szCs w:val="16"/>
              </w:rPr>
            </w:pPr>
            <w:r w:rsidRPr="00781112">
              <w:rPr>
                <w:rFonts w:cs="Arial"/>
                <w:color w:val="000000" w:themeColor="text1"/>
                <w:szCs w:val="16"/>
              </w:rPr>
              <w:t>8,733</w:t>
            </w:r>
          </w:p>
        </w:tc>
        <w:tc>
          <w:tcPr>
            <w:tcW w:w="631" w:type="pct"/>
            <w:shd w:val="clear" w:color="auto" w:fill="auto"/>
          </w:tcPr>
          <w:p w14:paraId="12D46373" w14:textId="70B5728E" w:rsidR="00227DE4" w:rsidRPr="00781112" w:rsidRDefault="002B7490" w:rsidP="004369B2">
            <w:pPr>
              <w:jc w:val="center"/>
              <w:rPr>
                <w:rFonts w:cs="Arial"/>
                <w:color w:val="000000" w:themeColor="text1"/>
                <w:szCs w:val="16"/>
              </w:rPr>
            </w:pPr>
            <w:r w:rsidRPr="00781112">
              <w:rPr>
                <w:rFonts w:cs="Arial"/>
                <w:color w:val="000000" w:themeColor="text1"/>
                <w:szCs w:val="16"/>
              </w:rPr>
              <w:t>8,611</w:t>
            </w:r>
          </w:p>
        </w:tc>
        <w:tc>
          <w:tcPr>
            <w:tcW w:w="652" w:type="pct"/>
            <w:shd w:val="clear" w:color="auto" w:fill="auto"/>
          </w:tcPr>
          <w:p w14:paraId="78F7DC6F" w14:textId="0C25E273" w:rsidR="00227DE4" w:rsidRPr="00781112" w:rsidRDefault="002B7490" w:rsidP="004369B2">
            <w:pPr>
              <w:jc w:val="center"/>
              <w:rPr>
                <w:rFonts w:cs="Arial"/>
                <w:color w:val="000000" w:themeColor="text1"/>
                <w:szCs w:val="16"/>
              </w:rPr>
            </w:pPr>
            <w:r w:rsidRPr="00781112">
              <w:rPr>
                <w:rFonts w:cs="Arial"/>
                <w:color w:val="000000" w:themeColor="text1"/>
                <w:szCs w:val="16"/>
              </w:rPr>
              <w:t>99.28%</w:t>
            </w:r>
          </w:p>
        </w:tc>
        <w:tc>
          <w:tcPr>
            <w:tcW w:w="984" w:type="pct"/>
            <w:shd w:val="clear" w:color="auto" w:fill="auto"/>
          </w:tcPr>
          <w:p w14:paraId="57D08E3A" w14:textId="02A6843C" w:rsidR="00227DE4"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586" w:type="pct"/>
            <w:shd w:val="clear" w:color="auto" w:fill="auto"/>
          </w:tcPr>
          <w:p w14:paraId="76ED234E" w14:textId="0761C4C5" w:rsidR="00227DE4" w:rsidRPr="00781112" w:rsidRDefault="002B7490" w:rsidP="004369B2">
            <w:pPr>
              <w:jc w:val="center"/>
              <w:rPr>
                <w:rFonts w:cs="Arial"/>
                <w:color w:val="000000" w:themeColor="text1"/>
                <w:szCs w:val="16"/>
              </w:rPr>
            </w:pPr>
            <w:r w:rsidRPr="00781112">
              <w:rPr>
                <w:rFonts w:cs="Arial"/>
                <w:color w:val="000000" w:themeColor="text1"/>
                <w:szCs w:val="16"/>
              </w:rPr>
              <w:t>98.60%</w:t>
            </w:r>
          </w:p>
        </w:tc>
        <w:tc>
          <w:tcPr>
            <w:tcW w:w="747" w:type="pct"/>
            <w:shd w:val="clear" w:color="auto" w:fill="auto"/>
          </w:tcPr>
          <w:p w14:paraId="0270582F" w14:textId="73E1CA33" w:rsidR="00227DE4" w:rsidRPr="00781112" w:rsidRDefault="002B7490" w:rsidP="004369B2">
            <w:pPr>
              <w:jc w:val="center"/>
              <w:rPr>
                <w:rFonts w:cs="Arial"/>
                <w:color w:val="000000" w:themeColor="text1"/>
                <w:szCs w:val="16"/>
              </w:rPr>
            </w:pPr>
            <w:r w:rsidRPr="00781112">
              <w:rPr>
                <w:rFonts w:cs="Arial"/>
                <w:color w:val="000000" w:themeColor="text1"/>
                <w:szCs w:val="16"/>
              </w:rPr>
              <w:t>Did not meet target</w:t>
            </w:r>
          </w:p>
        </w:tc>
        <w:tc>
          <w:tcPr>
            <w:tcW w:w="722" w:type="pct"/>
            <w:shd w:val="clear" w:color="auto" w:fill="auto"/>
          </w:tcPr>
          <w:p w14:paraId="2AF3A578" w14:textId="64369F07" w:rsidR="00227DE4" w:rsidRPr="00781112" w:rsidRDefault="002B7490" w:rsidP="004369B2">
            <w:pPr>
              <w:jc w:val="center"/>
              <w:rPr>
                <w:rFonts w:cs="Arial"/>
                <w:color w:val="000000" w:themeColor="text1"/>
                <w:szCs w:val="16"/>
              </w:rPr>
            </w:pPr>
            <w:r w:rsidRPr="00781112">
              <w:rPr>
                <w:rFonts w:cs="Arial"/>
                <w:color w:val="000000" w:themeColor="text1"/>
                <w:szCs w:val="16"/>
              </w:rPr>
              <w:t>No Slippage</w:t>
            </w:r>
          </w:p>
        </w:tc>
      </w:tr>
    </w:tbl>
    <w:p w14:paraId="00FCD0E7" w14:textId="5068539E" w:rsidR="00596F83" w:rsidRPr="00781112" w:rsidRDefault="00596F83" w:rsidP="007D435F">
      <w:pPr>
        <w:rPr>
          <w:rFonts w:cs="Arial"/>
          <w:b/>
          <w:color w:val="000000" w:themeColor="text1"/>
          <w:szCs w:val="16"/>
        </w:rPr>
      </w:pPr>
      <w:r w:rsidRPr="00781112">
        <w:rPr>
          <w:rFonts w:cs="Arial"/>
          <w:b/>
          <w:color w:val="000000" w:themeColor="text1"/>
          <w:szCs w:val="16"/>
        </w:rPr>
        <w:t>Number of children included in (a) but not included in (b)</w:t>
      </w:r>
    </w:p>
    <w:p w14:paraId="500E5C8C" w14:textId="708E8E06" w:rsidR="00596F83" w:rsidRPr="00781112" w:rsidRDefault="00596F83" w:rsidP="007D435F">
      <w:pPr>
        <w:rPr>
          <w:rFonts w:cs="Arial"/>
          <w:color w:val="000000" w:themeColor="text1"/>
          <w:szCs w:val="16"/>
        </w:rPr>
      </w:pPr>
      <w:r w:rsidRPr="00781112">
        <w:rPr>
          <w:rFonts w:cs="Arial"/>
          <w:color w:val="000000" w:themeColor="text1"/>
          <w:szCs w:val="16"/>
        </w:rPr>
        <w:t>122</w:t>
      </w:r>
    </w:p>
    <w:p w14:paraId="59300647" w14:textId="301BC4BA" w:rsidR="00E418E6" w:rsidRPr="00781112" w:rsidRDefault="00481536" w:rsidP="006A01BD">
      <w:pPr>
        <w:rPr>
          <w:b/>
          <w:color w:val="000000" w:themeColor="text1"/>
        </w:rPr>
      </w:pPr>
      <w:r w:rsidRPr="00781112">
        <w:rPr>
          <w:b/>
          <w:color w:val="000000" w:themeColor="text1"/>
        </w:rPr>
        <w:t>Account for children included in (a) but not included in (b). Indicate the range of days beyond the timeline when the evaluation was completed and any reasons for the delays.</w:t>
      </w:r>
    </w:p>
    <w:p w14:paraId="7FF7A4DA" w14:textId="602A3FE9" w:rsidR="00481536" w:rsidRPr="00781112" w:rsidRDefault="002B7490" w:rsidP="006A01BD">
      <w:pPr>
        <w:rPr>
          <w:color w:val="000000" w:themeColor="text1"/>
        </w:rPr>
      </w:pPr>
      <w:r w:rsidRPr="00781112">
        <w:rPr>
          <w:color w:val="000000" w:themeColor="text1"/>
        </w:rPr>
        <w:t>For the 122 children who did not have an evaluation completed within 60 days, the range of days beyond the timeline was 1 to 260 days. The reasons for the delays are as follows:</w:t>
        <w:br/>
        <w:t xml:space="preserve">- 55.00% The 60th day falling during the weekend, holiday or another school closure and the LEAs did not ensure evaluations were completed prior to the weekend, holiday or other </w:t>
        <w:br/>
        <w:t xml:space="preserve">                 school closures.</w:t>
        <w:br/>
        <w:t>- 49.83% Evaluation scheduling issues and/or difficulty scheduling evaluations.</w:t>
        <w:br/>
        <w:t xml:space="preserve"> -  3.33% No service provider was available to complete evaluations.</w:t>
        <w:br/>
        <w:t xml:space="preserve"> -  0.83% Parent requested a delay in the completion of evaluation.</w:t>
      </w:r>
    </w:p>
    <w:p w14:paraId="4FE2B83B" w14:textId="50CDAD1F" w:rsidR="00596F83" w:rsidRPr="00781112" w:rsidRDefault="00596F83" w:rsidP="00596F83">
      <w:pPr>
        <w:rPr>
          <w:rFonts w:cs="Arial"/>
          <w:b/>
          <w:color w:val="000000" w:themeColor="text1"/>
          <w:szCs w:val="16"/>
        </w:rPr>
      </w:pPr>
      <w:r w:rsidRPr="00781112">
        <w:rPr>
          <w:rFonts w:cs="Arial"/>
          <w:b/>
          <w:color w:val="000000" w:themeColor="text1"/>
          <w:szCs w:val="16"/>
        </w:rPr>
        <w:t>Indicate the evaluation timeline used:</w:t>
      </w:r>
    </w:p>
    <w:p w14:paraId="7D77618A" w14:textId="3A3B87A2" w:rsidR="00596F83" w:rsidRPr="00781112" w:rsidRDefault="00596F83" w:rsidP="004369B2">
      <w:pPr>
        <w:rPr>
          <w:rFonts w:cs="Arial"/>
          <w:color w:val="000000" w:themeColor="text1"/>
          <w:szCs w:val="16"/>
        </w:rPr>
      </w:pPr>
      <w:r w:rsidRPr="00781112">
        <w:rPr>
          <w:rFonts w:cs="Arial"/>
          <w:color w:val="000000" w:themeColor="text1"/>
          <w:szCs w:val="16"/>
        </w:rPr>
        <w:t>The State used the 60 day timeframe within which the evaluation must be conducted</w:t>
      </w:r>
    </w:p>
    <w:p w14:paraId="7B602C87" w14:textId="77777777" w:rsidR="00596F83" w:rsidRPr="00781112" w:rsidRDefault="00030B45">
      <w:pPr>
        <w:rPr>
          <w:b/>
          <w:color w:val="000000" w:themeColor="text1"/>
        </w:rPr>
      </w:pPr>
      <w:r w:rsidRPr="00781112">
        <w:rPr>
          <w:b/>
          <w:color w:val="000000" w:themeColor="text1"/>
        </w:rPr>
        <w:t xml:space="preserve">What is the source of the data provided for this indicator? </w:t>
      </w:r>
    </w:p>
    <w:p w14:paraId="6EC5182D" w14:textId="7DE4D103" w:rsidR="00030B45" w:rsidRPr="00781112" w:rsidRDefault="002B7490" w:rsidP="004369B2">
      <w:pPr>
        <w:rPr>
          <w:iCs/>
          <w:color w:val="000000" w:themeColor="text1"/>
        </w:rPr>
      </w:pPr>
      <w:r w:rsidRPr="00781112">
        <w:rPr>
          <w:iCs/>
          <w:color w:val="000000" w:themeColor="text1"/>
        </w:rPr>
        <w:t>State database that includes data for the entire reporting year</w:t>
      </w:r>
    </w:p>
    <w:p w14:paraId="5C41E868" w14:textId="77777777" w:rsidR="00030B45" w:rsidRPr="00781112" w:rsidRDefault="00030B45" w:rsidP="004369B2">
      <w:pPr>
        <w:rPr>
          <w:b/>
          <w:color w:val="000000" w:themeColor="text1"/>
        </w:rPr>
      </w:pPr>
      <w:r w:rsidRPr="00781112">
        <w:rPr>
          <w:b/>
          <w:color w:val="000000" w:themeColor="text1"/>
        </w:rPr>
        <w:t xml:space="preserve">Describe the method used to collect these data, and if data are from the State’s monitoring, describe the procedures used to collect these data. </w:t>
      </w:r>
    </w:p>
    <w:p w14:paraId="41D2EA17" w14:textId="243E2564" w:rsidR="00326C0B" w:rsidRPr="00781112" w:rsidRDefault="002B7490" w:rsidP="00030B45">
      <w:pPr>
        <w:rPr>
          <w:rFonts w:cs="Arial"/>
          <w:color w:val="000000" w:themeColor="text1"/>
          <w:szCs w:val="16"/>
        </w:rPr>
      </w:pPr>
      <w:r w:rsidRPr="00781112">
        <w:rPr>
          <w:rFonts w:cs="Arial"/>
          <w:color w:val="000000" w:themeColor="text1"/>
          <w:szCs w:val="16"/>
        </w:rPr>
        <w:t xml:space="preserve">The State collects the data for Indicator 11 through the State database, the Student Teacher Accountability Reporting System (STARS). Data is collected four times each school year as required by State statute. The reporting periods are referred to as the 40th, 80th, 120th and End of Year. At each reporting period, LEAs upload their data into the STARS system. The STARS system contains business rules which check the dates for the signed parental consent for evaluation, to the date when evaluations were completed, to ensure the evaluation occurred within 60 days. LEAs that miss the 60 day timeline must submit a non-compliance code with their data to indicate the reason(s) the timeline was missed. </w:t>
        <w:br/>
        <w:t/>
        <w:br/>
        <w:t xml:space="preserve">Once the LEAs have submitted the data, State staff review the LEA data. Two reviews of the data are conducted. The first review is a Data Quality Review to ensure that the data is timely, valid and reliable. This review is completed by the Data Supervisor and Data Analyst. The second review is the General Supervision Review where data is reviewed to ensure that LEAs are meeting the requirements under IDEA, Part B including compliance with indicator 11. Any issues are noted and LEAs are supported with noted issues. </w:t>
      </w:r>
    </w:p>
    <w:p w14:paraId="4F981BFF" w14:textId="77777777" w:rsidR="00C86164" w:rsidRPr="00781112" w:rsidRDefault="00C86164" w:rsidP="00C86164">
      <w:pPr>
        <w:rPr>
          <w:rFonts w:cs="Arial"/>
          <w:b/>
          <w:color w:val="000000" w:themeColor="text1"/>
          <w:szCs w:val="16"/>
        </w:rPr>
      </w:pPr>
      <w:bookmarkStart w:id="82" w:name="_Toc381956339"/>
      <w:bookmarkStart w:id="83" w:name="_Toc384383357"/>
      <w:bookmarkStart w:id="84" w:name="_Toc392159325"/>
      <w:r w:rsidRPr="00781112">
        <w:rPr>
          <w:rFonts w:cs="Arial"/>
          <w:b/>
          <w:color w:val="000000" w:themeColor="text1"/>
          <w:szCs w:val="16"/>
        </w:rPr>
        <w:t>Provide additional information about this indicator (optional)</w:t>
      </w:r>
    </w:p>
    <w:p w14:paraId="4D7330D9" w14:textId="5E39C58C" w:rsidR="00326C0B" w:rsidRPr="00781112" w:rsidRDefault="002B7490" w:rsidP="007D435F">
      <w:pPr>
        <w:rPr>
          <w:rFonts w:cs="Arial"/>
          <w:color w:val="000000" w:themeColor="text1"/>
          <w:szCs w:val="16"/>
        </w:rPr>
      </w:pPr>
      <w:r w:rsidRPr="00781112">
        <w:rPr>
          <w:rFonts w:cs="Arial"/>
          <w:color w:val="000000" w:themeColor="text1"/>
          <w:szCs w:val="16"/>
        </w:rPr>
        <w:t>The State is grappling with a shortage of school staff needed to complete evaluations. This issue is impacting LEA ability to complete evaluations within 60 days as limited staff are working to complete the evaluations within the timeline.</w:t>
        <w:br/>
        <w:t/>
        <w:br/>
        <w:t>New Mexico recently amended its rules regarding evaluations and eligibility of students with disabilities to provide more definite timelines and requirements for the local education agencies throughout the identification, initial evaluation, and reevaluation processes for children with disabilities from the use of the multi-layered system of supports (MLSS) and initial evaluation to the eligibility determination and initial IEP meetings. Additionally, the rule was amended to explicitly include current IDEA requirements and preclude the use of the severe discrepancy model as a method of evaluating for specific learning disabilities. This rule change became effective on July 1, 2023.</w:t>
        <w:br/>
        <w:t/>
        <w:br/>
        <w:t>The following substantive amendments were made to the New Mexico Administrative Code after public notice and acceptance of both written and oral comment:</w:t>
        <w:br/>
        <w:t xml:space="preserve">•	providing that the parent requests for evaluations and the evaluation process can commence while MLSS interventions are provided to a student; </w:t>
        <w:br/>
        <w:t>•	explicitly requiring that written informed consent be obtained before conducting an initial evaluation or reevaluation;</w:t>
        <w:br/>
        <w:t>•	explicitly permitting public agencies to utilize the consent override provisions when a parent does not provide consent to evaluate a student;</w:t>
        <w:br/>
        <w:t>•	providing requirements of the public agency when it receives a parent request for evaluation, including a 15 school day prior written notice deadline with considerations for school breaks;</w:t>
        <w:br/>
        <w:t>•	providing requirements of the public agency when it receives a referral for evaluation without a parent request including a 15 school day deadline after the referral to request parent consent to evaluate with consideration for school breaks;</w:t>
        <w:br/>
        <w:t>•	explicitly permitting parents to utilize mediation, state complaint, and due process hearing procedures to challenge the public agencies’ response or lack of response to a request to evaluate;</w:t>
        <w:br/>
        <w:t>•	requiring that the evaluation and written evaluation report be completed within 60 days of parental consent to evaluate;</w:t>
        <w:br/>
        <w:t>•	providing additional and clarified requirements for evaluation and reevaluation procedures including that the parent be provided the written evaluation or reevaluation reports at least two calendar days before the eligibility determination team meeting;</w:t>
        <w:br/>
        <w:t>•	adding explicit requirements regarding requests for independent education evaluations already included in the IDEA regulations;</w:t>
        <w:br/>
        <w:t>•	providing 15 school day deadlines for the eligibility determination team meeting after an initial evaluation with considerations for school breaks;</w:t>
        <w:br/>
        <w:t>•	precluding the use of the severe discrepancy model as a method of evaluating for specific learning disabilities;</w:t>
        <w:br/>
        <w:t>•	requiring that local education agencies use the dual discrepancy model to identify specific learning disabilities for students in kindergarten through grade 12.</w:t>
      </w:r>
    </w:p>
    <w:p w14:paraId="53B75C36" w14:textId="77777777" w:rsidR="00DE2E22" w:rsidRPr="00781112" w:rsidRDefault="00DE2E22" w:rsidP="004369B2">
      <w:pPr>
        <w:rPr>
          <w:color w:val="000000" w:themeColor="text1"/>
        </w:rPr>
      </w:pPr>
    </w:p>
    <w:p w14:paraId="3221D503" w14:textId="66166B4F" w:rsidR="009A755E" w:rsidRPr="00781112" w:rsidRDefault="00450F98" w:rsidP="004369B2">
      <w:pPr>
        <w:rPr>
          <w:color w:val="000000" w:themeColor="text1"/>
        </w:rPr>
      </w:pPr>
      <w:r>
        <w:rPr>
          <w:b/>
          <w:color w:val="000000" w:themeColor="text1"/>
        </w:rPr>
        <w:t>Correction of Findings of Noncompliance Identified in FFY 2021</w:t>
      </w:r>
    </w:p>
    <w:tbl>
      <w:tblPr>
        <w:tblStyle w:val="TableGrid"/>
        <w:tblW w:w="5000" w:type="pct"/>
        <w:tblLook w:val="04A0" w:firstRow="1" w:lastRow="0" w:firstColumn="1" w:lastColumn="0" w:noHBand="0" w:noVBand="1"/>
        <w:tblCaption w:val="B11PFFYNCFINDINGS"/>
      </w:tblPr>
      <w:tblGrid>
        <w:gridCol w:w="2649"/>
        <w:gridCol w:w="2779"/>
        <w:gridCol w:w="2656"/>
        <w:gridCol w:w="2706"/>
      </w:tblGrid>
      <w:tr w:rsidR="005C29F8" w:rsidRPr="00781112" w14:paraId="19F31341" w14:textId="77777777" w:rsidTr="008227D4">
        <w:trPr>
          <w:trHeight w:val="389"/>
          <w:tblHeader/>
        </w:trPr>
        <w:tc>
          <w:tcPr>
            <w:tcW w:w="1228" w:type="pct"/>
            <w:shd w:val="clear" w:color="auto" w:fill="auto"/>
            <w:vAlign w:val="bottom"/>
          </w:tcPr>
          <w:p w14:paraId="56F59E58"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27C87009"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4F7EC97C"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4E046713"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4A7D6F00" w14:textId="77777777" w:rsidTr="008227D4">
        <w:tc>
          <w:tcPr>
            <w:tcW w:w="1228" w:type="pct"/>
            <w:shd w:val="clear" w:color="auto" w:fill="auto"/>
          </w:tcPr>
          <w:p w14:paraId="1D3665CE" w14:textId="31AA2004" w:rsidR="009A755E" w:rsidRPr="00781112" w:rsidRDefault="002B7490" w:rsidP="00A018D4">
            <w:pPr>
              <w:jc w:val="center"/>
              <w:rPr>
                <w:rFonts w:cs="Arial"/>
                <w:color w:val="000000" w:themeColor="text1"/>
                <w:szCs w:val="16"/>
              </w:rPr>
            </w:pPr>
            <w:r w:rsidRPr="00781112">
              <w:rPr>
                <w:rFonts w:cs="Arial"/>
                <w:color w:val="000000" w:themeColor="text1"/>
                <w:szCs w:val="16"/>
              </w:rPr>
              <w:t>19</w:t>
            </w:r>
          </w:p>
        </w:tc>
        <w:tc>
          <w:tcPr>
            <w:tcW w:w="1288" w:type="pct"/>
            <w:shd w:val="clear" w:color="auto" w:fill="auto"/>
          </w:tcPr>
          <w:p w14:paraId="4AEC445C" w14:textId="6396B491" w:rsidR="009A755E" w:rsidRPr="00781112" w:rsidRDefault="002B7490" w:rsidP="00A018D4">
            <w:pPr>
              <w:jc w:val="center"/>
              <w:rPr>
                <w:rFonts w:cs="Arial"/>
                <w:color w:val="000000" w:themeColor="text1"/>
                <w:szCs w:val="16"/>
              </w:rPr>
            </w:pPr>
            <w:r w:rsidRPr="00781112">
              <w:rPr>
                <w:rFonts w:cs="Arial"/>
                <w:color w:val="000000" w:themeColor="text1"/>
                <w:szCs w:val="16"/>
              </w:rPr>
              <w:t>19</w:t>
            </w:r>
          </w:p>
        </w:tc>
        <w:tc>
          <w:tcPr>
            <w:tcW w:w="1231" w:type="pct"/>
            <w:shd w:val="clear" w:color="auto" w:fill="auto"/>
          </w:tcPr>
          <w:p w14:paraId="650763EC" w14:textId="5B71F402" w:rsidR="009A755E" w:rsidRPr="00781112" w:rsidRDefault="002B7490" w:rsidP="00A018D4">
            <w:pPr>
              <w:jc w:val="center"/>
              <w:rPr>
                <w:rFonts w:cs="Arial"/>
                <w:color w:val="000000" w:themeColor="text1"/>
                <w:szCs w:val="16"/>
              </w:rPr>
            </w:pPr>
            <w:r w:rsidRPr="00781112">
              <w:rPr>
                <w:rFonts w:cs="Arial"/>
                <w:color w:val="000000" w:themeColor="text1"/>
                <w:szCs w:val="16"/>
              </w:rPr>
              <w:t/>
            </w:r>
          </w:p>
        </w:tc>
        <w:tc>
          <w:tcPr>
            <w:tcW w:w="1254" w:type="pct"/>
            <w:shd w:val="clear" w:color="auto" w:fill="auto"/>
          </w:tcPr>
          <w:p w14:paraId="67914127" w14:textId="0865F5F8"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49183A2D" w14:textId="051F9A2F" w:rsidR="009A755E" w:rsidRPr="00781112" w:rsidRDefault="00450F98" w:rsidP="004369B2">
      <w:pPr>
        <w:rPr>
          <w:color w:val="000000" w:themeColor="text1"/>
        </w:rPr>
      </w:pPr>
      <w:r>
        <w:rPr>
          <w:b/>
          <w:color w:val="000000" w:themeColor="text1"/>
        </w:rPr>
        <w:t>FFY 2021 Findings of Noncompliance Verified as Corrected</w:t>
      </w:r>
    </w:p>
    <w:p w14:paraId="417CAEC2" w14:textId="31AFF485"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61965D8E" w14:textId="42E8D356" w:rsidR="00326C0B" w:rsidRPr="00781112" w:rsidRDefault="002B7490" w:rsidP="009A755E">
      <w:pPr>
        <w:rPr>
          <w:rFonts w:cs="Arial"/>
          <w:color w:val="000000" w:themeColor="text1"/>
          <w:szCs w:val="16"/>
        </w:rPr>
      </w:pPr>
      <w:r w:rsidRPr="00781112">
        <w:rPr>
          <w:rFonts w:cs="Arial"/>
          <w:color w:val="000000" w:themeColor="text1"/>
          <w:szCs w:val="16"/>
        </w:rPr>
        <w:t>In accordance with the OSEP State General Supervision Responsibilities Under Parts B of the IDEA document (OSEP QA 23-01), the State verified that the noncompliant local education agencies are correctly implementing the regulatory requirements, within one-year, through a follow-up review process. The 19 LEAs demonstrated no further non-compliance within one-year and the State has determined these LEAs are correctly implementing the specific regulatory requirements based on the following review of updated data (achieved 100% compliance). The verification review consisted of a four-step process.</w:t>
        <w:br/>
        <w:t/>
        <w:br/>
        <w:t>First, each LEA completed a Root Cause Analysis (RCA). The RCA process requires LEAs to review their own policies, practices and procedures to ensure compliance and identify any issues within their policies, practices and procedures which may be causing the noncompliance to occur. Each of the LEAs submitted a completed RCA to the state which identified varying contributing factors for the noncompliance. The factors ranged from the need to establish internal procedures when timelines primarily occur during non-working and non-school days and establishing processes for monitoring timelines.</w:t>
        <w:br/>
        <w:t/>
        <w:br/>
        <w:t xml:space="preserve">Second, the State reviewed each of the RCAs submitted by the LEAs along with the policies, practices and procedures. A Corrective Action Plan (CAP) was developed for each of the LEAs to address the areas of noncompliance the LEA and state identified whether regulatory or non-regulatory, which contributed to the noncompliance. The CAP included action steps, timelines for completion of each action step and the documentation needed to verify that each LEA completed the required action step(s) for the identified issues. The LEAs submitted documentation evidencing all action steps were complete, the state reviewed the documentation submitted for each action step and verified that each item in the CAP was corrected for each LEA. </w:t>
        <w:br/>
        <w:t/>
        <w:br/>
        <w:t xml:space="preserve">Third, an independent Prong 2 review of updated data was completed through LEA file reviews and information, along with a review of subsequent data submitted by the LEAs to the State in the STARS data system. The state collected signed parental consents and initial evaluations that happened after the notification of noncompliance. All documents and data reviewed demonstrated each LEA was 100% compliant with the 60-day timeline. The State; therefore, determined each LEA completed all actions necessary to ensure the regulatory requirements are being implemented correctly. </w:t>
        <w:br/>
        <w:t/>
        <w:br/>
        <w:t>Fourth, once the State was assured the LEA was correctly implementing regulatory requirements through steps one through three, the CAP was closed by the State. Each of the LEAs were verified and validated to be implementing the regulatory requirements within one year, from the identification of the noncompliance. Therefore, in accordance with the requirements of QA 23-01, the state verified that all 19 LEAs, that were the source of non-compliance are correctly implementing the regulatory requirements.</w:t>
      </w:r>
    </w:p>
    <w:p w14:paraId="51512AE8" w14:textId="46445215"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14:paraId="1D2403D9" w14:textId="1E0996F1" w:rsidR="00326C0B" w:rsidRPr="00781112" w:rsidRDefault="002B7490" w:rsidP="009A755E">
      <w:pPr>
        <w:rPr>
          <w:rFonts w:cs="Arial"/>
          <w:color w:val="000000" w:themeColor="text1"/>
          <w:szCs w:val="16"/>
        </w:rPr>
      </w:pPr>
      <w:r w:rsidRPr="00781112">
        <w:rPr>
          <w:rFonts w:cs="Arial"/>
          <w:color w:val="000000" w:themeColor="text1"/>
          <w:szCs w:val="16"/>
        </w:rPr>
        <w:t xml:space="preserve">The State verified that each individual case of non-compliance was corrected by the 19 LEAs found to have non-compliance through the following process. </w:t>
        <w:br/>
        <w:t/>
        <w:br/>
        <w:t>First, the State reviewed the indicator 11 Summary Report generated by the Student Teacher and Reporting System (STARS) system, the State's database, to obtain a list of students that did not have an evaluation completed by the 60-day timeline. The State then verified that each student, in which the timeline was missed, received an initial evaluation through a review of the STARS data. If the evaluation date was not in the STARS system, the State contacted the LEA and requested evaluation and parent consent for evaluation documentation to determine the status of the evaluation. The State monitored the STARS system until each evaluation was completed and/or documentation was provided to confirm each student received an evaluation. Each individual case of non-compliance was verified as corrected.</w:t>
        <w:br/>
        <w:t/>
        <w:br/>
        <w:t>Second, the State then verified with its special education dispute resolution team to ensure that no state complaint or due process CAPs existed for the 19 LEAs based on the 60-day timeline requirement for initial evaluations. After reviewing the data, the legal team found none of the 19 LEAs had an open or closed CAP for a specific student in which the LEA missed the timeline. Therefore, in accordance with the requirements of QA 23-01, the state verified that all 19 LEAs corrected each individual case of noncompliance.</w:t>
      </w:r>
    </w:p>
    <w:p w14:paraId="47B6C111" w14:textId="77777777" w:rsidR="008227D4" w:rsidRPr="00781112" w:rsidRDefault="008227D4" w:rsidP="004369B2">
      <w:pPr>
        <w:rPr>
          <w:color w:val="000000" w:themeColor="text1"/>
        </w:rPr>
      </w:pPr>
    </w:p>
    <w:p w14:paraId="3D219E0E" w14:textId="1D99DEB4" w:rsidR="009A755E" w:rsidRPr="00781112" w:rsidRDefault="00450F98" w:rsidP="004369B2">
      <w:pPr>
        <w:rPr>
          <w:color w:val="000000" w:themeColor="text1"/>
        </w:rPr>
      </w:pPr>
      <w:r>
        <w:rPr>
          <w:b/>
          <w:color w:val="000000" w:themeColor="text1"/>
        </w:rPr>
        <w:t>Correction of Findings of Noncompliance Identified Prior to FFY 2021</w:t>
      </w:r>
    </w:p>
    <w:tbl>
      <w:tblPr>
        <w:tblStyle w:val="TableGrid"/>
        <w:tblW w:w="5000" w:type="pct"/>
        <w:tblLook w:val="04A0" w:firstRow="1" w:lastRow="0" w:firstColumn="1" w:lastColumn="0" w:noHBand="0" w:noVBand="1"/>
        <w:tblCaption w:val="B11PPFFYNCFINDINGS"/>
      </w:tblPr>
      <w:tblGrid>
        <w:gridCol w:w="2132"/>
        <w:gridCol w:w="3153"/>
        <w:gridCol w:w="2842"/>
        <w:gridCol w:w="2663"/>
      </w:tblGrid>
      <w:tr w:rsidR="005C29F8" w:rsidRPr="00781112" w14:paraId="24C0CC8B" w14:textId="77777777" w:rsidTr="003968A6">
        <w:trPr>
          <w:tblHeader/>
        </w:trPr>
        <w:tc>
          <w:tcPr>
            <w:tcW w:w="988" w:type="pct"/>
            <w:shd w:val="clear" w:color="auto" w:fill="auto"/>
            <w:vAlign w:val="bottom"/>
          </w:tcPr>
          <w:p w14:paraId="4DB94990" w14:textId="41E221B0"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461" w:type="pct"/>
            <w:shd w:val="clear" w:color="auto" w:fill="auto"/>
            <w:vAlign w:val="bottom"/>
          </w:tcPr>
          <w:p w14:paraId="58480848" w14:textId="33015617"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2021 APR</w:t>
            </w:r>
          </w:p>
        </w:tc>
        <w:tc>
          <w:tcPr>
            <w:tcW w:w="1317" w:type="pct"/>
            <w:shd w:val="clear" w:color="auto" w:fill="auto"/>
            <w:vAlign w:val="bottom"/>
          </w:tcPr>
          <w:p w14:paraId="5E728C5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34" w:type="pct"/>
            <w:shd w:val="clear" w:color="auto" w:fill="auto"/>
            <w:vAlign w:val="bottom"/>
          </w:tcPr>
          <w:p w14:paraId="6B7FE6A9"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4D9969AD" w14:textId="77777777" w:rsidTr="003968A6">
        <w:tc>
          <w:tcPr>
            <w:tcW w:w="988" w:type="pct"/>
            <w:shd w:val="clear" w:color="auto" w:fill="auto"/>
          </w:tcPr>
          <w:p w14:paraId="1373C0BF" w14:textId="5ED00762" w:rsidR="009A755E" w:rsidRPr="00781112" w:rsidRDefault="002B7490" w:rsidP="00A018D4">
            <w:pPr>
              <w:jc w:val="center"/>
              <w:rPr>
                <w:rFonts w:cs="Arial"/>
                <w:color w:val="000000" w:themeColor="text1"/>
                <w:szCs w:val="16"/>
              </w:rPr>
            </w:pPr>
            <w:r w:rsidRPr="00781112">
              <w:rPr>
                <w:rFonts w:cs="Arial"/>
                <w:color w:val="000000" w:themeColor="text1"/>
                <w:szCs w:val="16"/>
              </w:rPr>
              <w:t>FFY 2020</w:t>
            </w:r>
          </w:p>
        </w:tc>
        <w:tc>
          <w:tcPr>
            <w:tcW w:w="1461" w:type="pct"/>
            <w:shd w:val="clear" w:color="auto" w:fill="auto"/>
          </w:tcPr>
          <w:p w14:paraId="5AB62777" w14:textId="29B5602C" w:rsidR="009A755E" w:rsidRPr="00781112" w:rsidRDefault="002B7490">
            <w:pPr>
              <w:jc w:val="center"/>
              <w:rPr>
                <w:rFonts w:cs="Arial"/>
                <w:noProof/>
                <w:color w:val="000000" w:themeColor="text1"/>
                <w:szCs w:val="16"/>
              </w:rPr>
            </w:pPr>
            <w:r w:rsidRPr="00781112">
              <w:rPr>
                <w:rFonts w:cs="Arial"/>
                <w:color w:val="000000" w:themeColor="text1"/>
                <w:szCs w:val="16"/>
              </w:rPr>
              <w:t>3</w:t>
            </w:r>
          </w:p>
        </w:tc>
        <w:tc>
          <w:tcPr>
            <w:tcW w:w="1317" w:type="pct"/>
            <w:shd w:val="clear" w:color="auto" w:fill="auto"/>
          </w:tcPr>
          <w:p w14:paraId="1914F665" w14:textId="53788CBE" w:rsidR="009A755E" w:rsidRPr="00781112" w:rsidRDefault="002B7490">
            <w:pPr>
              <w:jc w:val="center"/>
              <w:rPr>
                <w:rFonts w:cs="Arial"/>
                <w:noProof/>
                <w:color w:val="000000" w:themeColor="text1"/>
                <w:szCs w:val="16"/>
              </w:rPr>
            </w:pPr>
            <w:r w:rsidRPr="00781112">
              <w:rPr>
                <w:rFonts w:cs="Arial"/>
                <w:color w:val="000000" w:themeColor="text1"/>
                <w:szCs w:val="16"/>
              </w:rPr>
              <w:t>3</w:t>
            </w:r>
          </w:p>
        </w:tc>
        <w:tc>
          <w:tcPr>
            <w:tcW w:w="1234" w:type="pct"/>
            <w:shd w:val="clear" w:color="auto" w:fill="auto"/>
          </w:tcPr>
          <w:p w14:paraId="543D4553" w14:textId="411E0F5D" w:rsidR="009A755E" w:rsidRPr="00781112" w:rsidRDefault="002B7490">
            <w:pPr>
              <w:jc w:val="center"/>
              <w:rPr>
                <w:rFonts w:cs="Arial"/>
                <w:noProof/>
                <w:color w:val="000000" w:themeColor="text1"/>
                <w:szCs w:val="16"/>
              </w:rPr>
            </w:pPr>
            <w:r w:rsidRPr="00781112">
              <w:rPr>
                <w:rFonts w:cs="Arial"/>
                <w:color w:val="000000" w:themeColor="text1"/>
                <w:szCs w:val="16"/>
              </w:rPr>
              <w:t>0</w:t>
            </w:r>
          </w:p>
        </w:tc>
      </w:tr>
      <w:tr w:rsidR="005C29F8" w:rsidRPr="00781112" w14:paraId="1816F3D1" w14:textId="77777777" w:rsidTr="003968A6">
        <w:tc>
          <w:tcPr>
            <w:tcW w:w="988" w:type="pct"/>
            <w:shd w:val="clear" w:color="auto" w:fill="auto"/>
          </w:tcPr>
          <w:p w14:paraId="1177FA9A" w14:textId="73A2A90B" w:rsidR="009A755E" w:rsidRPr="00781112" w:rsidRDefault="00596F83" w:rsidP="00A018D4">
            <w:pPr>
              <w:jc w:val="center"/>
              <w:rPr>
                <w:rFonts w:cs="Arial"/>
                <w:color w:val="000000" w:themeColor="text1"/>
                <w:szCs w:val="16"/>
              </w:rPr>
            </w:pPr>
            <w:r w:rsidRPr="00781112">
              <w:rPr>
                <w:rFonts w:cs="Arial"/>
                <w:color w:val="000000" w:themeColor="text1"/>
                <w:szCs w:val="16"/>
              </w:rPr>
              <w:lastRenderedPageBreak/>
              <w:t/>
            </w:r>
          </w:p>
        </w:tc>
        <w:tc>
          <w:tcPr>
            <w:tcW w:w="1461" w:type="pct"/>
            <w:shd w:val="clear" w:color="auto" w:fill="auto"/>
          </w:tcPr>
          <w:p w14:paraId="42D596E0" w14:textId="4BE898FD" w:rsidR="009A755E" w:rsidRPr="00781112" w:rsidRDefault="00596F83">
            <w:pPr>
              <w:jc w:val="center"/>
              <w:rPr>
                <w:rFonts w:cs="Arial"/>
                <w:noProof/>
                <w:color w:val="000000" w:themeColor="text1"/>
                <w:szCs w:val="16"/>
              </w:rPr>
            </w:pPr>
            <w:r w:rsidRPr="00781112">
              <w:rPr>
                <w:rFonts w:cs="Arial"/>
                <w:color w:val="000000" w:themeColor="text1"/>
                <w:szCs w:val="16"/>
              </w:rPr>
              <w:t/>
            </w:r>
          </w:p>
        </w:tc>
        <w:tc>
          <w:tcPr>
            <w:tcW w:w="1317" w:type="pct"/>
            <w:shd w:val="clear" w:color="auto" w:fill="auto"/>
          </w:tcPr>
          <w:p w14:paraId="1709DA4E" w14:textId="03D6E40F"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234" w:type="pct"/>
            <w:shd w:val="clear" w:color="auto" w:fill="auto"/>
          </w:tcPr>
          <w:p w14:paraId="7008AE63" w14:textId="0E87CC18" w:rsidR="009A755E" w:rsidRPr="00781112" w:rsidRDefault="002B7490">
            <w:pPr>
              <w:jc w:val="center"/>
              <w:rPr>
                <w:rFonts w:cs="Arial"/>
                <w:noProof/>
                <w:color w:val="000000" w:themeColor="text1"/>
                <w:szCs w:val="16"/>
              </w:rPr>
            </w:pPr>
            <w:r w:rsidRPr="00781112">
              <w:rPr>
                <w:rFonts w:cs="Arial"/>
                <w:color w:val="000000" w:themeColor="text1"/>
                <w:szCs w:val="16"/>
              </w:rPr>
              <w:t/>
            </w:r>
          </w:p>
        </w:tc>
      </w:tr>
      <w:tr w:rsidR="005C29F8" w:rsidRPr="00781112" w14:paraId="6B4A8AF5" w14:textId="77777777" w:rsidTr="003968A6">
        <w:tc>
          <w:tcPr>
            <w:tcW w:w="988" w:type="pct"/>
            <w:shd w:val="clear" w:color="auto" w:fill="auto"/>
          </w:tcPr>
          <w:p w14:paraId="43946979" w14:textId="506054A6" w:rsidR="009A755E" w:rsidRPr="00781112" w:rsidRDefault="00596F83" w:rsidP="00A018D4">
            <w:pPr>
              <w:jc w:val="center"/>
              <w:rPr>
                <w:rFonts w:cs="Arial"/>
                <w:color w:val="000000" w:themeColor="text1"/>
                <w:szCs w:val="16"/>
              </w:rPr>
            </w:pPr>
            <w:r w:rsidRPr="00781112">
              <w:rPr>
                <w:rFonts w:cs="Arial"/>
                <w:color w:val="000000" w:themeColor="text1"/>
                <w:szCs w:val="16"/>
              </w:rPr>
              <w:t/>
            </w:r>
          </w:p>
        </w:tc>
        <w:tc>
          <w:tcPr>
            <w:tcW w:w="1461" w:type="pct"/>
            <w:shd w:val="clear" w:color="auto" w:fill="auto"/>
          </w:tcPr>
          <w:p w14:paraId="2F9F2AEA" w14:textId="4F1403DB" w:rsidR="009A755E" w:rsidRPr="00781112" w:rsidRDefault="00596F83">
            <w:pPr>
              <w:jc w:val="center"/>
              <w:rPr>
                <w:rFonts w:cs="Arial"/>
                <w:noProof/>
                <w:color w:val="000000" w:themeColor="text1"/>
                <w:szCs w:val="16"/>
              </w:rPr>
            </w:pPr>
            <w:r w:rsidRPr="00781112">
              <w:rPr>
                <w:rFonts w:cs="Arial"/>
                <w:color w:val="000000" w:themeColor="text1"/>
                <w:szCs w:val="16"/>
              </w:rPr>
              <w:t/>
            </w:r>
          </w:p>
        </w:tc>
        <w:tc>
          <w:tcPr>
            <w:tcW w:w="1317" w:type="pct"/>
            <w:shd w:val="clear" w:color="auto" w:fill="auto"/>
          </w:tcPr>
          <w:p w14:paraId="083E1253" w14:textId="465F1687"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234" w:type="pct"/>
            <w:shd w:val="clear" w:color="auto" w:fill="auto"/>
          </w:tcPr>
          <w:p w14:paraId="5051C049" w14:textId="54F55515" w:rsidR="009A755E" w:rsidRPr="00781112" w:rsidRDefault="002B7490">
            <w:pPr>
              <w:jc w:val="center"/>
              <w:rPr>
                <w:rFonts w:cs="Arial"/>
                <w:noProof/>
                <w:color w:val="000000" w:themeColor="text1"/>
                <w:szCs w:val="16"/>
              </w:rPr>
            </w:pPr>
            <w:r w:rsidRPr="00781112">
              <w:rPr>
                <w:rFonts w:cs="Arial"/>
                <w:color w:val="000000" w:themeColor="text1"/>
                <w:szCs w:val="16"/>
              </w:rPr>
              <w:t/>
            </w:r>
          </w:p>
        </w:tc>
      </w:tr>
      <w:tr w:rsidR="009A0A1A" w:rsidRPr="00781112" w14:paraId="326044C9" w14:textId="77777777" w:rsidTr="003968A6">
        <w:tc>
          <w:tcPr>
            <w:tcW w:w="988" w:type="pct"/>
            <w:shd w:val="clear" w:color="auto" w:fill="auto"/>
          </w:tcPr>
          <w:p w14:paraId="4BA2A9AB" w14:textId="600C6311" w:rsidR="009A0A1A" w:rsidRPr="00781112" w:rsidRDefault="009A0A1A" w:rsidP="009A0A1A">
            <w:pPr>
              <w:jc w:val="center"/>
              <w:rPr>
                <w:rFonts w:cs="Arial"/>
                <w:color w:val="000000" w:themeColor="text1"/>
                <w:szCs w:val="16"/>
              </w:rPr>
            </w:pPr>
            <w:r w:rsidRPr="00781112">
              <w:rPr>
                <w:rFonts w:cs="Arial"/>
                <w:color w:val="000000" w:themeColor="text1"/>
                <w:szCs w:val="16"/>
              </w:rPr>
              <w:t/>
            </w:r>
          </w:p>
        </w:tc>
        <w:tc>
          <w:tcPr>
            <w:tcW w:w="1461" w:type="pct"/>
            <w:shd w:val="clear" w:color="auto" w:fill="auto"/>
          </w:tcPr>
          <w:p w14:paraId="3A53DE5D" w14:textId="1B675A3C" w:rsidR="009A0A1A" w:rsidRPr="00781112" w:rsidRDefault="009A0A1A" w:rsidP="009A0A1A">
            <w:pPr>
              <w:jc w:val="center"/>
              <w:rPr>
                <w:rFonts w:cs="Arial"/>
                <w:color w:val="000000" w:themeColor="text1"/>
                <w:szCs w:val="16"/>
              </w:rPr>
            </w:pPr>
            <w:r w:rsidRPr="00781112">
              <w:rPr>
                <w:rFonts w:cs="Arial"/>
                <w:color w:val="000000" w:themeColor="text1"/>
                <w:szCs w:val="16"/>
              </w:rPr>
              <w:t/>
            </w:r>
          </w:p>
        </w:tc>
        <w:tc>
          <w:tcPr>
            <w:tcW w:w="1317" w:type="pct"/>
            <w:shd w:val="clear" w:color="auto" w:fill="auto"/>
          </w:tcPr>
          <w:p w14:paraId="3E865613" w14:textId="390526A2" w:rsidR="009A0A1A" w:rsidRPr="00781112" w:rsidRDefault="009A0A1A" w:rsidP="009A0A1A">
            <w:pPr>
              <w:jc w:val="center"/>
              <w:rPr>
                <w:rFonts w:cs="Arial"/>
                <w:color w:val="000000" w:themeColor="text1"/>
                <w:szCs w:val="16"/>
              </w:rPr>
            </w:pPr>
            <w:r w:rsidRPr="00781112">
              <w:rPr>
                <w:rFonts w:cs="Arial"/>
                <w:color w:val="000000" w:themeColor="text1"/>
                <w:szCs w:val="16"/>
              </w:rPr>
              <w:t/>
            </w:r>
          </w:p>
        </w:tc>
        <w:tc>
          <w:tcPr>
            <w:tcW w:w="1234" w:type="pct"/>
            <w:shd w:val="clear" w:color="auto" w:fill="auto"/>
          </w:tcPr>
          <w:p w14:paraId="42A0EAE6" w14:textId="26C893D7" w:rsidR="009A0A1A" w:rsidRPr="00781112" w:rsidRDefault="009A0A1A" w:rsidP="009A0A1A">
            <w:pPr>
              <w:jc w:val="center"/>
              <w:rPr>
                <w:rFonts w:cs="Arial"/>
                <w:color w:val="000000" w:themeColor="text1"/>
                <w:szCs w:val="16"/>
              </w:rPr>
            </w:pPr>
            <w:r w:rsidRPr="00781112">
              <w:rPr>
                <w:rFonts w:cs="Arial"/>
                <w:color w:val="000000" w:themeColor="text1"/>
                <w:szCs w:val="16"/>
              </w:rPr>
              <w:t/>
            </w:r>
          </w:p>
        </w:tc>
      </w:tr>
      <w:tr w:rsidR="009A0A1A" w:rsidRPr="00781112" w14:paraId="1C2753A1" w14:textId="77777777" w:rsidTr="003968A6">
        <w:tc>
          <w:tcPr>
            <w:tcW w:w="988" w:type="pct"/>
            <w:shd w:val="clear" w:color="auto" w:fill="auto"/>
          </w:tcPr>
          <w:p w14:paraId="36D3903A" w14:textId="2B275116" w:rsidR="009A0A1A" w:rsidRPr="00781112" w:rsidRDefault="009A0A1A" w:rsidP="009A0A1A">
            <w:pPr>
              <w:jc w:val="center"/>
              <w:rPr>
                <w:rFonts w:cs="Arial"/>
                <w:color w:val="000000" w:themeColor="text1"/>
                <w:szCs w:val="16"/>
              </w:rPr>
            </w:pPr>
            <w:r w:rsidRPr="00781112">
              <w:rPr>
                <w:rFonts w:cs="Arial"/>
                <w:color w:val="000000" w:themeColor="text1"/>
                <w:szCs w:val="16"/>
              </w:rPr>
              <w:t/>
            </w:r>
          </w:p>
        </w:tc>
        <w:tc>
          <w:tcPr>
            <w:tcW w:w="1461" w:type="pct"/>
            <w:shd w:val="clear" w:color="auto" w:fill="auto"/>
          </w:tcPr>
          <w:p w14:paraId="6D50DE81" w14:textId="31EC2B0E" w:rsidR="009A0A1A" w:rsidRPr="00781112" w:rsidRDefault="009A0A1A" w:rsidP="009A0A1A">
            <w:pPr>
              <w:jc w:val="center"/>
              <w:rPr>
                <w:rFonts w:cs="Arial"/>
                <w:color w:val="000000" w:themeColor="text1"/>
                <w:szCs w:val="16"/>
              </w:rPr>
            </w:pPr>
            <w:r w:rsidRPr="00781112">
              <w:rPr>
                <w:rFonts w:cs="Arial"/>
                <w:color w:val="000000" w:themeColor="text1"/>
                <w:szCs w:val="16"/>
              </w:rPr>
              <w:t/>
            </w:r>
          </w:p>
        </w:tc>
        <w:tc>
          <w:tcPr>
            <w:tcW w:w="1317" w:type="pct"/>
            <w:shd w:val="clear" w:color="auto" w:fill="auto"/>
          </w:tcPr>
          <w:p w14:paraId="5274E81C" w14:textId="6539CB22" w:rsidR="009A0A1A" w:rsidRPr="00781112" w:rsidRDefault="009A0A1A" w:rsidP="009A0A1A">
            <w:pPr>
              <w:jc w:val="center"/>
              <w:rPr>
                <w:rFonts w:cs="Arial"/>
                <w:color w:val="000000" w:themeColor="text1"/>
                <w:szCs w:val="16"/>
              </w:rPr>
            </w:pPr>
            <w:r w:rsidRPr="00781112">
              <w:rPr>
                <w:rFonts w:cs="Arial"/>
                <w:color w:val="000000" w:themeColor="text1"/>
                <w:szCs w:val="16"/>
              </w:rPr>
              <w:t/>
            </w:r>
          </w:p>
        </w:tc>
        <w:tc>
          <w:tcPr>
            <w:tcW w:w="1234" w:type="pct"/>
            <w:shd w:val="clear" w:color="auto" w:fill="auto"/>
          </w:tcPr>
          <w:p w14:paraId="69F94DB7" w14:textId="3F25747D" w:rsidR="009A0A1A" w:rsidRPr="00781112" w:rsidRDefault="009A0A1A" w:rsidP="009A0A1A">
            <w:pPr>
              <w:jc w:val="center"/>
              <w:rPr>
                <w:rFonts w:cs="Arial"/>
                <w:color w:val="000000" w:themeColor="text1"/>
                <w:szCs w:val="16"/>
              </w:rPr>
            </w:pPr>
            <w:r w:rsidRPr="00781112">
              <w:rPr>
                <w:rFonts w:cs="Arial"/>
                <w:color w:val="000000" w:themeColor="text1"/>
                <w:szCs w:val="16"/>
              </w:rPr>
              <w:t/>
            </w:r>
          </w:p>
        </w:tc>
      </w:tr>
    </w:tbl>
    <w:p w14:paraId="0ED1B1B5" w14:textId="6853D71E" w:rsidR="009A221D" w:rsidRPr="00781112" w:rsidRDefault="009A221D" w:rsidP="004369B2">
      <w:pPr>
        <w:rPr>
          <w:rFonts w:cs="Arial"/>
          <w:b/>
          <w:bCs/>
          <w:color w:val="000000" w:themeColor="text1"/>
          <w:szCs w:val="16"/>
        </w:rPr>
      </w:pPr>
      <w:r w:rsidRPr="00781112">
        <w:rPr>
          <w:rFonts w:cs="Arial"/>
          <w:b/>
          <w:bCs/>
          <w:color w:val="000000" w:themeColor="text1"/>
          <w:szCs w:val="16"/>
        </w:rPr>
        <w:t>FFY 2020</w:t>
      </w:r>
    </w:p>
    <w:p w14:paraId="25C1BC10" w14:textId="12C6C3A0" w:rsidR="009A755E" w:rsidRPr="00781112" w:rsidRDefault="009A755E" w:rsidP="004369B2">
      <w:pPr>
        <w:rPr>
          <w:color w:val="000000" w:themeColor="text1"/>
        </w:rPr>
      </w:pPr>
      <w:r w:rsidRPr="00781112">
        <w:rPr>
          <w:b/>
          <w:color w:val="000000" w:themeColor="text1"/>
        </w:rPr>
        <w:t>Findings of Noncompliance Verified as Corrected</w:t>
      </w:r>
    </w:p>
    <w:p w14:paraId="14586A63" w14:textId="460DC4B6"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470A5E59" w14:textId="6E4B93E2" w:rsidR="00326C0B" w:rsidRPr="00781112" w:rsidRDefault="002B7490" w:rsidP="009A755E">
      <w:pPr>
        <w:rPr>
          <w:rFonts w:cs="Arial"/>
          <w:color w:val="000000" w:themeColor="text1"/>
          <w:szCs w:val="16"/>
        </w:rPr>
      </w:pPr>
      <w:r w:rsidRPr="00781112">
        <w:rPr>
          <w:rFonts w:cs="Arial"/>
          <w:color w:val="000000" w:themeColor="text1"/>
          <w:szCs w:val="16"/>
        </w:rPr>
        <w:t>In accordance with the OSEP Memo 09-02 and he OSEP State General Supervision Responsibilities Under Parts B of the IDEA document (OSEP QA 23-01), the State verified that the source of noncompliance is correctly implementing the regulatory requirements, through a follow-up review process. The 3 LEAs demonstrated no further non-compliance within one-year and the State has determined these LEAs are correctly implementing the specific regulatory requirements based on the following review of updated data (achieved 100% compliance). The verification review consisted of a three-step process.</w:t>
        <w:br/>
        <w:t/>
        <w:br/>
        <w:t xml:space="preserve"> First, each LEA completed a Root Cause Analysis (RCA). The RCA process requires LEAs to review their own policies, practices and procedures to ensure compliance and identify any issues within their policies, practices and procedures which may be causing the non-compliance to occur. Each of the LEAs submitted a completed RCA to the state which identified varying contributing factors for the non-compliance.</w:t>
        <w:br/>
        <w:t/>
        <w:br/>
        <w:t>Second, the State reviewed each of the RCAs submitted by the LEAs along with the policies, practices and procedures. A Corrective Action Plan (CAP) was developed for each of the LEAs to address the areas the LEA and state identified, whether regulatory or non-regulatory, that are contributing to the non-compliance. The CAP included action steps, timelines for completion of each action step and the documentation required to verify each LEA completed the required action step(s) for the identified issues. The LEAs were required to submit documentation evidencing all action steps were complete, the state reviewed the documentation submitted for each action step and verified each item as corrected. Once all action steps of the CAP were completed and the state was assured the LEA was correctly implementing regulatory requirements, the CAP was closed by the state. The State implemented a new process which added rigor to the process and includes a final review of all information and determination for CAP closure by the Deputy Director of Special Education.</w:t>
        <w:br/>
        <w:t/>
        <w:br/>
        <w:t>Third, subsequent data submitted by the LEAs into the State’s database, STARS, was reviewed by the state. At the time the data was reviewed, each of the LEAs had a score of 100% for Indicator 11. In addition, the State instituted a new process to include an independent review of LEA files and information. The state collected signed parental consents and initial evaluations for review for a random sampling of students. All documents reviewed demonstrated each LEA was compliant with the 60 day timeline. Once the STARS data and documents were verified, the state determined each LEA met the above conditions for each of the three steps necessary to ensure the regulatory requirements are being implemented correctly, and thereby each of the 3 LEAs were correctly implementing the regulatory requirements.</w:t>
      </w:r>
    </w:p>
    <w:p w14:paraId="1F4C53D6" w14:textId="19404A71"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14:paraId="4D6CFCBF" w14:textId="034DF97C" w:rsidR="00596F83" w:rsidRPr="00781112" w:rsidRDefault="00596F83" w:rsidP="009A755E">
      <w:pPr>
        <w:rPr>
          <w:rFonts w:cs="Arial"/>
          <w:color w:val="000000" w:themeColor="text1"/>
          <w:szCs w:val="16"/>
        </w:rPr>
      </w:pPr>
      <w:r w:rsidRPr="00781112">
        <w:rPr>
          <w:rFonts w:cs="Arial"/>
          <w:color w:val="000000" w:themeColor="text1"/>
          <w:szCs w:val="16"/>
        </w:rPr>
        <w:t>The State verified that each individual case of non-compliance was corrected. First, the State reviewed the indicator 11 Summary Report generated by the STARS system to obtain a list of students that did not have an evaluation completed by the 60 day timeline.</w:t>
        <w:br/>
        <w:t/>
        <w:br/>
        <w:t>Second, the State reviewed the Indicator 11 Summary Report to determine if an evaluation date was entered for each student identified in the first step, even if the date was after the 60 day timeline. If the evaluation date was in the STARS system, the individual case of non-compliance was considered corrected. If the evaluation data was not in the STARS system, the State contacted the LEA and requested evaluation and parent consent for evaluation documentation to determine the status of the evaluation. The State monitored the STARS system until each evaluation was completed and/or documentation was provided to confirm each student received an evaluation. All students in the LEAs identified in the first step had an evaluation completed within one year as verified through the STARS system or a documentation review, thus it was determined each individual case of non-compliance was corrected as required.</w:t>
      </w:r>
    </w:p>
    <w:p w14:paraId="3F4BF14E" w14:textId="77777777" w:rsidR="009A0A1A" w:rsidRPr="00781112" w:rsidRDefault="009A0A1A" w:rsidP="009A755E">
      <w:pPr>
        <w:rPr>
          <w:rFonts w:cs="Arial"/>
          <w:color w:val="000000" w:themeColor="text1"/>
          <w:szCs w:val="16"/>
        </w:rPr>
      </w:pPr>
    </w:p>
    <w:p w14:paraId="6AA9F004" w14:textId="407DFBC2" w:rsidR="004E2151" w:rsidRPr="00781112" w:rsidRDefault="00C22B92" w:rsidP="00123D76">
      <w:pPr>
        <w:pStyle w:val="Heading2"/>
      </w:pPr>
      <w:r w:rsidRPr="00781112">
        <w:t>11</w:t>
      </w:r>
      <w:r w:rsidR="004838A4" w:rsidRPr="00781112">
        <w:t xml:space="preserve"> </w:t>
      </w:r>
      <w:r w:rsidRPr="00781112">
        <w:t xml:space="preserve">- </w:t>
      </w:r>
      <w:r w:rsidR="004E2151" w:rsidRPr="00781112">
        <w:t>Prior FFY Required Actions</w:t>
      </w:r>
    </w:p>
    <w:p w14:paraId="1469B26E" w14:textId="5BCE6CA0" w:rsidR="004E2151" w:rsidRPr="00781112" w:rsidRDefault="002B7490" w:rsidP="004E2151">
      <w:pPr>
        <w:rPr>
          <w:rFonts w:cs="Arial"/>
          <w:color w:val="000000" w:themeColor="text1"/>
          <w:szCs w:val="16"/>
        </w:rPr>
      </w:pPr>
      <w:r w:rsidRPr="00781112">
        <w:rPr>
          <w:rFonts w:cs="Arial"/>
          <w:color w:val="000000" w:themeColor="text1"/>
          <w:szCs w:val="16"/>
        </w:rPr>
        <w:t xml:space="preserve">In the FFY 2022 SPP/APR, the State must report whether it has established a timeline, and if so, what the State's timeline is for initial evaluations, as required by the Measurement Table. </w:t>
        <w:br/>
        <w:t/>
        <w:br/>
        <w:t xml:space="preserve">Because the State reported less than 100% compliance for FFY 2021, the State must report on the status of correction of noncompliance identified in FFY 2021 for this indicator. In addition, the State must demonstrate, in the FFY 2022 SPP/APR, that the remaining 3 uncorrected findings of noncompliance identified in FFY 2020 were corrected.  When reporting on the correction of noncompliance, the State must report, in the FFY 2022 SPP/APR, that it has verified that each LEA with findings of noncompliance identified in FFY 2021 and each LEA with remaining noncompliance identified in FFY 2020: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In the FFY 2022 SPP/APR, the State must describe the specific actions that were taken to verify the correction.    </w:t>
        <w:br/>
        <w:t/>
        <w:br/>
        <w:t>If the State did not identify any findings of noncompliance in FFY 2021, although its FFY 2021 data reflect less than 100% compliance, provide an explanation of why the State did not identify any findings of noncompliance in FFY 2021.</w:t>
      </w:r>
    </w:p>
    <w:p w14:paraId="314020BE" w14:textId="77777777" w:rsidR="009F69E7" w:rsidRPr="00781112" w:rsidRDefault="009F69E7" w:rsidP="004E2151">
      <w:pPr>
        <w:rPr>
          <w:rFonts w:cs="Arial"/>
          <w:color w:val="000000" w:themeColor="text1"/>
          <w:szCs w:val="16"/>
        </w:rPr>
      </w:pPr>
    </w:p>
    <w:p w14:paraId="35EEEBCC" w14:textId="55507AC2" w:rsidR="004E2151" w:rsidRPr="00781112" w:rsidRDefault="007639D7" w:rsidP="004369B2">
      <w:pPr>
        <w:rPr>
          <w:b/>
          <w:color w:val="000000" w:themeColor="text1"/>
        </w:rPr>
      </w:pPr>
      <w:r>
        <w:rPr>
          <w:b/>
          <w:color w:val="000000" w:themeColor="text1"/>
        </w:rPr>
        <w:t>Response to actions required in FFY 2021 SPP/APR</w:t>
      </w:r>
    </w:p>
    <w:p w14:paraId="29D8AFAD" w14:textId="6EBD882C" w:rsidR="004E2151" w:rsidRPr="00781112" w:rsidRDefault="002B7490" w:rsidP="004E2151">
      <w:pPr>
        <w:rPr>
          <w:rFonts w:cs="Arial"/>
          <w:color w:val="000000" w:themeColor="text1"/>
          <w:szCs w:val="16"/>
        </w:rPr>
      </w:pPr>
      <w:r w:rsidRPr="00781112">
        <w:rPr>
          <w:rFonts w:cs="Arial"/>
          <w:color w:val="000000" w:themeColor="text1"/>
          <w:szCs w:val="16"/>
        </w:rPr>
        <w:t>The State timeline used is the 60 day timeline. State rules have been revised to provide clarity for LEAs to ensure that evaluations are completed within established timelines and ensure there are no undue delays. These new rules became effective on July 1, 2023 and the data reflective of these new rules will be reported in the FFY2023 SPP/APR.</w:t>
        <w:br/>
        <w:t/>
        <w:br/>
        <w:t>The State has verified that each LEA with noncompliance identified in FFY 2021 for this indicator is: (1)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The State has also describe the specific actions that were taken to verify the correction.</w:t>
        <w:br/>
        <w:t/>
        <w:br/>
        <w:t>The State has also demonstrated, in this FFY 2022 SPP/APR, that the remaining three uncorrected findings of noncompliance identified in FFY 2020 were corrected.</w:t>
      </w:r>
    </w:p>
    <w:p w14:paraId="1D3AFFE6" w14:textId="5250F151" w:rsidR="007F5071" w:rsidRPr="00781112" w:rsidRDefault="00C22B92" w:rsidP="00123D76">
      <w:pPr>
        <w:pStyle w:val="Heading2"/>
      </w:pPr>
      <w:r w:rsidRPr="00781112">
        <w:t>11 - OSEP Response</w:t>
      </w:r>
    </w:p>
    <w:p w14:paraId="2479DA6D" w14:textId="3DE51C13" w:rsidR="00326C0B" w:rsidRPr="00781112" w:rsidRDefault="002B7490" w:rsidP="00212954">
      <w:pPr>
        <w:rPr>
          <w:rFonts w:cs="Arial"/>
          <w:color w:val="000000" w:themeColor="text1"/>
          <w:szCs w:val="16"/>
        </w:rPr>
      </w:pPr>
      <w:r w:rsidRPr="00781112">
        <w:rPr>
          <w:rFonts w:cs="Arial"/>
          <w:color w:val="000000" w:themeColor="text1"/>
          <w:szCs w:val="16"/>
        </w:rPr>
        <w:t/>
      </w:r>
    </w:p>
    <w:p w14:paraId="140652C1" w14:textId="064683E6" w:rsidR="007F5071" w:rsidRPr="00781112" w:rsidRDefault="00C22B92" w:rsidP="00123D76">
      <w:pPr>
        <w:pStyle w:val="Heading2"/>
      </w:pPr>
      <w:r w:rsidRPr="00781112">
        <w:t>11 - Required Actions</w:t>
      </w:r>
    </w:p>
    <w:p w14:paraId="542023B0" w14:textId="425F5FF5" w:rsidR="00326C0B" w:rsidRPr="00781112" w:rsidRDefault="002B7490" w:rsidP="00212954">
      <w:pPr>
        <w:rPr>
          <w:rFonts w:cs="Arial"/>
          <w:color w:val="000000" w:themeColor="text1"/>
          <w:szCs w:val="16"/>
        </w:rPr>
      </w:pPr>
      <w:r w:rsidRPr="00781112">
        <w:rPr>
          <w:rFonts w:cs="Arial"/>
          <w:color w:val="000000" w:themeColor="text1"/>
          <w:szCs w:val="16"/>
        </w:rPr>
        <w:t>Because the State reported less than 100% compliance for FFY 2022, the State must report on the status of correction of noncompliance identified in FFY 2022 for this indicator. When reporting on the correction of noncompliance, the State must report, in the FFY 2023 SPP/APR, that it has verified that each LEA with noncompliance identified in FFY 2022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QA 23-01.  In the FFY 2023 SPP/APR, the State must describe the specific actions that were taken to verify the correction. If the State did not identify any findings of noncompliance in FFY 2022, although its FFY 2022 data reflect less than 100% compliance, provide an explanation of why the State did not identify any findings of noncompliance in FFY 2022.</w:t>
      </w:r>
    </w:p>
    <w:p w14:paraId="529C4C74"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55C7C90D" w14:textId="1ACF121A" w:rsidR="00D03701" w:rsidRPr="00781112" w:rsidRDefault="00D03701" w:rsidP="000444E2">
      <w:pPr>
        <w:pStyle w:val="Heading1"/>
        <w:rPr>
          <w:color w:val="000000" w:themeColor="text1"/>
          <w:sz w:val="22"/>
        </w:rPr>
      </w:pPr>
      <w:r w:rsidRPr="00781112">
        <w:rPr>
          <w:color w:val="000000" w:themeColor="text1"/>
          <w:sz w:val="22"/>
        </w:rPr>
        <w:lastRenderedPageBreak/>
        <w:t>Indicator 12: Early Childhood Transition</w:t>
      </w:r>
      <w:bookmarkEnd w:id="82"/>
      <w:bookmarkEnd w:id="83"/>
      <w:bookmarkEnd w:id="84"/>
    </w:p>
    <w:p w14:paraId="435B75C0" w14:textId="77777777" w:rsidR="00652135" w:rsidRPr="00781112" w:rsidRDefault="00652135" w:rsidP="00A018D4">
      <w:pPr>
        <w:rPr>
          <w:color w:val="000000" w:themeColor="text1"/>
          <w:szCs w:val="20"/>
        </w:rPr>
      </w:pPr>
      <w:r w:rsidRPr="00781112">
        <w:rPr>
          <w:b/>
          <w:color w:val="000000" w:themeColor="text1"/>
          <w:sz w:val="20"/>
          <w:szCs w:val="20"/>
        </w:rPr>
        <w:t>Instructions and Measurement</w:t>
      </w:r>
    </w:p>
    <w:p w14:paraId="6C78EC4F" w14:textId="77777777" w:rsidR="001F3A65" w:rsidRPr="00781112" w:rsidRDefault="001F3A65" w:rsidP="009447A3">
      <w:pPr>
        <w:rPr>
          <w:rFonts w:cs="Arial"/>
          <w:color w:val="000000" w:themeColor="text1"/>
          <w:szCs w:val="16"/>
        </w:rPr>
      </w:pPr>
      <w:bookmarkStart w:id="85" w:name="_Toc384383358"/>
      <w:bookmarkStart w:id="86" w:name="_Toc392159326"/>
      <w:r w:rsidRPr="00781112">
        <w:rPr>
          <w:rFonts w:cs="Arial"/>
          <w:b/>
          <w:color w:val="000000" w:themeColor="text1"/>
          <w:szCs w:val="16"/>
        </w:rPr>
        <w:t>Monitoring Priorit</w:t>
      </w:r>
      <w:r w:rsidRPr="00781112">
        <w:rPr>
          <w:rFonts w:cs="Arial"/>
          <w:color w:val="000000" w:themeColor="text1"/>
          <w:szCs w:val="16"/>
        </w:rPr>
        <w:t>y: Effective General Supervision Part B / Effective Transition</w:t>
      </w:r>
    </w:p>
    <w:p w14:paraId="5BB6E6C8" w14:textId="77777777" w:rsidR="00704E6A" w:rsidRPr="00781112" w:rsidRDefault="001F3A65" w:rsidP="009447A3">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children referred by Part C prior to age 3, who are found eligible for Part B, and who have an IEP developed and implemented by their third birthdays. </w:t>
      </w:r>
    </w:p>
    <w:p w14:paraId="760E84D0" w14:textId="3B0C2366" w:rsidR="001F3A65" w:rsidRPr="00781112" w:rsidRDefault="001F3A65" w:rsidP="009447A3">
      <w:pPr>
        <w:rPr>
          <w:rFonts w:cs="Arial"/>
          <w:color w:val="000000" w:themeColor="text1"/>
          <w:szCs w:val="16"/>
        </w:rPr>
      </w:pPr>
      <w:r w:rsidRPr="00781112">
        <w:rPr>
          <w:rFonts w:cs="Arial"/>
          <w:color w:val="000000" w:themeColor="text1"/>
          <w:szCs w:val="16"/>
        </w:rPr>
        <w:t>(20 U.S.C. 1416(a)(3)(B))</w:t>
      </w:r>
    </w:p>
    <w:p w14:paraId="10C4B518" w14:textId="77777777" w:rsidR="00704E6A" w:rsidRPr="00781112" w:rsidRDefault="00704E6A" w:rsidP="004369B2">
      <w:pPr>
        <w:rPr>
          <w:color w:val="000000" w:themeColor="text1"/>
        </w:rPr>
      </w:pPr>
      <w:r w:rsidRPr="00781112">
        <w:rPr>
          <w:b/>
          <w:color w:val="000000" w:themeColor="text1"/>
        </w:rPr>
        <w:t>Data Source</w:t>
      </w:r>
    </w:p>
    <w:p w14:paraId="65642578" w14:textId="09D10273" w:rsidR="00704E6A" w:rsidRPr="00781112" w:rsidRDefault="00704E6A" w:rsidP="00286BDF">
      <w:pPr>
        <w:rPr>
          <w:rFonts w:cs="Arial"/>
          <w:color w:val="000000" w:themeColor="text1"/>
          <w:szCs w:val="16"/>
        </w:rPr>
      </w:pPr>
      <w:r w:rsidRPr="00781112">
        <w:rPr>
          <w:rFonts w:cs="Arial"/>
          <w:color w:val="000000" w:themeColor="text1"/>
          <w:szCs w:val="16"/>
          <w:shd w:val="clear" w:color="auto" w:fill="FFFFFF"/>
        </w:rPr>
        <w:t>Data to be taken from State monitoring or State data system.</w:t>
      </w:r>
    </w:p>
    <w:p w14:paraId="4DFE5EEF" w14:textId="77777777" w:rsidR="00704E6A" w:rsidRPr="00781112" w:rsidRDefault="00704E6A" w:rsidP="004369B2">
      <w:pPr>
        <w:rPr>
          <w:color w:val="000000" w:themeColor="text1"/>
        </w:rPr>
      </w:pPr>
      <w:r w:rsidRPr="00781112">
        <w:rPr>
          <w:b/>
          <w:color w:val="000000" w:themeColor="text1"/>
        </w:rPr>
        <w:t>Measurement</w:t>
      </w:r>
    </w:p>
    <w:p w14:paraId="577779AD" w14:textId="51863FF6"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a. # of children who have been served in Part C and referred to Part B for Part B eligibility determination.</w:t>
      </w:r>
    </w:p>
    <w:p w14:paraId="1D83C19C" w14:textId="0381C17E"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b. # of those referred determined to be NOT eligible and whose eligibility was determined prior to their third birthdays.</w:t>
      </w:r>
    </w:p>
    <w:p w14:paraId="62A73664" w14:textId="3A860DF6"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c. # of those found eligible who have an IEP developed and implemented by their third birthdays.</w:t>
      </w:r>
    </w:p>
    <w:p w14:paraId="43DE876C" w14:textId="58ABBAA9"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 xml:space="preserve">d. # of children for whom parent refusal to provide consent caused delays in evaluation or initial services or to whom exceptions under 34 CFR </w:t>
      </w:r>
      <w:r w:rsidRPr="00781112">
        <w:rPr>
          <w:rFonts w:eastAsia="Times New Roman" w:cs="Arial"/>
          <w:color w:val="000000" w:themeColor="text1"/>
          <w:szCs w:val="16"/>
        </w:rPr>
        <w:tab/>
      </w:r>
      <w:r w:rsidR="00704E6A" w:rsidRPr="00781112">
        <w:rPr>
          <w:rFonts w:eastAsia="Times New Roman" w:cs="Arial"/>
          <w:color w:val="000000" w:themeColor="text1"/>
          <w:szCs w:val="16"/>
        </w:rPr>
        <w:t>§300.301(d) applied.</w:t>
      </w:r>
    </w:p>
    <w:p w14:paraId="4AFE260E" w14:textId="6A26A1CE"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e. # of children determined to be eligible for early intervention services under Part C less than 90 days before their third birthdays.</w:t>
      </w:r>
    </w:p>
    <w:p w14:paraId="1306CF8A" w14:textId="7D69EBBD" w:rsidR="00704E6A" w:rsidRPr="00781112" w:rsidRDefault="00A90E71" w:rsidP="00A90E71">
      <w:pPr>
        <w:spacing w:before="0" w:after="0"/>
        <w:rPr>
          <w:rFonts w:eastAsia="Times New Roman" w:cs="Arial"/>
          <w:color w:val="000000" w:themeColor="text1"/>
          <w:szCs w:val="16"/>
        </w:rPr>
      </w:pPr>
      <w:r w:rsidRPr="00781112">
        <w:rPr>
          <w:rFonts w:eastAsia="Times New Roman" w:cs="Arial"/>
          <w:color w:val="000000" w:themeColor="text1"/>
          <w:szCs w:val="16"/>
        </w:rPr>
        <w:tab/>
        <w:t xml:space="preserve">f. # of children whose parents chose to continue early intervention services beyond the child’s third birthday through a State’s policy under 34 </w:t>
      </w:r>
      <w:r w:rsidRPr="00781112">
        <w:rPr>
          <w:rFonts w:eastAsia="Times New Roman" w:cs="Arial"/>
          <w:color w:val="000000" w:themeColor="text1"/>
          <w:szCs w:val="16"/>
        </w:rPr>
        <w:tab/>
      </w:r>
      <w:r w:rsidR="00704E6A" w:rsidRPr="00781112">
        <w:rPr>
          <w:rFonts w:eastAsia="Times New Roman" w:cs="Arial"/>
          <w:color w:val="000000" w:themeColor="text1"/>
          <w:szCs w:val="16"/>
        </w:rPr>
        <w:t>CFR §303.211 or a similar State option.</w:t>
      </w:r>
    </w:p>
    <w:p w14:paraId="13DB13F0" w14:textId="77777777" w:rsidR="00A90E71" w:rsidRPr="00781112" w:rsidRDefault="00A90E71" w:rsidP="006A01BD">
      <w:pPr>
        <w:spacing w:before="0" w:after="0"/>
        <w:rPr>
          <w:rFonts w:eastAsia="Times New Roman" w:cs="Arial"/>
          <w:color w:val="000000" w:themeColor="text1"/>
          <w:szCs w:val="16"/>
        </w:rPr>
      </w:pPr>
    </w:p>
    <w:p w14:paraId="07549C8E" w14:textId="77777777" w:rsidR="00704E6A" w:rsidRPr="00781112" w:rsidRDefault="00704E6A" w:rsidP="006A01BD">
      <w:pPr>
        <w:spacing w:before="0" w:after="210"/>
        <w:rPr>
          <w:rFonts w:eastAsia="Times New Roman" w:cs="Arial"/>
          <w:color w:val="000000" w:themeColor="text1"/>
          <w:szCs w:val="16"/>
        </w:rPr>
      </w:pPr>
      <w:r w:rsidRPr="00781112">
        <w:rPr>
          <w:rFonts w:eastAsia="Times New Roman" w:cs="Arial"/>
          <w:color w:val="000000" w:themeColor="text1"/>
          <w:szCs w:val="16"/>
        </w:rPr>
        <w:t>Account for children included in (a), but not included in b, c, d, e, or f. Indicate the range of days beyond the third birthday when eligibility was determined and the IEP developed, and the reasons for the delays.</w:t>
      </w:r>
    </w:p>
    <w:p w14:paraId="5406A8A2" w14:textId="2622A063" w:rsidR="00704E6A" w:rsidRPr="00781112" w:rsidRDefault="00704E6A" w:rsidP="009447A3">
      <w:pPr>
        <w:spacing w:before="0" w:after="210"/>
        <w:rPr>
          <w:rFonts w:eastAsia="Times New Roman" w:cs="Arial"/>
          <w:color w:val="000000" w:themeColor="text1"/>
          <w:szCs w:val="16"/>
        </w:rPr>
      </w:pPr>
      <w:r w:rsidRPr="00781112">
        <w:rPr>
          <w:rFonts w:eastAsia="Times New Roman" w:cs="Arial"/>
          <w:color w:val="000000" w:themeColor="text1"/>
          <w:szCs w:val="16"/>
        </w:rPr>
        <w:t>Percent = [(c) divided by (a - b - d - e - f)] times 100.</w:t>
      </w:r>
    </w:p>
    <w:p w14:paraId="568E2452" w14:textId="77777777" w:rsidR="00704E6A" w:rsidRPr="00781112" w:rsidRDefault="00704E6A" w:rsidP="004369B2">
      <w:pPr>
        <w:rPr>
          <w:color w:val="000000" w:themeColor="text1"/>
        </w:rPr>
      </w:pPr>
      <w:r w:rsidRPr="00781112">
        <w:rPr>
          <w:b/>
          <w:color w:val="000000" w:themeColor="text1"/>
        </w:rPr>
        <w:t>Instructions</w:t>
      </w:r>
    </w:p>
    <w:p w14:paraId="26144B56" w14:textId="77777777" w:rsidR="00704E6A" w:rsidRPr="00781112" w:rsidRDefault="00704E6A" w:rsidP="00286BDF">
      <w:pPr>
        <w:rPr>
          <w:rFonts w:cs="Arial"/>
          <w:i/>
          <w:iCs/>
          <w:color w:val="000000" w:themeColor="text1"/>
          <w:szCs w:val="16"/>
        </w:rPr>
      </w:pPr>
      <w:r w:rsidRPr="00781112">
        <w:rPr>
          <w:rFonts w:cs="Arial"/>
          <w:i/>
          <w:iCs/>
          <w:color w:val="000000" w:themeColor="text1"/>
          <w:szCs w:val="16"/>
        </w:rPr>
        <w:t>If data are from State monitoring, describe the method used to select LEAs for monitoring. If data are from a State database, include data for the entire reporting year.</w:t>
      </w:r>
    </w:p>
    <w:p w14:paraId="739AF8C8" w14:textId="7B1DF3FC" w:rsidR="00704E6A" w:rsidRPr="00781112" w:rsidRDefault="00704E6A" w:rsidP="00286BDF">
      <w:pPr>
        <w:rPr>
          <w:rFonts w:cs="Arial"/>
          <w:color w:val="000000" w:themeColor="text1"/>
          <w:szCs w:val="16"/>
        </w:rPr>
      </w:pPr>
      <w:r w:rsidRPr="00781112">
        <w:rPr>
          <w:rFonts w:cs="Arial"/>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the actual numbers used in the calculation.</w:t>
      </w:r>
    </w:p>
    <w:p w14:paraId="216DD8AC" w14:textId="77777777" w:rsidR="001F165D" w:rsidRPr="00781112" w:rsidRDefault="001F165D" w:rsidP="001F165D">
      <w:pPr>
        <w:rPr>
          <w:rFonts w:cs="Arial"/>
          <w:color w:val="000000" w:themeColor="text1"/>
          <w:szCs w:val="16"/>
        </w:rPr>
      </w:pPr>
      <w:r w:rsidRPr="00781112">
        <w:rPr>
          <w:rFonts w:cs="Arial"/>
          <w:color w:val="000000" w:themeColor="text1"/>
          <w:szCs w:val="16"/>
        </w:rPr>
        <w:t>Targets must be 100%.</w:t>
      </w:r>
    </w:p>
    <w:p w14:paraId="1B4708FE" w14:textId="1629AEED" w:rsidR="00704E6A" w:rsidRPr="00781112" w:rsidRDefault="00BA70F9" w:rsidP="00286BDF">
      <w:pPr>
        <w:rPr>
          <w:rFonts w:cs="Arial"/>
          <w:color w:val="000000" w:themeColor="text1"/>
          <w:szCs w:val="16"/>
        </w:rPr>
      </w:pPr>
      <w:r w:rsidRPr="00781112">
        <w:rPr>
          <w:rFonts w:cs="Arial"/>
          <w:color w:val="000000" w:themeColor="text1"/>
          <w:szCs w:val="16"/>
        </w:rPr>
        <w:t>Category f is to be used only by States that have an approved policy for providing parents the option of continuing early intervention services beyond the child’s third birthday under 34 CFR §303.211 or a similar State option.</w:t>
      </w:r>
    </w:p>
    <w:p w14:paraId="5D5B86D4" w14:textId="4725FE4E" w:rsidR="00704E6A" w:rsidRPr="00781112" w:rsidRDefault="00704E6A" w:rsidP="00286BDF">
      <w:pPr>
        <w:rPr>
          <w:rFonts w:cs="Arial"/>
          <w:color w:val="000000" w:themeColor="text1"/>
          <w:szCs w:val="16"/>
        </w:rPr>
      </w:pPr>
      <w:r w:rsidRPr="00781112">
        <w:rPr>
          <w:rFonts w:cs="Arial"/>
          <w:color w:val="000000" w:themeColor="text1"/>
          <w:szCs w:val="16"/>
        </w:rPr>
        <w:t xml:space="preserve">Provide detailed information about the timely correction of </w:t>
      </w:r>
      <w:bookmarkStart w:id="87" w:name="_Hlk150864384"/>
      <w:r w:rsidR="005F55E8" w:rsidRPr="005F55E8">
        <w:rPr>
          <w:rFonts w:cs="Arial"/>
          <w:color w:val="000000" w:themeColor="text1"/>
          <w:szCs w:val="16"/>
        </w:rPr>
        <w:t>child-specific and regulatory/systemic</w:t>
      </w:r>
      <w:r w:rsidR="005F55E8">
        <w:rPr>
          <w:sz w:val="20"/>
          <w:szCs w:val="14"/>
        </w:rPr>
        <w:t xml:space="preserve"> </w:t>
      </w:r>
      <w:bookmarkEnd w:id="87"/>
      <w:r w:rsidRPr="00781112">
        <w:rPr>
          <w:rFonts w:cs="Arial"/>
          <w:color w:val="000000" w:themeColor="text1"/>
          <w:szCs w:val="16"/>
        </w:rPr>
        <w:t>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and any enforcement actions that were taken.</w:t>
      </w:r>
    </w:p>
    <w:p w14:paraId="1B505E64" w14:textId="20BCC2A8" w:rsidR="00704E6A" w:rsidRPr="00781112" w:rsidRDefault="003A4027"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2022 SPP/APR, the data for FFY 2021), and the State did not identify any findings of noncompliance, provide an explanation of why the State did not identify any findings of noncompliance.</w:t>
      </w:r>
    </w:p>
    <w:p w14:paraId="79824C1D" w14:textId="3C301685" w:rsidR="00FE7D29" w:rsidRPr="00781112" w:rsidRDefault="00056350" w:rsidP="00123D76">
      <w:pPr>
        <w:pStyle w:val="Heading2"/>
      </w:pPr>
      <w:bookmarkStart w:id="88" w:name="_Toc384383359"/>
      <w:bookmarkStart w:id="89" w:name="_Toc392159327"/>
      <w:bookmarkEnd w:id="85"/>
      <w:bookmarkEnd w:id="86"/>
      <w:r w:rsidRPr="00781112">
        <w:t>12</w:t>
      </w:r>
      <w:r w:rsidR="004838A4" w:rsidRPr="00781112">
        <w:t xml:space="preserve"> </w:t>
      </w:r>
      <w:r w:rsidRPr="00781112">
        <w:t xml:space="preserve">- </w:t>
      </w:r>
      <w:r w:rsidR="00211617" w:rsidRPr="00781112">
        <w:t>Indicator Data</w:t>
      </w:r>
    </w:p>
    <w:p w14:paraId="0150EC4C" w14:textId="77777777" w:rsidR="0091098C" w:rsidRPr="00781112" w:rsidRDefault="0091098C" w:rsidP="004369B2">
      <w:pPr>
        <w:rPr>
          <w:color w:val="000000" w:themeColor="text1"/>
        </w:rPr>
      </w:pPr>
      <w:r w:rsidRPr="00781112">
        <w:rPr>
          <w:b/>
          <w:color w:val="000000" w:themeColor="text1"/>
        </w:rPr>
        <w:t>Not Applicable</w:t>
      </w:r>
    </w:p>
    <w:p w14:paraId="1844E5CA" w14:textId="6EC3A331" w:rsidR="00A5601C" w:rsidRPr="00781112" w:rsidRDefault="005D604C">
      <w:pPr>
        <w:rPr>
          <w:b/>
          <w:color w:val="000000" w:themeColor="text1"/>
        </w:rPr>
      </w:pPr>
      <w:r w:rsidRPr="00781112">
        <w:rPr>
          <w:b/>
          <w:color w:val="000000" w:themeColor="text1"/>
        </w:rPr>
        <w:t>Select yes if this indicator is not applicable.</w:t>
      </w:r>
    </w:p>
    <w:p w14:paraId="5B7EBB05" w14:textId="76B0BD88" w:rsidR="00043AC9" w:rsidRPr="00781112" w:rsidRDefault="00043AC9" w:rsidP="004369B2">
      <w:pPr>
        <w:rPr>
          <w:rFonts w:cs="Arial"/>
          <w:color w:val="000000" w:themeColor="text1"/>
          <w:szCs w:val="16"/>
        </w:rPr>
      </w:pPr>
      <w:r w:rsidRPr="00781112">
        <w:rPr>
          <w:rFonts w:cs="Arial"/>
          <w:color w:val="000000" w:themeColor="text1"/>
          <w:szCs w:val="16"/>
        </w:rPr>
        <w:t>NO</w:t>
      </w:r>
    </w:p>
    <w:p w14:paraId="0D26312C" w14:textId="77777777" w:rsidR="00C50290" w:rsidRPr="00781112" w:rsidRDefault="00C50290" w:rsidP="004369B2">
      <w:pPr>
        <w:rPr>
          <w:color w:val="000000" w:themeColor="text1"/>
        </w:rPr>
      </w:pPr>
    </w:p>
    <w:p w14:paraId="71DDF5C0" w14:textId="3F9EB38B" w:rsidR="00EC46E4" w:rsidRPr="00781112" w:rsidRDefault="00EC46E4"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2BASELINEDATA"/>
      </w:tblPr>
      <w:tblGrid>
        <w:gridCol w:w="1797"/>
        <w:gridCol w:w="1798"/>
      </w:tblGrid>
      <w:tr w:rsidR="001875AF" w:rsidRPr="00781112" w14:paraId="056D9953" w14:textId="77777777" w:rsidTr="00123D76">
        <w:trPr>
          <w:trHeight w:val="311"/>
          <w:tblHeader/>
        </w:trPr>
        <w:tc>
          <w:tcPr>
            <w:tcW w:w="1797" w:type="dxa"/>
          </w:tcPr>
          <w:p w14:paraId="3B806594" w14:textId="77777777" w:rsidR="001875AF" w:rsidRPr="00781112" w:rsidRDefault="001875AF" w:rsidP="00123D76">
            <w:pPr>
              <w:jc w:val="center"/>
              <w:rPr>
                <w:b/>
                <w:color w:val="000000" w:themeColor="text1"/>
              </w:rPr>
            </w:pPr>
            <w:r w:rsidRPr="00781112">
              <w:rPr>
                <w:rFonts w:cs="Arial"/>
                <w:b/>
                <w:color w:val="000000" w:themeColor="text1"/>
                <w:szCs w:val="16"/>
              </w:rPr>
              <w:t>Baseline Year</w:t>
            </w:r>
          </w:p>
        </w:tc>
        <w:tc>
          <w:tcPr>
            <w:tcW w:w="1798" w:type="dxa"/>
          </w:tcPr>
          <w:p w14:paraId="47C5AC3E" w14:textId="77777777" w:rsidR="001875AF" w:rsidRPr="00781112" w:rsidRDefault="001875AF" w:rsidP="00123D76">
            <w:pPr>
              <w:jc w:val="center"/>
              <w:rPr>
                <w:b/>
                <w:color w:val="000000" w:themeColor="text1"/>
              </w:rPr>
            </w:pPr>
            <w:r w:rsidRPr="00781112">
              <w:rPr>
                <w:b/>
                <w:color w:val="000000" w:themeColor="text1"/>
              </w:rPr>
              <w:t>Baseline Data</w:t>
            </w:r>
          </w:p>
        </w:tc>
      </w:tr>
      <w:tr w:rsidR="001875AF" w:rsidRPr="00781112" w14:paraId="693B925B" w14:textId="77777777" w:rsidTr="00123D76">
        <w:trPr>
          <w:trHeight w:val="311"/>
        </w:trPr>
        <w:tc>
          <w:tcPr>
            <w:tcW w:w="1797" w:type="dxa"/>
            <w:vAlign w:val="center"/>
          </w:tcPr>
          <w:p w14:paraId="589FAD9D" w14:textId="6C47315C" w:rsidR="001875AF" w:rsidRPr="00781112" w:rsidRDefault="001875AF" w:rsidP="00123D76">
            <w:pPr>
              <w:jc w:val="center"/>
              <w:rPr>
                <w:bCs/>
                <w:color w:val="000000" w:themeColor="text1"/>
              </w:rPr>
            </w:pPr>
            <w:r w:rsidRPr="00781112">
              <w:rPr>
                <w:bCs/>
                <w:color w:val="000000" w:themeColor="text1"/>
              </w:rPr>
              <w:t>2005</w:t>
            </w:r>
          </w:p>
        </w:tc>
        <w:tc>
          <w:tcPr>
            <w:tcW w:w="1798" w:type="dxa"/>
            <w:vAlign w:val="center"/>
          </w:tcPr>
          <w:p w14:paraId="00D43D2D" w14:textId="0C3ED28A" w:rsidR="001875AF" w:rsidRPr="00781112" w:rsidRDefault="001875AF" w:rsidP="00123D76">
            <w:pPr>
              <w:jc w:val="center"/>
              <w:rPr>
                <w:bCs/>
                <w:color w:val="000000" w:themeColor="text1"/>
              </w:rPr>
            </w:pPr>
            <w:r w:rsidRPr="00781112">
              <w:rPr>
                <w:bCs/>
                <w:color w:val="000000" w:themeColor="text1"/>
              </w:rPr>
              <w:t>94.40%</w:t>
            </w:r>
          </w:p>
        </w:tc>
      </w:tr>
    </w:tbl>
    <w:p w14:paraId="465AB33D" w14:textId="77777777" w:rsidR="001875AF" w:rsidRPr="00781112" w:rsidRDefault="001875AF"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2HISTDATA"/>
      </w:tblPr>
      <w:tblGrid>
        <w:gridCol w:w="1798"/>
        <w:gridCol w:w="1798"/>
        <w:gridCol w:w="1798"/>
        <w:gridCol w:w="1798"/>
        <w:gridCol w:w="1798"/>
        <w:gridCol w:w="1800"/>
      </w:tblGrid>
      <w:tr w:rsidR="005C29F8" w:rsidRPr="00781112" w14:paraId="641F8356" w14:textId="77777777" w:rsidTr="005F2FF9">
        <w:trPr>
          <w:trHeight w:val="350"/>
        </w:trPr>
        <w:tc>
          <w:tcPr>
            <w:tcW w:w="833" w:type="pct"/>
            <w:tcBorders>
              <w:bottom w:val="single" w:sz="4" w:space="0" w:color="auto"/>
            </w:tcBorders>
            <w:shd w:val="clear" w:color="auto" w:fill="auto"/>
          </w:tcPr>
          <w:bookmarkEnd w:id="88"/>
          <w:bookmarkEnd w:id="89"/>
          <w:p w14:paraId="5D9A28F2" w14:textId="77777777" w:rsidR="009447A3" w:rsidRPr="00781112" w:rsidRDefault="009447A3"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7E21A227" w14:textId="61889525" w:rsidR="009447A3" w:rsidRPr="00781112" w:rsidRDefault="002B7490" w:rsidP="008E31C4">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6B56B4FE" w14:textId="34D3DC5E" w:rsidR="009447A3" w:rsidRPr="00781112" w:rsidRDefault="002B7490" w:rsidP="008E31C4">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786A53CE" w14:textId="3A94FF3D" w:rsidR="009447A3" w:rsidRPr="00781112" w:rsidRDefault="002B7490" w:rsidP="008E31C4">
            <w:pPr>
              <w:jc w:val="center"/>
              <w:rPr>
                <w:rFonts w:cs="Arial"/>
                <w:b/>
                <w:color w:val="000000" w:themeColor="text1"/>
                <w:szCs w:val="16"/>
              </w:rPr>
            </w:pPr>
            <w:r w:rsidRPr="00781112">
              <w:rPr>
                <w:rFonts w:cs="Arial"/>
                <w:b/>
                <w:color w:val="000000" w:themeColor="text1"/>
                <w:szCs w:val="16"/>
              </w:rPr>
              <w:t>2019</w:t>
            </w:r>
          </w:p>
        </w:tc>
        <w:tc>
          <w:tcPr>
            <w:tcW w:w="833" w:type="pct"/>
            <w:shd w:val="clear" w:color="auto" w:fill="auto"/>
          </w:tcPr>
          <w:p w14:paraId="221DF675" w14:textId="00A1F14E" w:rsidR="009447A3" w:rsidRPr="00781112" w:rsidRDefault="002B7490" w:rsidP="008E31C4">
            <w:pPr>
              <w:jc w:val="center"/>
              <w:rPr>
                <w:rFonts w:cs="Arial"/>
                <w:b/>
                <w:color w:val="000000" w:themeColor="text1"/>
                <w:szCs w:val="16"/>
              </w:rPr>
            </w:pPr>
            <w:r w:rsidRPr="00781112">
              <w:rPr>
                <w:rFonts w:cs="Arial"/>
                <w:b/>
                <w:color w:val="000000" w:themeColor="text1"/>
                <w:szCs w:val="16"/>
              </w:rPr>
              <w:t>2020</w:t>
            </w:r>
          </w:p>
        </w:tc>
        <w:tc>
          <w:tcPr>
            <w:tcW w:w="834" w:type="pct"/>
            <w:shd w:val="clear" w:color="auto" w:fill="auto"/>
          </w:tcPr>
          <w:p w14:paraId="72849A47" w14:textId="21327CD6" w:rsidR="009447A3" w:rsidRPr="00781112" w:rsidRDefault="002B7490" w:rsidP="008E31C4">
            <w:pPr>
              <w:jc w:val="center"/>
              <w:rPr>
                <w:rFonts w:cs="Arial"/>
                <w:b/>
                <w:color w:val="000000" w:themeColor="text1"/>
                <w:szCs w:val="16"/>
              </w:rPr>
            </w:pPr>
            <w:r w:rsidRPr="00781112">
              <w:rPr>
                <w:rFonts w:cs="Arial"/>
                <w:b/>
                <w:color w:val="000000" w:themeColor="text1"/>
                <w:szCs w:val="16"/>
              </w:rPr>
              <w:t>2021</w:t>
            </w:r>
          </w:p>
        </w:tc>
      </w:tr>
      <w:tr w:rsidR="005C29F8" w:rsidRPr="00781112" w14:paraId="1A3B7AC8" w14:textId="77777777" w:rsidTr="005F2FF9">
        <w:trPr>
          <w:trHeight w:val="357"/>
        </w:trPr>
        <w:tc>
          <w:tcPr>
            <w:tcW w:w="833" w:type="pct"/>
            <w:shd w:val="clear" w:color="auto" w:fill="auto"/>
          </w:tcPr>
          <w:p w14:paraId="27FE69AA" w14:textId="697900D5" w:rsidR="009447A3" w:rsidRPr="00781112" w:rsidRDefault="009447A3" w:rsidP="00BA3DBE">
            <w:pPr>
              <w:jc w:val="center"/>
              <w:rPr>
                <w:rFonts w:cs="Arial"/>
                <w:color w:val="000000" w:themeColor="text1"/>
                <w:szCs w:val="16"/>
              </w:rPr>
            </w:pPr>
            <w:r w:rsidRPr="00781112">
              <w:rPr>
                <w:rFonts w:cs="Arial"/>
                <w:color w:val="000000" w:themeColor="text1"/>
                <w:szCs w:val="16"/>
              </w:rPr>
              <w:t>Target</w:t>
            </w:r>
          </w:p>
        </w:tc>
        <w:tc>
          <w:tcPr>
            <w:tcW w:w="833" w:type="pct"/>
            <w:shd w:val="clear" w:color="auto" w:fill="auto"/>
          </w:tcPr>
          <w:p w14:paraId="6628560E" w14:textId="0BC45703"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347A32E0" w14:textId="064AD14E"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4EFE8268" w14:textId="7F4C4E30"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14DDB11E" w14:textId="2D6071C3"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c>
          <w:tcPr>
            <w:tcW w:w="834" w:type="pct"/>
            <w:shd w:val="clear" w:color="auto" w:fill="auto"/>
          </w:tcPr>
          <w:p w14:paraId="17E07D81" w14:textId="67F91616"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r>
      <w:tr w:rsidR="005C29F8" w:rsidRPr="00781112" w14:paraId="6BA24638" w14:textId="77777777" w:rsidTr="005F2FF9">
        <w:trPr>
          <w:trHeight w:val="85"/>
        </w:trPr>
        <w:tc>
          <w:tcPr>
            <w:tcW w:w="833" w:type="pct"/>
            <w:shd w:val="clear" w:color="auto" w:fill="auto"/>
          </w:tcPr>
          <w:p w14:paraId="76E217FB" w14:textId="77777777" w:rsidR="009447A3" w:rsidRPr="00781112" w:rsidRDefault="009447A3"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5ABEE368" w14:textId="7DA2F686" w:rsidR="009447A3" w:rsidRPr="00781112" w:rsidRDefault="002B7490" w:rsidP="003A4027">
            <w:pPr>
              <w:jc w:val="center"/>
              <w:rPr>
                <w:rFonts w:cs="Arial"/>
                <w:color w:val="000000" w:themeColor="text1"/>
                <w:szCs w:val="16"/>
              </w:rPr>
            </w:pPr>
            <w:r w:rsidRPr="00781112">
              <w:rPr>
                <w:rFonts w:cs="Arial"/>
                <w:color w:val="000000" w:themeColor="text1"/>
                <w:szCs w:val="16"/>
              </w:rPr>
              <w:t>99.48%</w:t>
            </w:r>
          </w:p>
        </w:tc>
        <w:tc>
          <w:tcPr>
            <w:tcW w:w="833" w:type="pct"/>
            <w:shd w:val="clear" w:color="auto" w:fill="auto"/>
          </w:tcPr>
          <w:p w14:paraId="6826E3EC" w14:textId="5DEFD785" w:rsidR="009447A3" w:rsidRPr="00781112" w:rsidRDefault="002B7490" w:rsidP="003A4027">
            <w:pPr>
              <w:jc w:val="center"/>
              <w:rPr>
                <w:rFonts w:cs="Arial"/>
                <w:color w:val="000000" w:themeColor="text1"/>
                <w:szCs w:val="16"/>
              </w:rPr>
            </w:pPr>
            <w:r w:rsidRPr="00781112">
              <w:rPr>
                <w:rFonts w:cs="Arial"/>
                <w:color w:val="000000" w:themeColor="text1"/>
                <w:szCs w:val="16"/>
              </w:rPr>
              <w:t>83.90%</w:t>
            </w:r>
          </w:p>
        </w:tc>
        <w:tc>
          <w:tcPr>
            <w:tcW w:w="833" w:type="pct"/>
            <w:tcBorders>
              <w:bottom w:val="single" w:sz="4" w:space="0" w:color="auto"/>
            </w:tcBorders>
            <w:shd w:val="clear" w:color="auto" w:fill="auto"/>
            <w:vAlign w:val="center"/>
          </w:tcPr>
          <w:p w14:paraId="3702B817" w14:textId="1114F76E" w:rsidR="009447A3" w:rsidRPr="00781112" w:rsidRDefault="002B7490" w:rsidP="003A4027">
            <w:pPr>
              <w:jc w:val="center"/>
              <w:rPr>
                <w:rFonts w:cs="Arial"/>
                <w:color w:val="000000" w:themeColor="text1"/>
                <w:szCs w:val="16"/>
              </w:rPr>
            </w:pPr>
            <w:r w:rsidRPr="00781112">
              <w:rPr>
                <w:rFonts w:cs="Arial"/>
                <w:color w:val="000000" w:themeColor="text1"/>
                <w:szCs w:val="16"/>
              </w:rPr>
              <w:t>97.41%</w:t>
            </w:r>
          </w:p>
        </w:tc>
        <w:tc>
          <w:tcPr>
            <w:tcW w:w="833" w:type="pct"/>
            <w:tcBorders>
              <w:bottom w:val="single" w:sz="4" w:space="0" w:color="auto"/>
            </w:tcBorders>
            <w:shd w:val="clear" w:color="auto" w:fill="auto"/>
            <w:vAlign w:val="center"/>
          </w:tcPr>
          <w:p w14:paraId="7E5D1EA5" w14:textId="75D6241E" w:rsidR="009447A3" w:rsidRPr="00781112" w:rsidRDefault="002B7490" w:rsidP="003A4027">
            <w:pPr>
              <w:jc w:val="center"/>
              <w:rPr>
                <w:rFonts w:cs="Arial"/>
                <w:color w:val="000000" w:themeColor="text1"/>
                <w:szCs w:val="16"/>
              </w:rPr>
            </w:pPr>
            <w:r w:rsidRPr="00781112">
              <w:rPr>
                <w:rFonts w:cs="Arial"/>
                <w:color w:val="000000" w:themeColor="text1"/>
                <w:szCs w:val="16"/>
              </w:rPr>
              <w:t>91.64%</w:t>
            </w:r>
          </w:p>
        </w:tc>
        <w:tc>
          <w:tcPr>
            <w:tcW w:w="834" w:type="pct"/>
            <w:tcBorders>
              <w:bottom w:val="single" w:sz="4" w:space="0" w:color="auto"/>
            </w:tcBorders>
            <w:shd w:val="clear" w:color="auto" w:fill="auto"/>
            <w:vAlign w:val="center"/>
          </w:tcPr>
          <w:p w14:paraId="556DAD68" w14:textId="7FC0436F" w:rsidR="009447A3" w:rsidRPr="00781112" w:rsidRDefault="002B7490" w:rsidP="003A4027">
            <w:pPr>
              <w:jc w:val="center"/>
              <w:rPr>
                <w:rFonts w:cs="Arial"/>
                <w:color w:val="000000" w:themeColor="text1"/>
                <w:szCs w:val="16"/>
              </w:rPr>
            </w:pPr>
            <w:r w:rsidRPr="00781112">
              <w:rPr>
                <w:rFonts w:cs="Arial"/>
                <w:color w:val="000000" w:themeColor="text1"/>
                <w:szCs w:val="16"/>
              </w:rPr>
              <w:t>95.49%</w:t>
            </w:r>
          </w:p>
        </w:tc>
      </w:tr>
    </w:tbl>
    <w:p w14:paraId="3BDF8559" w14:textId="77777777" w:rsidR="00D82883" w:rsidRPr="00781112" w:rsidRDefault="00D82883" w:rsidP="004369B2">
      <w:pPr>
        <w:rPr>
          <w:color w:val="000000" w:themeColor="text1"/>
        </w:rPr>
      </w:pPr>
    </w:p>
    <w:p w14:paraId="32D6DA70" w14:textId="38C36AA8" w:rsidR="007A3964" w:rsidRPr="00781112" w:rsidRDefault="007A3964" w:rsidP="004369B2">
      <w:pPr>
        <w:rPr>
          <w:color w:val="000000" w:themeColor="text1"/>
        </w:rPr>
      </w:pPr>
      <w:r w:rsidRPr="00781112">
        <w:rPr>
          <w:b/>
          <w:color w:val="000000" w:themeColor="text1"/>
        </w:rPr>
        <w:t>Targets</w:t>
      </w:r>
    </w:p>
    <w:tbl>
      <w:tblPr>
        <w:tblW w:w="4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2TARGETS"/>
      </w:tblPr>
      <w:tblGrid>
        <w:gridCol w:w="667"/>
        <w:gridCol w:w="2401"/>
        <w:gridCol w:w="2574"/>
        <w:gridCol w:w="2574"/>
        <w:gridCol w:w="2574"/>
      </w:tblGrid>
      <w:tr w:rsidR="00B67FCE" w:rsidRPr="00781112" w14:paraId="41D3AE7A" w14:textId="578794F0" w:rsidTr="00845B9B">
        <w:trPr>
          <w:trHeight w:val="328"/>
        </w:trPr>
        <w:tc>
          <w:tcPr>
            <w:tcW w:w="327" w:type="pct"/>
            <w:tcBorders>
              <w:bottom w:val="single" w:sz="4" w:space="0" w:color="auto"/>
            </w:tcBorders>
            <w:shd w:val="clear" w:color="auto" w:fill="auto"/>
          </w:tcPr>
          <w:p w14:paraId="7786D02D" w14:textId="77777777" w:rsidR="00B67FCE" w:rsidRPr="00781112" w:rsidRDefault="00B67FCE" w:rsidP="00AF574F">
            <w:pPr>
              <w:jc w:val="center"/>
              <w:rPr>
                <w:b/>
                <w:color w:val="000000" w:themeColor="text1"/>
              </w:rPr>
            </w:pPr>
            <w:r w:rsidRPr="00781112">
              <w:rPr>
                <w:b/>
                <w:color w:val="000000" w:themeColor="text1"/>
              </w:rPr>
              <w:t>FFY</w:t>
            </w:r>
          </w:p>
        </w:tc>
        <w:tc>
          <w:tcPr>
            <w:tcW w:w="1110" w:type="pct"/>
            <w:shd w:val="clear" w:color="auto" w:fill="auto"/>
          </w:tcPr>
          <w:p w14:paraId="09ED5838" w14:textId="77777777" w:rsidR="00B67FCE" w:rsidRPr="00781112" w:rsidRDefault="00B67FCE" w:rsidP="00AF574F">
            <w:pPr>
              <w:jc w:val="center"/>
              <w:rPr>
                <w:b/>
                <w:color w:val="000000" w:themeColor="text1"/>
              </w:rPr>
            </w:pPr>
            <w:r w:rsidRPr="00781112">
              <w:rPr>
                <w:b/>
                <w:color w:val="000000" w:themeColor="text1"/>
              </w:rPr>
              <w:t>2022</w:t>
            </w:r>
          </w:p>
        </w:tc>
        <w:tc>
          <w:tcPr>
            <w:tcW w:w="1188" w:type="pct"/>
          </w:tcPr>
          <w:p w14:paraId="0769903C" w14:textId="05A227DB" w:rsidR="00B67FCE" w:rsidRPr="00781112" w:rsidRDefault="00B67FCE" w:rsidP="00AF574F">
            <w:pPr>
              <w:jc w:val="center"/>
              <w:rPr>
                <w:b/>
                <w:color w:val="000000" w:themeColor="text1"/>
              </w:rPr>
            </w:pPr>
            <w:r w:rsidRPr="00781112">
              <w:rPr>
                <w:rFonts w:cs="Arial"/>
                <w:b/>
                <w:color w:val="000000" w:themeColor="text1"/>
                <w:szCs w:val="16"/>
              </w:rPr>
              <w:t>2023</w:t>
            </w:r>
          </w:p>
        </w:tc>
        <w:tc>
          <w:tcPr>
            <w:tcW w:w="1188" w:type="pct"/>
          </w:tcPr>
          <w:p w14:paraId="77CF077D" w14:textId="38DFC132" w:rsidR="00B67FCE" w:rsidRPr="00781112" w:rsidRDefault="00B67FCE" w:rsidP="00AF574F">
            <w:pPr>
              <w:jc w:val="center"/>
              <w:rPr>
                <w:b/>
                <w:color w:val="000000" w:themeColor="text1"/>
              </w:rPr>
            </w:pPr>
            <w:r w:rsidRPr="00781112">
              <w:rPr>
                <w:rFonts w:cs="Arial"/>
                <w:b/>
                <w:color w:val="000000" w:themeColor="text1"/>
                <w:szCs w:val="16"/>
              </w:rPr>
              <w:t>2024</w:t>
            </w:r>
          </w:p>
        </w:tc>
        <w:tc>
          <w:tcPr>
            <w:tcW w:w="1188" w:type="pct"/>
          </w:tcPr>
          <w:p w14:paraId="5C5F415E" w14:textId="7B035D53" w:rsidR="00B67FCE" w:rsidRPr="00781112" w:rsidRDefault="00B67FCE" w:rsidP="00AF574F">
            <w:pPr>
              <w:jc w:val="center"/>
              <w:rPr>
                <w:b/>
                <w:color w:val="000000" w:themeColor="text1"/>
              </w:rPr>
            </w:pPr>
            <w:r w:rsidRPr="00781112">
              <w:rPr>
                <w:rFonts w:cs="Arial"/>
                <w:b/>
                <w:color w:val="000000" w:themeColor="text1"/>
                <w:szCs w:val="16"/>
              </w:rPr>
              <w:t>2025</w:t>
            </w:r>
          </w:p>
        </w:tc>
      </w:tr>
      <w:tr w:rsidR="00B67FCE" w:rsidRPr="00781112" w14:paraId="2B267817" w14:textId="2A03C05D" w:rsidTr="00845B9B">
        <w:trPr>
          <w:trHeight w:val="335"/>
        </w:trPr>
        <w:tc>
          <w:tcPr>
            <w:tcW w:w="327" w:type="pct"/>
            <w:shd w:val="clear" w:color="auto" w:fill="auto"/>
            <w:vAlign w:val="center"/>
          </w:tcPr>
          <w:p w14:paraId="70D956A8" w14:textId="6CD3BD29" w:rsidR="00B67FCE" w:rsidRPr="00781112" w:rsidRDefault="00B67FCE" w:rsidP="00BA3DBE">
            <w:pPr>
              <w:jc w:val="center"/>
              <w:rPr>
                <w:rFonts w:cs="Arial"/>
                <w:color w:val="000000" w:themeColor="text1"/>
                <w:szCs w:val="16"/>
              </w:rPr>
            </w:pPr>
            <w:r w:rsidRPr="00781112">
              <w:rPr>
                <w:rFonts w:cs="Arial"/>
                <w:color w:val="000000" w:themeColor="text1"/>
                <w:szCs w:val="16"/>
              </w:rPr>
              <w:lastRenderedPageBreak/>
              <w:t>Target</w:t>
            </w:r>
          </w:p>
        </w:tc>
        <w:tc>
          <w:tcPr>
            <w:tcW w:w="1110" w:type="pct"/>
            <w:shd w:val="clear" w:color="auto" w:fill="auto"/>
            <w:vAlign w:val="center"/>
          </w:tcPr>
          <w:p w14:paraId="5CDE7127" w14:textId="59D1386F" w:rsidR="00B67FCE" w:rsidRPr="00781112" w:rsidRDefault="00B67FCE" w:rsidP="00AF574F">
            <w:pPr>
              <w:jc w:val="center"/>
              <w:rPr>
                <w:rFonts w:cs="Arial"/>
                <w:color w:val="000000" w:themeColor="text1"/>
                <w:szCs w:val="16"/>
              </w:rPr>
            </w:pPr>
            <w:r w:rsidRPr="00781112">
              <w:rPr>
                <w:rFonts w:cs="Arial"/>
                <w:color w:val="000000" w:themeColor="text1"/>
                <w:szCs w:val="16"/>
              </w:rPr>
              <w:t>100%</w:t>
            </w:r>
          </w:p>
        </w:tc>
        <w:tc>
          <w:tcPr>
            <w:tcW w:w="1188" w:type="pct"/>
          </w:tcPr>
          <w:p w14:paraId="6CF78C3F" w14:textId="1B45F3AE" w:rsidR="00B67FCE" w:rsidRPr="00781112" w:rsidRDefault="00B67FCE" w:rsidP="00AF574F">
            <w:pPr>
              <w:jc w:val="center"/>
              <w:rPr>
                <w:rFonts w:cs="Arial"/>
                <w:color w:val="000000" w:themeColor="text1"/>
                <w:szCs w:val="16"/>
              </w:rPr>
            </w:pPr>
            <w:r w:rsidRPr="00781112">
              <w:rPr>
                <w:color w:val="000000" w:themeColor="text1"/>
                <w:szCs w:val="16"/>
              </w:rPr>
              <w:t>100%</w:t>
            </w:r>
          </w:p>
        </w:tc>
        <w:tc>
          <w:tcPr>
            <w:tcW w:w="1188" w:type="pct"/>
          </w:tcPr>
          <w:p w14:paraId="6FCC2C45" w14:textId="5131688B" w:rsidR="00B67FCE" w:rsidRPr="00781112" w:rsidRDefault="00B67FCE" w:rsidP="00AF574F">
            <w:pPr>
              <w:jc w:val="center"/>
              <w:rPr>
                <w:rFonts w:cs="Arial"/>
                <w:color w:val="000000" w:themeColor="text1"/>
                <w:szCs w:val="16"/>
              </w:rPr>
            </w:pPr>
            <w:r w:rsidRPr="00781112">
              <w:rPr>
                <w:color w:val="000000" w:themeColor="text1"/>
                <w:szCs w:val="16"/>
              </w:rPr>
              <w:t>100%</w:t>
            </w:r>
          </w:p>
        </w:tc>
        <w:tc>
          <w:tcPr>
            <w:tcW w:w="1188" w:type="pct"/>
          </w:tcPr>
          <w:p w14:paraId="06CB35C0" w14:textId="66848221" w:rsidR="00B67FCE" w:rsidRPr="00781112" w:rsidRDefault="00B67FCE" w:rsidP="00AF574F">
            <w:pPr>
              <w:jc w:val="center"/>
              <w:rPr>
                <w:rFonts w:cs="Arial"/>
                <w:color w:val="000000" w:themeColor="text1"/>
                <w:szCs w:val="16"/>
              </w:rPr>
            </w:pPr>
            <w:r w:rsidRPr="00781112">
              <w:rPr>
                <w:color w:val="000000" w:themeColor="text1"/>
                <w:szCs w:val="16"/>
              </w:rPr>
              <w:t>100%</w:t>
            </w:r>
          </w:p>
        </w:tc>
      </w:tr>
    </w:tbl>
    <w:p w14:paraId="1AD7361B" w14:textId="77777777" w:rsidR="00D82883" w:rsidRPr="00781112" w:rsidRDefault="00D82883" w:rsidP="004369B2">
      <w:pPr>
        <w:rPr>
          <w:color w:val="000000" w:themeColor="text1"/>
        </w:rPr>
      </w:pPr>
    </w:p>
    <w:p w14:paraId="4C8DD49F" w14:textId="048474D0" w:rsidR="00634AD8" w:rsidRPr="00781112" w:rsidRDefault="0047313F" w:rsidP="004369B2">
      <w:pPr>
        <w:rPr>
          <w:color w:val="000000" w:themeColor="text1"/>
        </w:rPr>
      </w:pPr>
      <w:r>
        <w:rPr>
          <w:b/>
          <w:color w:val="000000" w:themeColor="text1"/>
        </w:rPr>
        <w:t>FFY 2022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2CFFYAPRDATA"/>
      </w:tblPr>
      <w:tblGrid>
        <w:gridCol w:w="9222"/>
        <w:gridCol w:w="1568"/>
      </w:tblGrid>
      <w:tr w:rsidR="005C29F8" w:rsidRPr="00781112" w14:paraId="5DD64811" w14:textId="77777777" w:rsidTr="009D3860">
        <w:trPr>
          <w:trHeight w:val="350"/>
        </w:trPr>
        <w:tc>
          <w:tcPr>
            <w:tcW w:w="4335" w:type="pct"/>
          </w:tcPr>
          <w:p w14:paraId="7822AF5A"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a. Number of children who have been served in Part C and referred to Part B for Part B eligibility determination. </w:t>
            </w:r>
          </w:p>
        </w:tc>
        <w:tc>
          <w:tcPr>
            <w:tcW w:w="665" w:type="pct"/>
            <w:shd w:val="clear" w:color="auto" w:fill="auto"/>
            <w:vAlign w:val="center"/>
          </w:tcPr>
          <w:p w14:paraId="65ADF67F" w14:textId="14592995" w:rsidR="00634AD8" w:rsidRPr="00781112" w:rsidRDefault="002B7490" w:rsidP="00A018D4">
            <w:pPr>
              <w:jc w:val="center"/>
              <w:rPr>
                <w:rFonts w:cs="Arial"/>
                <w:color w:val="000000" w:themeColor="text1"/>
                <w:szCs w:val="16"/>
              </w:rPr>
            </w:pPr>
            <w:r w:rsidRPr="00781112">
              <w:rPr>
                <w:rFonts w:cs="Arial"/>
                <w:color w:val="000000" w:themeColor="text1"/>
                <w:szCs w:val="16"/>
              </w:rPr>
              <w:t>1,109</w:t>
            </w:r>
          </w:p>
        </w:tc>
      </w:tr>
      <w:tr w:rsidR="005C29F8" w:rsidRPr="00781112" w14:paraId="6497A162" w14:textId="77777777" w:rsidTr="009D3860">
        <w:trPr>
          <w:trHeight w:val="357"/>
        </w:trPr>
        <w:tc>
          <w:tcPr>
            <w:tcW w:w="4335" w:type="pct"/>
          </w:tcPr>
          <w:p w14:paraId="00979D87"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b. Number of those referred determined to be NOT eligible and whose eligibility was determined prior to third birthday. </w:t>
            </w:r>
          </w:p>
        </w:tc>
        <w:tc>
          <w:tcPr>
            <w:tcW w:w="665" w:type="pct"/>
            <w:shd w:val="clear" w:color="auto" w:fill="auto"/>
            <w:vAlign w:val="center"/>
          </w:tcPr>
          <w:p w14:paraId="5383065B" w14:textId="0CFFF590" w:rsidR="00634AD8" w:rsidRPr="00781112" w:rsidRDefault="002B7490" w:rsidP="00A018D4">
            <w:pPr>
              <w:jc w:val="center"/>
              <w:rPr>
                <w:rFonts w:cs="Arial"/>
                <w:color w:val="000000" w:themeColor="text1"/>
                <w:szCs w:val="16"/>
              </w:rPr>
            </w:pPr>
            <w:r w:rsidRPr="00781112">
              <w:rPr>
                <w:rFonts w:cs="Arial"/>
                <w:color w:val="000000" w:themeColor="text1"/>
                <w:szCs w:val="16"/>
              </w:rPr>
              <w:t>18</w:t>
            </w:r>
          </w:p>
        </w:tc>
      </w:tr>
      <w:tr w:rsidR="005C29F8" w:rsidRPr="00781112" w14:paraId="3372C19D" w14:textId="77777777" w:rsidTr="009D3860">
        <w:trPr>
          <w:trHeight w:val="357"/>
        </w:trPr>
        <w:tc>
          <w:tcPr>
            <w:tcW w:w="4335" w:type="pct"/>
          </w:tcPr>
          <w:p w14:paraId="2817071E"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c. Number of those found eligible who have an IEP developed and implemented by their third birthdays. </w:t>
            </w:r>
          </w:p>
        </w:tc>
        <w:tc>
          <w:tcPr>
            <w:tcW w:w="665" w:type="pct"/>
            <w:shd w:val="clear" w:color="auto" w:fill="auto"/>
            <w:vAlign w:val="center"/>
          </w:tcPr>
          <w:p w14:paraId="1678CD90" w14:textId="068B0D57" w:rsidR="00634AD8" w:rsidRPr="00781112" w:rsidRDefault="002B7490" w:rsidP="00A018D4">
            <w:pPr>
              <w:jc w:val="center"/>
              <w:rPr>
                <w:rFonts w:cs="Arial"/>
                <w:color w:val="000000" w:themeColor="text1"/>
                <w:szCs w:val="16"/>
              </w:rPr>
            </w:pPr>
            <w:r w:rsidRPr="00781112">
              <w:rPr>
                <w:rFonts w:cs="Arial"/>
                <w:color w:val="000000" w:themeColor="text1"/>
                <w:szCs w:val="16"/>
              </w:rPr>
              <w:t>900</w:t>
            </w:r>
          </w:p>
        </w:tc>
      </w:tr>
      <w:tr w:rsidR="005C29F8" w:rsidRPr="00781112" w14:paraId="00CE41C8" w14:textId="77777777" w:rsidTr="009D3860">
        <w:trPr>
          <w:trHeight w:val="357"/>
        </w:trPr>
        <w:tc>
          <w:tcPr>
            <w:tcW w:w="4335" w:type="pct"/>
          </w:tcPr>
          <w:p w14:paraId="547A75A2"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d. Number for whom parent refusals to provide consent caused delays in evaluation or initial services or to whom exceptions under 34 CFR §300.301(d) applied. </w:t>
            </w:r>
          </w:p>
        </w:tc>
        <w:tc>
          <w:tcPr>
            <w:tcW w:w="665" w:type="pct"/>
            <w:shd w:val="clear" w:color="auto" w:fill="auto"/>
            <w:vAlign w:val="center"/>
          </w:tcPr>
          <w:p w14:paraId="78FF9A45" w14:textId="45CD6353" w:rsidR="00634AD8" w:rsidRPr="00781112" w:rsidRDefault="002B7490" w:rsidP="00A018D4">
            <w:pPr>
              <w:jc w:val="center"/>
              <w:rPr>
                <w:rFonts w:cs="Arial"/>
                <w:color w:val="000000" w:themeColor="text1"/>
                <w:szCs w:val="16"/>
              </w:rPr>
            </w:pPr>
            <w:r w:rsidRPr="00781112">
              <w:rPr>
                <w:rFonts w:cs="Arial"/>
                <w:color w:val="000000" w:themeColor="text1"/>
                <w:szCs w:val="16"/>
              </w:rPr>
              <w:t>2</w:t>
            </w:r>
          </w:p>
        </w:tc>
      </w:tr>
      <w:tr w:rsidR="005C29F8" w:rsidRPr="00781112" w14:paraId="47C8B30F" w14:textId="77777777" w:rsidTr="009D3860">
        <w:trPr>
          <w:trHeight w:val="357"/>
        </w:trPr>
        <w:tc>
          <w:tcPr>
            <w:tcW w:w="4335" w:type="pct"/>
          </w:tcPr>
          <w:p w14:paraId="03BE3AC0"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e. Number of children who were referred to Part C less than 90 days before their third birthdays. </w:t>
            </w:r>
          </w:p>
        </w:tc>
        <w:tc>
          <w:tcPr>
            <w:tcW w:w="665" w:type="pct"/>
            <w:shd w:val="clear" w:color="auto" w:fill="auto"/>
            <w:vAlign w:val="center"/>
          </w:tcPr>
          <w:p w14:paraId="33E087DB" w14:textId="01E57E33" w:rsidR="00634AD8" w:rsidRPr="00781112" w:rsidRDefault="002B7490" w:rsidP="00A018D4">
            <w:pPr>
              <w:jc w:val="center"/>
              <w:rPr>
                <w:rFonts w:cs="Arial"/>
                <w:color w:val="000000" w:themeColor="text1"/>
                <w:szCs w:val="16"/>
              </w:rPr>
            </w:pPr>
            <w:r w:rsidRPr="00781112">
              <w:rPr>
                <w:rFonts w:cs="Arial"/>
                <w:color w:val="000000" w:themeColor="text1"/>
                <w:szCs w:val="16"/>
              </w:rPr>
              <w:t>140</w:t>
            </w:r>
          </w:p>
        </w:tc>
      </w:tr>
      <w:tr w:rsidR="004E67B3" w:rsidRPr="00781112" w14:paraId="19297440" w14:textId="77777777" w:rsidTr="009D3860">
        <w:trPr>
          <w:trHeight w:val="357"/>
        </w:trPr>
        <w:tc>
          <w:tcPr>
            <w:tcW w:w="4335" w:type="pct"/>
          </w:tcPr>
          <w:p w14:paraId="592F3289" w14:textId="43CA733D" w:rsidR="004E67B3" w:rsidRPr="00781112" w:rsidRDefault="004E67B3" w:rsidP="003E65F5">
            <w:pPr>
              <w:rPr>
                <w:rFonts w:cs="Arial"/>
                <w:color w:val="000000" w:themeColor="text1"/>
                <w:szCs w:val="16"/>
              </w:rPr>
            </w:pPr>
            <w:r w:rsidRPr="00781112">
              <w:rPr>
                <w:rFonts w:cs="Arial"/>
                <w:color w:val="000000" w:themeColor="text1"/>
                <w:szCs w:val="16"/>
              </w:rPr>
              <w:t>f. Number of children whose parents chose to continue early intervention services beyond the child’s third birthday through a State’s policy under 34 CFR §303.211 or a similar State option.</w:t>
            </w:r>
          </w:p>
        </w:tc>
        <w:tc>
          <w:tcPr>
            <w:tcW w:w="665" w:type="pct"/>
            <w:shd w:val="clear" w:color="auto" w:fill="auto"/>
            <w:vAlign w:val="center"/>
          </w:tcPr>
          <w:p w14:paraId="02B29C79" w14:textId="62FEE650" w:rsidR="004E67B3"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798A2079" w14:textId="77777777" w:rsidR="00634AD8" w:rsidRPr="00781112" w:rsidRDefault="00634AD8" w:rsidP="00634AD8">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2CFFYAPRDATA1"/>
      </w:tblPr>
      <w:tblGrid>
        <w:gridCol w:w="1794"/>
        <w:gridCol w:w="1285"/>
        <w:gridCol w:w="1285"/>
        <w:gridCol w:w="1285"/>
        <w:gridCol w:w="1285"/>
        <w:gridCol w:w="1285"/>
        <w:gridCol w:w="1285"/>
        <w:gridCol w:w="1286"/>
      </w:tblGrid>
      <w:tr w:rsidR="00B1652C" w:rsidRPr="00781112" w14:paraId="666B6B4E" w14:textId="2C1DC9A0" w:rsidTr="0010170F">
        <w:trPr>
          <w:trHeight w:val="340"/>
          <w:tblHeader/>
        </w:trPr>
        <w:tc>
          <w:tcPr>
            <w:tcW w:w="831" w:type="pct"/>
            <w:shd w:val="clear" w:color="auto" w:fill="auto"/>
          </w:tcPr>
          <w:p w14:paraId="5A0321EA" w14:textId="34C57852" w:rsidR="00B1652C" w:rsidRPr="00781112" w:rsidRDefault="00B1652C" w:rsidP="00BA3DBE">
            <w:pPr>
              <w:jc w:val="center"/>
              <w:rPr>
                <w:rFonts w:cs="Arial"/>
                <w:b/>
                <w:bCs/>
                <w:color w:val="000000" w:themeColor="text1"/>
                <w:szCs w:val="16"/>
              </w:rPr>
            </w:pPr>
            <w:r w:rsidRPr="00781112">
              <w:rPr>
                <w:rFonts w:cs="Arial"/>
                <w:b/>
                <w:bCs/>
                <w:color w:val="000000" w:themeColor="text1"/>
                <w:szCs w:val="16"/>
              </w:rPr>
              <w:t>Measure</w:t>
            </w:r>
          </w:p>
        </w:tc>
        <w:tc>
          <w:tcPr>
            <w:tcW w:w="595" w:type="pct"/>
            <w:shd w:val="clear" w:color="auto" w:fill="auto"/>
          </w:tcPr>
          <w:p w14:paraId="45390059"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Numerator (c)</w:t>
            </w:r>
          </w:p>
        </w:tc>
        <w:tc>
          <w:tcPr>
            <w:tcW w:w="595" w:type="pct"/>
            <w:shd w:val="clear" w:color="auto" w:fill="auto"/>
          </w:tcPr>
          <w:p w14:paraId="46860D80" w14:textId="77777777" w:rsidR="00B1652C" w:rsidRPr="0075451F" w:rsidRDefault="00B1652C" w:rsidP="00B1652C">
            <w:pPr>
              <w:jc w:val="center"/>
              <w:rPr>
                <w:rFonts w:cs="Arial"/>
                <w:b/>
                <w:color w:val="000000" w:themeColor="text1"/>
                <w:szCs w:val="16"/>
                <w:lang w:val="es-ES"/>
              </w:rPr>
            </w:pPr>
            <w:proofErr w:type="spellStart"/>
            <w:r w:rsidRPr="0075451F">
              <w:rPr>
                <w:rFonts w:cs="Arial"/>
                <w:b/>
                <w:color w:val="000000" w:themeColor="text1"/>
                <w:szCs w:val="16"/>
                <w:lang w:val="es-ES"/>
              </w:rPr>
              <w:t>Denominator</w:t>
            </w:r>
            <w:proofErr w:type="spellEnd"/>
            <w:r w:rsidRPr="0075451F">
              <w:rPr>
                <w:rFonts w:cs="Arial"/>
                <w:b/>
                <w:color w:val="000000" w:themeColor="text1"/>
                <w:szCs w:val="16"/>
                <w:lang w:val="es-ES"/>
              </w:rPr>
              <w:t xml:space="preserve"> (a-b-d-e-f)</w:t>
            </w:r>
          </w:p>
        </w:tc>
        <w:tc>
          <w:tcPr>
            <w:tcW w:w="595" w:type="pct"/>
            <w:shd w:val="clear" w:color="auto" w:fill="auto"/>
            <w:vAlign w:val="bottom"/>
          </w:tcPr>
          <w:p w14:paraId="58F547FF" w14:textId="6881F181" w:rsidR="00B1652C" w:rsidRPr="006D0A52" w:rsidRDefault="00B1652C" w:rsidP="00B1652C">
            <w:pPr>
              <w:jc w:val="center"/>
              <w:rPr>
                <w:rFonts w:cs="Arial"/>
                <w:b/>
                <w:bCs/>
                <w:color w:val="000000" w:themeColor="text1"/>
                <w:szCs w:val="16"/>
              </w:rPr>
            </w:pPr>
            <w:r w:rsidRPr="006D0A52">
              <w:rPr>
                <w:b/>
                <w:bCs/>
              </w:rPr>
              <w:t>FFY 2021 Data</w:t>
            </w:r>
          </w:p>
        </w:tc>
        <w:tc>
          <w:tcPr>
            <w:tcW w:w="595" w:type="pct"/>
            <w:shd w:val="clear" w:color="auto" w:fill="auto"/>
            <w:vAlign w:val="bottom"/>
          </w:tcPr>
          <w:p w14:paraId="36BD2BCA" w14:textId="5C1AC691" w:rsidR="00B1652C" w:rsidRPr="006D0A52" w:rsidRDefault="00B1652C" w:rsidP="00B1652C">
            <w:pPr>
              <w:jc w:val="center"/>
              <w:rPr>
                <w:rFonts w:cs="Arial"/>
                <w:b/>
                <w:bCs/>
                <w:color w:val="000000" w:themeColor="text1"/>
                <w:szCs w:val="16"/>
              </w:rPr>
            </w:pPr>
            <w:r w:rsidRPr="006D0A52">
              <w:rPr>
                <w:b/>
                <w:bCs/>
              </w:rPr>
              <w:t>FFY 2022 Target</w:t>
            </w:r>
          </w:p>
        </w:tc>
        <w:tc>
          <w:tcPr>
            <w:tcW w:w="595" w:type="pct"/>
            <w:shd w:val="clear" w:color="auto" w:fill="auto"/>
            <w:vAlign w:val="bottom"/>
          </w:tcPr>
          <w:p w14:paraId="0030B6C4" w14:textId="0A408750" w:rsidR="00B1652C" w:rsidRPr="006D0A52" w:rsidRDefault="00B1652C" w:rsidP="00B1652C">
            <w:pPr>
              <w:jc w:val="center"/>
              <w:rPr>
                <w:rFonts w:cs="Arial"/>
                <w:b/>
                <w:bCs/>
                <w:color w:val="000000" w:themeColor="text1"/>
                <w:szCs w:val="16"/>
              </w:rPr>
            </w:pPr>
            <w:r w:rsidRPr="006D0A52">
              <w:rPr>
                <w:b/>
                <w:bCs/>
              </w:rPr>
              <w:t>FFY 2022 Data</w:t>
            </w:r>
          </w:p>
        </w:tc>
        <w:tc>
          <w:tcPr>
            <w:tcW w:w="595" w:type="pct"/>
            <w:shd w:val="clear" w:color="auto" w:fill="auto"/>
          </w:tcPr>
          <w:p w14:paraId="16905A6D" w14:textId="19A3632B" w:rsidR="00B1652C" w:rsidRPr="00781112" w:rsidRDefault="00B1652C" w:rsidP="00B1652C">
            <w:pPr>
              <w:jc w:val="center"/>
              <w:rPr>
                <w:rFonts w:cs="Arial"/>
                <w:b/>
                <w:color w:val="000000" w:themeColor="text1"/>
                <w:szCs w:val="16"/>
              </w:rPr>
            </w:pPr>
            <w:r w:rsidRPr="00781112">
              <w:rPr>
                <w:rFonts w:cs="Arial"/>
                <w:b/>
                <w:color w:val="000000" w:themeColor="text1"/>
                <w:szCs w:val="16"/>
              </w:rPr>
              <w:t>Status</w:t>
            </w:r>
          </w:p>
        </w:tc>
        <w:tc>
          <w:tcPr>
            <w:tcW w:w="596" w:type="pct"/>
            <w:shd w:val="clear" w:color="auto" w:fill="auto"/>
          </w:tcPr>
          <w:p w14:paraId="0DCCD9DE" w14:textId="3F28AD62" w:rsidR="00B1652C" w:rsidRPr="00781112" w:rsidRDefault="00B1652C" w:rsidP="00B1652C">
            <w:pPr>
              <w:jc w:val="center"/>
              <w:rPr>
                <w:rFonts w:cs="Arial"/>
                <w:b/>
                <w:color w:val="000000" w:themeColor="text1"/>
                <w:szCs w:val="16"/>
              </w:rPr>
            </w:pPr>
            <w:r w:rsidRPr="00781112">
              <w:rPr>
                <w:rFonts w:cs="Arial"/>
                <w:b/>
                <w:color w:val="000000" w:themeColor="text1"/>
                <w:szCs w:val="16"/>
              </w:rPr>
              <w:t>Slippage</w:t>
            </w:r>
          </w:p>
        </w:tc>
      </w:tr>
      <w:tr w:rsidR="005C29F8" w:rsidRPr="00781112" w14:paraId="1F7C0EED" w14:textId="06CECBDB" w:rsidTr="005F2FF9">
        <w:trPr>
          <w:trHeight w:val="347"/>
        </w:trPr>
        <w:tc>
          <w:tcPr>
            <w:tcW w:w="831" w:type="pct"/>
            <w:shd w:val="clear" w:color="auto" w:fill="auto"/>
          </w:tcPr>
          <w:p w14:paraId="42006EF2" w14:textId="30F01538" w:rsidR="009447A3" w:rsidRPr="00781112" w:rsidRDefault="00616BA4" w:rsidP="009447A3">
            <w:pPr>
              <w:rPr>
                <w:rFonts w:cs="Arial"/>
                <w:color w:val="000000" w:themeColor="text1"/>
                <w:szCs w:val="16"/>
              </w:rPr>
            </w:pPr>
            <w:r w:rsidRPr="00781112">
              <w:rPr>
                <w:rFonts w:cs="Arial"/>
                <w:color w:val="000000" w:themeColor="text1"/>
                <w:szCs w:val="16"/>
              </w:rPr>
              <w:t>Percent of children referred by Part C prior to age 3 who are found eligible for Part B, and who have an IEP developed and implemented by their third birthdays.</w:t>
            </w:r>
          </w:p>
        </w:tc>
        <w:tc>
          <w:tcPr>
            <w:tcW w:w="595" w:type="pct"/>
            <w:shd w:val="clear" w:color="auto" w:fill="auto"/>
            <w:vAlign w:val="center"/>
          </w:tcPr>
          <w:p w14:paraId="25AD0B10" w14:textId="530E8072" w:rsidR="009447A3" w:rsidRPr="00781112" w:rsidRDefault="00FA318E" w:rsidP="004369B2">
            <w:pPr>
              <w:jc w:val="center"/>
              <w:rPr>
                <w:rFonts w:cs="Arial"/>
                <w:color w:val="000000" w:themeColor="text1"/>
                <w:szCs w:val="16"/>
              </w:rPr>
            </w:pPr>
            <w:r w:rsidRPr="00781112">
              <w:rPr>
                <w:rFonts w:cs="Arial"/>
                <w:color w:val="000000" w:themeColor="text1"/>
                <w:szCs w:val="16"/>
              </w:rPr>
              <w:t>900</w:t>
            </w:r>
          </w:p>
        </w:tc>
        <w:tc>
          <w:tcPr>
            <w:tcW w:w="595" w:type="pct"/>
            <w:shd w:val="clear" w:color="auto" w:fill="auto"/>
            <w:vAlign w:val="center"/>
          </w:tcPr>
          <w:p w14:paraId="7A8E33C9" w14:textId="2CE029E7" w:rsidR="009447A3" w:rsidRPr="00781112" w:rsidRDefault="00FA318E" w:rsidP="004369B2">
            <w:pPr>
              <w:jc w:val="center"/>
              <w:rPr>
                <w:rFonts w:cs="Arial"/>
                <w:color w:val="000000" w:themeColor="text1"/>
                <w:szCs w:val="16"/>
              </w:rPr>
            </w:pPr>
            <w:r w:rsidRPr="00781112">
              <w:rPr>
                <w:rFonts w:cs="Arial"/>
                <w:color w:val="000000" w:themeColor="text1"/>
                <w:szCs w:val="16"/>
              </w:rPr>
              <w:t>949</w:t>
            </w:r>
          </w:p>
        </w:tc>
        <w:tc>
          <w:tcPr>
            <w:tcW w:w="595" w:type="pct"/>
            <w:shd w:val="clear" w:color="auto" w:fill="auto"/>
            <w:vAlign w:val="center"/>
          </w:tcPr>
          <w:p w14:paraId="7A618E17" w14:textId="730CF37E" w:rsidR="009447A3" w:rsidRPr="00781112" w:rsidRDefault="002B7490" w:rsidP="004369B2">
            <w:pPr>
              <w:jc w:val="center"/>
              <w:rPr>
                <w:rFonts w:cs="Arial"/>
                <w:color w:val="000000" w:themeColor="text1"/>
                <w:szCs w:val="16"/>
              </w:rPr>
            </w:pPr>
            <w:r w:rsidRPr="00781112">
              <w:rPr>
                <w:rFonts w:cs="Arial"/>
                <w:color w:val="000000" w:themeColor="text1"/>
                <w:szCs w:val="16"/>
              </w:rPr>
              <w:t>95.49%</w:t>
            </w:r>
          </w:p>
        </w:tc>
        <w:tc>
          <w:tcPr>
            <w:tcW w:w="595" w:type="pct"/>
            <w:shd w:val="clear" w:color="auto" w:fill="auto"/>
            <w:vAlign w:val="center"/>
          </w:tcPr>
          <w:p w14:paraId="173DD24A" w14:textId="02E11A38"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595" w:type="pct"/>
            <w:shd w:val="clear" w:color="auto" w:fill="auto"/>
            <w:vAlign w:val="center"/>
          </w:tcPr>
          <w:p w14:paraId="1BEC9517" w14:textId="612C62AC" w:rsidR="009447A3" w:rsidRPr="00781112" w:rsidRDefault="002B7490" w:rsidP="004369B2">
            <w:pPr>
              <w:jc w:val="center"/>
              <w:rPr>
                <w:rFonts w:cs="Arial"/>
                <w:color w:val="000000" w:themeColor="text1"/>
                <w:szCs w:val="16"/>
              </w:rPr>
            </w:pPr>
            <w:r w:rsidRPr="00781112">
              <w:rPr>
                <w:rFonts w:cs="Arial"/>
                <w:color w:val="000000" w:themeColor="text1"/>
                <w:szCs w:val="16"/>
              </w:rPr>
              <w:t>94.84%</w:t>
            </w:r>
          </w:p>
        </w:tc>
        <w:tc>
          <w:tcPr>
            <w:tcW w:w="595" w:type="pct"/>
            <w:shd w:val="clear" w:color="auto" w:fill="auto"/>
            <w:vAlign w:val="center"/>
          </w:tcPr>
          <w:p w14:paraId="35C0024C" w14:textId="6347E5FC" w:rsidR="009447A3" w:rsidRPr="00781112" w:rsidRDefault="002B7490" w:rsidP="004369B2">
            <w:pPr>
              <w:jc w:val="center"/>
              <w:rPr>
                <w:rFonts w:cs="Arial"/>
                <w:color w:val="000000" w:themeColor="text1"/>
                <w:szCs w:val="16"/>
              </w:rPr>
            </w:pPr>
            <w:r w:rsidRPr="00781112">
              <w:rPr>
                <w:rFonts w:cs="Arial"/>
                <w:color w:val="000000" w:themeColor="text1"/>
                <w:szCs w:val="16"/>
              </w:rPr>
              <w:t>Did not meet target</w:t>
            </w:r>
          </w:p>
        </w:tc>
        <w:tc>
          <w:tcPr>
            <w:tcW w:w="596" w:type="pct"/>
            <w:shd w:val="clear" w:color="auto" w:fill="auto"/>
            <w:vAlign w:val="center"/>
          </w:tcPr>
          <w:p w14:paraId="466F387F" w14:textId="652A9CC9" w:rsidR="009447A3" w:rsidRPr="00781112" w:rsidRDefault="002B7490" w:rsidP="004369B2">
            <w:pPr>
              <w:jc w:val="center"/>
              <w:rPr>
                <w:rFonts w:cs="Arial"/>
                <w:color w:val="000000" w:themeColor="text1"/>
                <w:szCs w:val="16"/>
              </w:rPr>
            </w:pPr>
            <w:r w:rsidRPr="00781112">
              <w:rPr>
                <w:rFonts w:cs="Arial"/>
                <w:color w:val="000000" w:themeColor="text1"/>
                <w:szCs w:val="16"/>
              </w:rPr>
              <w:t>No Slippage</w:t>
            </w:r>
          </w:p>
        </w:tc>
      </w:tr>
    </w:tbl>
    <w:p w14:paraId="0416C2F1" w14:textId="701A59F0" w:rsidR="00A5601C" w:rsidRPr="00781112" w:rsidRDefault="00A5601C" w:rsidP="007D435F">
      <w:pPr>
        <w:rPr>
          <w:rFonts w:cs="Arial"/>
          <w:b/>
          <w:color w:val="000000" w:themeColor="text1"/>
          <w:szCs w:val="16"/>
        </w:rPr>
      </w:pPr>
      <w:r w:rsidRPr="00781112">
        <w:rPr>
          <w:rFonts w:cs="Arial"/>
          <w:b/>
          <w:color w:val="000000" w:themeColor="text1"/>
          <w:szCs w:val="16"/>
        </w:rPr>
        <w:t>Number of children who served in Part C and referred to Part B for eligibility determination that are not included in b, c, d, e, or f</w:t>
      </w:r>
    </w:p>
    <w:p w14:paraId="621D77AD" w14:textId="2BC90681" w:rsidR="00A5601C" w:rsidRPr="00781112" w:rsidRDefault="00A5601C" w:rsidP="007D435F">
      <w:pPr>
        <w:rPr>
          <w:rFonts w:cs="Arial"/>
          <w:color w:val="000000" w:themeColor="text1"/>
          <w:szCs w:val="16"/>
        </w:rPr>
      </w:pPr>
      <w:r w:rsidRPr="00781112">
        <w:rPr>
          <w:rFonts w:cs="Arial"/>
          <w:color w:val="000000" w:themeColor="text1"/>
          <w:szCs w:val="16"/>
        </w:rPr>
        <w:t>49</w:t>
      </w:r>
    </w:p>
    <w:p w14:paraId="2DB77447" w14:textId="5C5B3699" w:rsidR="00E418E6" w:rsidRPr="00781112" w:rsidRDefault="00326C0B" w:rsidP="006A01BD">
      <w:pPr>
        <w:rPr>
          <w:b/>
          <w:color w:val="000000" w:themeColor="text1"/>
        </w:rPr>
      </w:pPr>
      <w:r w:rsidRPr="00781112">
        <w:rPr>
          <w:b/>
          <w:color w:val="000000" w:themeColor="text1"/>
        </w:rPr>
        <w:t>Account for children included in (a), but not included in b, c, d, e, or f. Indicate the range of days beyond the third birthday when eligibility was determined and the IEP developed, and the reasons for the delays.</w:t>
      </w:r>
    </w:p>
    <w:p w14:paraId="542A680D" w14:textId="2831B065" w:rsidR="00326C0B" w:rsidRPr="00781112" w:rsidRDefault="002B7490" w:rsidP="006A01BD">
      <w:pPr>
        <w:rPr>
          <w:bCs/>
          <w:color w:val="000000" w:themeColor="text1"/>
        </w:rPr>
      </w:pPr>
      <w:r w:rsidRPr="00781112">
        <w:rPr>
          <w:bCs/>
          <w:color w:val="000000" w:themeColor="text1"/>
        </w:rPr>
        <w:t>Of the 49 children included in (a) and no other category, the range of days beyond the third birthday is 1 to 195 days beyond the third birthday when eligibility was determined and the IEP developed. The reasons for the delays are as follows:</w:t>
        <w:br/>
        <w:t>- 4.76% Due to withdrawal of children from Part C by Parent prior to child’s third birthday. This creates delays for Part B to schedule evaluations.</w:t>
        <w:br/>
        <w:t>- 7.14% 3rd birthday on weekend, holiday or during other school closure. LEAs did not have plans in place to monitor dates and ensure IEPs were completed and implemented before the days off.</w:t>
        <w:br/>
        <w:t>- 21.43% Parents requested a delay in holding the IEP meeting which caused development and implementation delays.</w:t>
        <w:br/>
        <w:t>- 66.67% Evaluation scheduling issues and/or difficulty scheduling IEP with parent which caused evaluation delays.</w:t>
      </w:r>
    </w:p>
    <w:p w14:paraId="4BE9E8DB" w14:textId="127EF17F" w:rsidR="00A5601C" w:rsidRPr="00781112" w:rsidRDefault="00326C0B" w:rsidP="006A01BD">
      <w:pPr>
        <w:rPr>
          <w:b/>
          <w:color w:val="000000" w:themeColor="text1"/>
        </w:rPr>
      </w:pPr>
      <w:r w:rsidRPr="00781112">
        <w:rPr>
          <w:b/>
          <w:color w:val="000000" w:themeColor="text1"/>
        </w:rPr>
        <w:t>Attach PDF table (optional)</w:t>
      </w:r>
    </w:p>
    <w:p w14:paraId="79E6A8DD" w14:textId="2B03416C" w:rsidR="00326C0B" w:rsidRPr="00781112" w:rsidRDefault="002B7490" w:rsidP="006A01BD">
      <w:pPr>
        <w:rPr>
          <w:bCs/>
          <w:color w:val="000000" w:themeColor="text1"/>
        </w:rPr>
      </w:pPr>
      <w:bookmarkStart w:id="93" w:name="_Hlk20318414"/>
      <w:r w:rsidRPr="00781112">
        <w:rPr>
          <w:bCs/>
          <w:color w:val="000000" w:themeColor="text1"/>
        </w:rPr>
        <w:t/>
      </w:r>
      <w:bookmarkEnd w:id="93"/>
    </w:p>
    <w:p w14:paraId="5E057416" w14:textId="77777777" w:rsidR="00A5601C" w:rsidRPr="00781112" w:rsidRDefault="009447A3">
      <w:pPr>
        <w:rPr>
          <w:b/>
          <w:color w:val="000000" w:themeColor="text1"/>
        </w:rPr>
      </w:pPr>
      <w:r w:rsidRPr="00781112">
        <w:rPr>
          <w:b/>
          <w:color w:val="000000" w:themeColor="text1"/>
        </w:rPr>
        <w:t>What is the source of the data provided for this indicator?</w:t>
      </w:r>
    </w:p>
    <w:p w14:paraId="50B7435C" w14:textId="024484CA" w:rsidR="009447A3" w:rsidRPr="00781112" w:rsidRDefault="002B7490" w:rsidP="004369B2">
      <w:pPr>
        <w:rPr>
          <w:color w:val="000000" w:themeColor="text1"/>
        </w:rPr>
      </w:pPr>
      <w:r w:rsidRPr="00781112">
        <w:rPr>
          <w:color w:val="000000" w:themeColor="text1"/>
        </w:rPr>
        <w:t>State database that includes data for the entire reporting year</w:t>
      </w:r>
    </w:p>
    <w:p w14:paraId="4558F99F" w14:textId="77777777" w:rsidR="009447A3" w:rsidRPr="00781112" w:rsidRDefault="009447A3" w:rsidP="004369B2">
      <w:pPr>
        <w:rPr>
          <w:b/>
          <w:color w:val="000000" w:themeColor="text1"/>
        </w:rPr>
      </w:pPr>
      <w:r w:rsidRPr="00781112">
        <w:rPr>
          <w:b/>
          <w:color w:val="000000" w:themeColor="text1"/>
        </w:rPr>
        <w:t xml:space="preserve">Describe the method used to collect these data, and if data are from the State’s monitoring, describe the procedures used to collect these data. </w:t>
      </w:r>
    </w:p>
    <w:p w14:paraId="6C2B5D1A" w14:textId="61019073" w:rsidR="00326C0B" w:rsidRPr="00781112" w:rsidRDefault="002B7490" w:rsidP="008E31C4">
      <w:pPr>
        <w:rPr>
          <w:rFonts w:cs="Arial"/>
          <w:color w:val="000000" w:themeColor="text1"/>
          <w:szCs w:val="16"/>
        </w:rPr>
      </w:pPr>
      <w:r w:rsidRPr="00781112">
        <w:rPr>
          <w:rFonts w:cs="Arial"/>
          <w:color w:val="000000" w:themeColor="text1"/>
          <w:szCs w:val="16"/>
        </w:rPr>
        <w:t xml:space="preserve">The State collects the data for Indicator 12 through the State database, the Student Teacher Accountability Reporting System (STARS). Data is collected four times each school year as required by State statute. The reporting periods are named the 40 day, 80 day, 120 day and End of Year. At each reporting period, LEAs upload their data into the STARS system. The STARS system contains business rules which compares each child's third birthdate to the date(s) the IEP was developed and implemented. LEAs that do not have an IEP developed and implemented by a child's third birthday, must submit a non-compliance code with their data to indicate the reason(s) the timeline was missed. </w:t>
        <w:br/>
        <w:t/>
        <w:br/>
        <w:t xml:space="preserve">Once the LEAs have submitted their data, State staff review the LEA data. Two reviews of the data are conducted. The first review is a Data Quality Review to ensure the data is timely, valid and reliable. This review is completed by the Data Supervisor and Data Analyst. The second review is the General Supervision Review, where the data is reviewed by program staff to ensure LEAs are meeting the IDEA, part B requirements including compliance with indicator 12 timelines. Any issues are noted and LEAs are supported with identified issues. </w:t>
      </w:r>
    </w:p>
    <w:p w14:paraId="6353DD92" w14:textId="77777777" w:rsidR="00E46206" w:rsidRPr="00781112" w:rsidRDefault="00E46206" w:rsidP="00E46206">
      <w:pPr>
        <w:rPr>
          <w:rFonts w:cs="Arial"/>
          <w:b/>
          <w:color w:val="000000" w:themeColor="text1"/>
          <w:szCs w:val="16"/>
        </w:rPr>
      </w:pPr>
      <w:r w:rsidRPr="00781112">
        <w:rPr>
          <w:rFonts w:cs="Arial"/>
          <w:b/>
          <w:color w:val="000000" w:themeColor="text1"/>
          <w:szCs w:val="16"/>
        </w:rPr>
        <w:t>Provide additional information about this indicator (optional)</w:t>
      </w:r>
    </w:p>
    <w:p w14:paraId="7201221D" w14:textId="686A034C" w:rsidR="00326C0B" w:rsidRPr="00781112" w:rsidRDefault="002B7490" w:rsidP="007D435F">
      <w:pPr>
        <w:rPr>
          <w:rFonts w:cs="Arial"/>
          <w:color w:val="000000" w:themeColor="text1"/>
          <w:szCs w:val="16"/>
        </w:rPr>
      </w:pPr>
      <w:r w:rsidRPr="00781112">
        <w:rPr>
          <w:rFonts w:cs="Arial"/>
          <w:color w:val="000000" w:themeColor="text1"/>
          <w:szCs w:val="16"/>
        </w:rPr>
        <w:t>The State is grappling with a shortage of school staff needed to complete evaluations. This issue is impacting LEA ability to complete evaluations as limited staff are working to complete the evaluations within required timelines.</w:t>
      </w:r>
    </w:p>
    <w:p w14:paraId="4E94D02C" w14:textId="77777777" w:rsidR="009C5AE7" w:rsidRPr="00781112" w:rsidRDefault="009C5AE7" w:rsidP="004369B2">
      <w:pPr>
        <w:rPr>
          <w:color w:val="000000" w:themeColor="text1"/>
        </w:rPr>
      </w:pPr>
    </w:p>
    <w:p w14:paraId="7740DC21" w14:textId="6893CB59" w:rsidR="009A755E" w:rsidRPr="00781112" w:rsidRDefault="00450F98" w:rsidP="004369B2">
      <w:pPr>
        <w:rPr>
          <w:color w:val="000000" w:themeColor="text1"/>
        </w:rPr>
      </w:pPr>
      <w:r>
        <w:rPr>
          <w:b/>
          <w:color w:val="000000" w:themeColor="text1"/>
        </w:rPr>
        <w:t>Correction of Findings of Noncompliance Identified in FFY 2021</w:t>
      </w:r>
    </w:p>
    <w:tbl>
      <w:tblPr>
        <w:tblStyle w:val="TableGrid"/>
        <w:tblW w:w="5000" w:type="pct"/>
        <w:tblLook w:val="04A0" w:firstRow="1" w:lastRow="0" w:firstColumn="1" w:lastColumn="0" w:noHBand="0" w:noVBand="1"/>
        <w:tblCaption w:val="B12PFFYNCFINDINGS"/>
      </w:tblPr>
      <w:tblGrid>
        <w:gridCol w:w="2649"/>
        <w:gridCol w:w="2779"/>
        <w:gridCol w:w="2656"/>
        <w:gridCol w:w="2706"/>
      </w:tblGrid>
      <w:tr w:rsidR="005C29F8" w:rsidRPr="00781112" w14:paraId="716024C7" w14:textId="77777777" w:rsidTr="00455889">
        <w:trPr>
          <w:trHeight w:val="389"/>
          <w:tblHeader/>
        </w:trPr>
        <w:tc>
          <w:tcPr>
            <w:tcW w:w="1228" w:type="pct"/>
            <w:shd w:val="clear" w:color="auto" w:fill="auto"/>
            <w:vAlign w:val="bottom"/>
          </w:tcPr>
          <w:p w14:paraId="0E49E3D0"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43B565EC"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2113F3E4"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15802D8D"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5362EE0E" w14:textId="77777777" w:rsidTr="00455889">
        <w:tc>
          <w:tcPr>
            <w:tcW w:w="1228" w:type="pct"/>
            <w:shd w:val="clear" w:color="auto" w:fill="auto"/>
          </w:tcPr>
          <w:p w14:paraId="106FED18" w14:textId="3538FD80" w:rsidR="009A755E" w:rsidRPr="00781112" w:rsidRDefault="002B7490" w:rsidP="00A018D4">
            <w:pPr>
              <w:jc w:val="center"/>
              <w:rPr>
                <w:rFonts w:cs="Arial"/>
                <w:color w:val="000000" w:themeColor="text1"/>
                <w:szCs w:val="16"/>
              </w:rPr>
            </w:pPr>
            <w:r w:rsidRPr="00781112">
              <w:rPr>
                <w:rFonts w:cs="Arial"/>
                <w:color w:val="000000" w:themeColor="text1"/>
                <w:szCs w:val="16"/>
              </w:rPr>
              <w:t>16</w:t>
            </w:r>
          </w:p>
        </w:tc>
        <w:tc>
          <w:tcPr>
            <w:tcW w:w="1288" w:type="pct"/>
            <w:shd w:val="clear" w:color="auto" w:fill="auto"/>
          </w:tcPr>
          <w:p w14:paraId="30E75C81" w14:textId="5263D718" w:rsidR="009A755E" w:rsidRPr="00781112" w:rsidRDefault="002B7490" w:rsidP="00A018D4">
            <w:pPr>
              <w:jc w:val="center"/>
              <w:rPr>
                <w:rFonts w:cs="Arial"/>
                <w:color w:val="000000" w:themeColor="text1"/>
                <w:szCs w:val="16"/>
              </w:rPr>
            </w:pPr>
            <w:r w:rsidRPr="00781112">
              <w:rPr>
                <w:rFonts w:cs="Arial"/>
                <w:color w:val="000000" w:themeColor="text1"/>
                <w:szCs w:val="16"/>
              </w:rPr>
              <w:t>16</w:t>
            </w:r>
          </w:p>
        </w:tc>
        <w:tc>
          <w:tcPr>
            <w:tcW w:w="1231" w:type="pct"/>
            <w:shd w:val="clear" w:color="auto" w:fill="auto"/>
          </w:tcPr>
          <w:p w14:paraId="36D48FD7" w14:textId="2F6E80E6" w:rsidR="009A755E" w:rsidRPr="00781112" w:rsidRDefault="002B7490" w:rsidP="00A018D4">
            <w:pPr>
              <w:jc w:val="center"/>
              <w:rPr>
                <w:rFonts w:cs="Arial"/>
                <w:color w:val="000000" w:themeColor="text1"/>
                <w:szCs w:val="16"/>
              </w:rPr>
            </w:pPr>
            <w:r w:rsidRPr="00781112">
              <w:rPr>
                <w:rFonts w:cs="Arial"/>
                <w:color w:val="000000" w:themeColor="text1"/>
                <w:szCs w:val="16"/>
              </w:rPr>
              <w:t/>
            </w:r>
          </w:p>
        </w:tc>
        <w:tc>
          <w:tcPr>
            <w:tcW w:w="1254" w:type="pct"/>
            <w:shd w:val="clear" w:color="auto" w:fill="auto"/>
          </w:tcPr>
          <w:p w14:paraId="139EEFD1" w14:textId="6A5591D3"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155373B8" w14:textId="08ECF385" w:rsidR="009A755E" w:rsidRPr="00781112" w:rsidRDefault="00450F98" w:rsidP="004369B2">
      <w:pPr>
        <w:rPr>
          <w:color w:val="000000" w:themeColor="text1"/>
        </w:rPr>
      </w:pPr>
      <w:r>
        <w:rPr>
          <w:b/>
          <w:color w:val="000000" w:themeColor="text1"/>
        </w:rPr>
        <w:t>FFY 2021 Findings of Noncompliance Verified as Corrected</w:t>
      </w:r>
    </w:p>
    <w:p w14:paraId="3D8B0B26" w14:textId="565C69B4"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7669CC58" w14:textId="38E853B3" w:rsidR="00326C0B" w:rsidRPr="00781112" w:rsidRDefault="002B7490" w:rsidP="009A755E">
      <w:pPr>
        <w:rPr>
          <w:rFonts w:cs="Arial"/>
          <w:color w:val="000000" w:themeColor="text1"/>
          <w:szCs w:val="16"/>
        </w:rPr>
      </w:pPr>
      <w:r w:rsidRPr="00781112">
        <w:rPr>
          <w:rFonts w:cs="Arial"/>
          <w:color w:val="000000" w:themeColor="text1"/>
          <w:szCs w:val="16"/>
        </w:rPr>
        <w:t>In accordance with the OSEP State General Supervision Responsibilities Under Part B of the IDEA document (OSEP QA 23-01), the State verified that the noncompliant local education agencies are correctly implementing the regulatory requirements, within one-year, through a follow-up review process. The 16 LEAs demonstrated no further non-compliance within one-year and the State has determined these LEAs are correctly implementing the specific regulatory requirements based on the following review of updated data (achieved 100% compliance). The verification review consisted of a four-step process.</w:t>
        <w:br/>
        <w:t/>
        <w:br/>
        <w:t>First, each LEA completed a Root Cause Analysis (RCA). The RCA process requires LEAs to review their own policies, practices and procedures to ensure compliance and identify any issues within their policies, practices and procedures which may be causing the noncompliance to occur. Each of the LEAs submitted a completed RCA to the state which identified varying contributing factors for the noncompliance. The factors ranged from difficulties scheduling evaluations to parents requesting a delay in the process.</w:t>
        <w:br/>
        <w:t/>
        <w:br/>
        <w:t xml:space="preserve">Second, the State reviewed each of the RCAs submitted by the LEAs along with the policies, practices and procedures. A Corrective Action Plan (CAP) was developed for each of the LEAs to address the areas of noncompliance the LEA and state identified whether regulatory or non-regulatory, which contributed to the noncompliance. The CAP included action steps, timelines for completion of each action step and the documentation needed to verify that each LEA completed the required action step(s) for the identified issues. The LEAs submitted documentation evidencing all action steps were complete, the state reviewed the documentation submitted for each action step and verified that each item in the CAP was corrected for each LEA. </w:t>
        <w:br/>
        <w:t/>
        <w:br/>
        <w:t xml:space="preserve">Third, an independent Prong 2 review of updated data was completed through LEA file reviews and information, along with a review of subsequent data submitted by the LEAs to the State in the STARS data system. The state collected data on third birthdays for each student and compared that to Individualized Education Programs (IEPs) that were developed after the notification of non-compliance, for a random sampling of students. All documents and data reviewed demonstrated each LEA was 100% compliant by completing and implementing the IEPs for each student. The State; therefore, determined each LEA completed all actions necessary to ensure the regulatory requirements are being implemented correctly. </w:t>
        <w:br/>
        <w:t/>
        <w:br/>
        <w:t>Fourth, once the State was assured the LEA was correctly implementing regulatory requirements through steps one through three, the CAP was closed by the State. Each of the LEAs were verified and validated to be implementing the regulatory requirements within one year, from the identification of the noncompliance. Therefore, in accordance with the requirements of QA 23-01, the state verified that all 16 LEAs, that were the source of non-compliance are correctly implementing the regulatory requirements.</w:t>
      </w:r>
    </w:p>
    <w:p w14:paraId="1F3D7853" w14:textId="324FF78E"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14:paraId="0E95D025" w14:textId="78E1AA95" w:rsidR="00326C0B" w:rsidRPr="00781112" w:rsidRDefault="002B7490" w:rsidP="009A755E">
      <w:pPr>
        <w:rPr>
          <w:rFonts w:cs="Arial"/>
          <w:color w:val="000000" w:themeColor="text1"/>
          <w:szCs w:val="16"/>
        </w:rPr>
      </w:pPr>
      <w:r w:rsidRPr="00781112">
        <w:rPr>
          <w:rFonts w:cs="Arial"/>
          <w:color w:val="000000" w:themeColor="text1"/>
          <w:szCs w:val="16"/>
        </w:rPr>
        <w:t xml:space="preserve">The State verified that each individual case of non-compliance was corrected by the 16 LEAs found to have non-compliance through the following process. </w:t>
        <w:br/>
        <w:t/>
        <w:br/>
        <w:t>First, the State reviewed the indicator 12 Summary Report generated by the Student Teacher and Reporting System (STARS) system, the State's database, to obtain a list of students that did not have an IEP developed and implemented by their third birthdays. The State then verified that each student, in which the third birthday timeline was missed, had an IEP developed and implemented, through a review of the STARS data. If the IEP date and implementation date were not in the STARS system, the State contacted the LEA and requested IEPs to determine the status of the development and implementation of the IEPs. The State monitored the STARS system until each evaluation was completed and/or documentation was provided to confirm each student had an IEP developed and implemented. Each individual case of non-compliance was verified as corrected.</w:t>
        <w:br/>
        <w:t/>
        <w:br/>
        <w:t>Second, the State then verified with its special education dispute resolution team to ensure that no state complaint or due process CAPs existed for the 16 LEAs based on the third birthday requirement for development and implementation of an IEP.  After reviewing the data, the legal team found none of the 16 LEAs had an open or closed CAP for a specific student in which the LEA missed the timeline. Therefore, in accordance with the requirements of QA 23-01, the state verified that all 16 LEAs corrected each individual case of noncompliance.</w:t>
      </w:r>
    </w:p>
    <w:p w14:paraId="1A909BBB" w14:textId="77777777" w:rsidR="00455889" w:rsidRPr="00781112" w:rsidRDefault="00455889" w:rsidP="004369B2">
      <w:pPr>
        <w:rPr>
          <w:color w:val="000000" w:themeColor="text1"/>
        </w:rPr>
      </w:pPr>
    </w:p>
    <w:p w14:paraId="1C75EC2F" w14:textId="0E37D015" w:rsidR="009A755E" w:rsidRPr="00781112" w:rsidRDefault="00450F98" w:rsidP="004369B2">
      <w:pPr>
        <w:rPr>
          <w:color w:val="000000" w:themeColor="text1"/>
        </w:rPr>
      </w:pPr>
      <w:r>
        <w:rPr>
          <w:b/>
          <w:color w:val="000000" w:themeColor="text1"/>
        </w:rPr>
        <w:t>Correction of Findings of Noncompliance Identified Prior to FFY 2021</w:t>
      </w:r>
    </w:p>
    <w:tbl>
      <w:tblPr>
        <w:tblStyle w:val="TableGrid"/>
        <w:tblW w:w="5000" w:type="pct"/>
        <w:tblLook w:val="04A0" w:firstRow="1" w:lastRow="0" w:firstColumn="1" w:lastColumn="0" w:noHBand="0" w:noVBand="1"/>
        <w:tblCaption w:val="B12PPFFYNCFINDINGS"/>
      </w:tblPr>
      <w:tblGrid>
        <w:gridCol w:w="2192"/>
        <w:gridCol w:w="2935"/>
        <w:gridCol w:w="2924"/>
        <w:gridCol w:w="2739"/>
      </w:tblGrid>
      <w:tr w:rsidR="005C29F8" w:rsidRPr="00781112" w14:paraId="4192A257" w14:textId="77777777" w:rsidTr="00AB0D6A">
        <w:trPr>
          <w:tblHeader/>
        </w:trPr>
        <w:tc>
          <w:tcPr>
            <w:tcW w:w="1016" w:type="pct"/>
            <w:shd w:val="clear" w:color="auto" w:fill="auto"/>
            <w:vAlign w:val="bottom"/>
          </w:tcPr>
          <w:p w14:paraId="72F29034" w14:textId="1B3341B8"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360" w:type="pct"/>
            <w:shd w:val="clear" w:color="auto" w:fill="auto"/>
            <w:vAlign w:val="bottom"/>
          </w:tcPr>
          <w:p w14:paraId="5E92FF85" w14:textId="0E367339"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2021 APR</w:t>
            </w:r>
          </w:p>
        </w:tc>
        <w:tc>
          <w:tcPr>
            <w:tcW w:w="1355" w:type="pct"/>
            <w:shd w:val="clear" w:color="auto" w:fill="auto"/>
            <w:vAlign w:val="bottom"/>
          </w:tcPr>
          <w:p w14:paraId="4861690F"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69" w:type="pct"/>
            <w:shd w:val="clear" w:color="auto" w:fill="auto"/>
            <w:vAlign w:val="bottom"/>
          </w:tcPr>
          <w:p w14:paraId="5C0832D3"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204865EB" w14:textId="77777777" w:rsidTr="00AB0D6A">
        <w:tc>
          <w:tcPr>
            <w:tcW w:w="1016" w:type="pct"/>
            <w:shd w:val="clear" w:color="auto" w:fill="auto"/>
          </w:tcPr>
          <w:p w14:paraId="316ACDB5" w14:textId="541F250F" w:rsidR="009A755E" w:rsidRPr="00781112" w:rsidRDefault="002B7490" w:rsidP="00A018D4">
            <w:pPr>
              <w:jc w:val="center"/>
              <w:rPr>
                <w:rFonts w:cs="Arial"/>
                <w:color w:val="000000" w:themeColor="text1"/>
                <w:szCs w:val="16"/>
              </w:rPr>
            </w:pPr>
            <w:r w:rsidRPr="00781112">
              <w:rPr>
                <w:rFonts w:cs="Arial"/>
                <w:color w:val="000000" w:themeColor="text1"/>
                <w:szCs w:val="16"/>
              </w:rPr>
              <w:t>FFY 2020</w:t>
            </w:r>
          </w:p>
        </w:tc>
        <w:tc>
          <w:tcPr>
            <w:tcW w:w="1360" w:type="pct"/>
            <w:shd w:val="clear" w:color="auto" w:fill="auto"/>
          </w:tcPr>
          <w:p w14:paraId="69625405" w14:textId="789965CC" w:rsidR="009A755E" w:rsidRPr="00781112" w:rsidRDefault="002B7490">
            <w:pPr>
              <w:jc w:val="center"/>
              <w:rPr>
                <w:rFonts w:cs="Arial"/>
                <w:noProof/>
                <w:color w:val="000000" w:themeColor="text1"/>
                <w:szCs w:val="16"/>
              </w:rPr>
            </w:pPr>
            <w:r w:rsidRPr="00781112">
              <w:rPr>
                <w:rFonts w:cs="Arial"/>
                <w:color w:val="000000" w:themeColor="text1"/>
                <w:szCs w:val="16"/>
              </w:rPr>
              <w:t>1</w:t>
            </w:r>
          </w:p>
        </w:tc>
        <w:tc>
          <w:tcPr>
            <w:tcW w:w="1355" w:type="pct"/>
            <w:shd w:val="clear" w:color="auto" w:fill="auto"/>
          </w:tcPr>
          <w:p w14:paraId="7C3E37A7" w14:textId="61202FB3" w:rsidR="009A755E" w:rsidRPr="00781112" w:rsidRDefault="002B7490">
            <w:pPr>
              <w:jc w:val="center"/>
              <w:rPr>
                <w:rFonts w:cs="Arial"/>
                <w:noProof/>
                <w:color w:val="000000" w:themeColor="text1"/>
                <w:szCs w:val="16"/>
              </w:rPr>
            </w:pPr>
            <w:r w:rsidRPr="00781112">
              <w:rPr>
                <w:rFonts w:cs="Arial"/>
                <w:color w:val="000000" w:themeColor="text1"/>
                <w:szCs w:val="16"/>
              </w:rPr>
              <w:t>1</w:t>
            </w:r>
          </w:p>
        </w:tc>
        <w:tc>
          <w:tcPr>
            <w:tcW w:w="1269" w:type="pct"/>
            <w:shd w:val="clear" w:color="auto" w:fill="auto"/>
          </w:tcPr>
          <w:p w14:paraId="79E9FAD3" w14:textId="3428603A" w:rsidR="009A755E" w:rsidRPr="00781112" w:rsidRDefault="002B7490">
            <w:pPr>
              <w:jc w:val="center"/>
              <w:rPr>
                <w:rFonts w:cs="Arial"/>
                <w:noProof/>
                <w:color w:val="000000" w:themeColor="text1"/>
                <w:szCs w:val="16"/>
              </w:rPr>
            </w:pPr>
            <w:r w:rsidRPr="00781112">
              <w:rPr>
                <w:rFonts w:cs="Arial"/>
                <w:color w:val="000000" w:themeColor="text1"/>
                <w:szCs w:val="16"/>
              </w:rPr>
              <w:t>0</w:t>
            </w:r>
          </w:p>
        </w:tc>
      </w:tr>
      <w:tr w:rsidR="005C29F8" w:rsidRPr="00781112" w14:paraId="7F75F2C7" w14:textId="77777777" w:rsidTr="00AB0D6A">
        <w:tc>
          <w:tcPr>
            <w:tcW w:w="1016" w:type="pct"/>
            <w:shd w:val="clear" w:color="auto" w:fill="auto"/>
          </w:tcPr>
          <w:p w14:paraId="147AA631" w14:textId="76843337" w:rsidR="009A755E" w:rsidRPr="00781112" w:rsidRDefault="00A5601C" w:rsidP="00A018D4">
            <w:pPr>
              <w:jc w:val="center"/>
              <w:rPr>
                <w:rFonts w:cs="Arial"/>
                <w:color w:val="000000" w:themeColor="text1"/>
                <w:szCs w:val="16"/>
              </w:rPr>
            </w:pPr>
            <w:r w:rsidRPr="00781112">
              <w:rPr>
                <w:rFonts w:cs="Arial"/>
                <w:color w:val="000000" w:themeColor="text1"/>
                <w:szCs w:val="16"/>
              </w:rPr>
              <w:t/>
            </w:r>
          </w:p>
        </w:tc>
        <w:tc>
          <w:tcPr>
            <w:tcW w:w="1360" w:type="pct"/>
            <w:shd w:val="clear" w:color="auto" w:fill="auto"/>
          </w:tcPr>
          <w:p w14:paraId="404653A8" w14:textId="163A8B38"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355" w:type="pct"/>
            <w:shd w:val="clear" w:color="auto" w:fill="auto"/>
          </w:tcPr>
          <w:p w14:paraId="6504342A" w14:textId="13575C8A"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269" w:type="pct"/>
            <w:shd w:val="clear" w:color="auto" w:fill="auto"/>
          </w:tcPr>
          <w:p w14:paraId="6D520AD1" w14:textId="4947031C" w:rsidR="009A755E" w:rsidRPr="00781112" w:rsidRDefault="002B7490">
            <w:pPr>
              <w:jc w:val="center"/>
              <w:rPr>
                <w:rFonts w:cs="Arial"/>
                <w:noProof/>
                <w:color w:val="000000" w:themeColor="text1"/>
                <w:szCs w:val="16"/>
              </w:rPr>
            </w:pPr>
            <w:r w:rsidRPr="00781112">
              <w:rPr>
                <w:rFonts w:cs="Arial"/>
                <w:color w:val="000000" w:themeColor="text1"/>
                <w:szCs w:val="16"/>
              </w:rPr>
              <w:t/>
            </w:r>
          </w:p>
        </w:tc>
      </w:tr>
      <w:tr w:rsidR="005C29F8" w:rsidRPr="00781112" w14:paraId="2D4810B4" w14:textId="77777777" w:rsidTr="00AB0D6A">
        <w:tc>
          <w:tcPr>
            <w:tcW w:w="1016" w:type="pct"/>
            <w:shd w:val="clear" w:color="auto" w:fill="auto"/>
          </w:tcPr>
          <w:p w14:paraId="6AEFAA10" w14:textId="16E2E3E6" w:rsidR="009A755E" w:rsidRPr="00781112" w:rsidRDefault="00A5601C" w:rsidP="00A018D4">
            <w:pPr>
              <w:jc w:val="center"/>
              <w:rPr>
                <w:rFonts w:cs="Arial"/>
                <w:color w:val="000000" w:themeColor="text1"/>
                <w:szCs w:val="16"/>
              </w:rPr>
            </w:pPr>
            <w:r w:rsidRPr="00781112">
              <w:rPr>
                <w:rFonts w:cs="Arial"/>
                <w:color w:val="000000" w:themeColor="text1"/>
                <w:szCs w:val="16"/>
              </w:rPr>
              <w:t/>
            </w:r>
          </w:p>
        </w:tc>
        <w:tc>
          <w:tcPr>
            <w:tcW w:w="1360" w:type="pct"/>
            <w:shd w:val="clear" w:color="auto" w:fill="auto"/>
          </w:tcPr>
          <w:p w14:paraId="075C05B4" w14:textId="1672B0AC"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355" w:type="pct"/>
            <w:shd w:val="clear" w:color="auto" w:fill="auto"/>
          </w:tcPr>
          <w:p w14:paraId="70536E6E" w14:textId="5BE8198D"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269" w:type="pct"/>
            <w:shd w:val="clear" w:color="auto" w:fill="auto"/>
          </w:tcPr>
          <w:p w14:paraId="4BC059F6" w14:textId="5DCA531E" w:rsidR="009A755E" w:rsidRPr="00781112" w:rsidRDefault="002B7490">
            <w:pPr>
              <w:jc w:val="center"/>
              <w:rPr>
                <w:rFonts w:cs="Arial"/>
                <w:noProof/>
                <w:color w:val="000000" w:themeColor="text1"/>
                <w:szCs w:val="16"/>
              </w:rPr>
            </w:pPr>
            <w:r w:rsidRPr="00781112">
              <w:rPr>
                <w:rFonts w:cs="Arial"/>
                <w:color w:val="000000" w:themeColor="text1"/>
                <w:szCs w:val="16"/>
              </w:rPr>
              <w:t/>
            </w:r>
          </w:p>
        </w:tc>
      </w:tr>
      <w:tr w:rsidR="00427654" w:rsidRPr="00781112" w14:paraId="396E5878" w14:textId="77777777" w:rsidTr="00AB0D6A">
        <w:tc>
          <w:tcPr>
            <w:tcW w:w="1016" w:type="pct"/>
            <w:shd w:val="clear" w:color="auto" w:fill="auto"/>
          </w:tcPr>
          <w:p w14:paraId="2526939E" w14:textId="4B0F7EA1" w:rsidR="00427654" w:rsidRPr="00781112" w:rsidRDefault="00427654" w:rsidP="00427654">
            <w:pPr>
              <w:jc w:val="center"/>
              <w:rPr>
                <w:rFonts w:cs="Arial"/>
                <w:color w:val="000000" w:themeColor="text1"/>
                <w:szCs w:val="16"/>
              </w:rPr>
            </w:pPr>
            <w:r w:rsidRPr="00781112">
              <w:rPr>
                <w:rFonts w:cs="Arial"/>
                <w:color w:val="000000" w:themeColor="text1"/>
                <w:szCs w:val="16"/>
              </w:rPr>
              <w:t/>
            </w:r>
          </w:p>
        </w:tc>
        <w:tc>
          <w:tcPr>
            <w:tcW w:w="1360" w:type="pct"/>
            <w:shd w:val="clear" w:color="auto" w:fill="auto"/>
          </w:tcPr>
          <w:p w14:paraId="53F9CFD1" w14:textId="649082E1" w:rsidR="00427654" w:rsidRPr="00781112" w:rsidRDefault="00427654" w:rsidP="00427654">
            <w:pPr>
              <w:jc w:val="center"/>
              <w:rPr>
                <w:rFonts w:cs="Arial"/>
                <w:color w:val="000000" w:themeColor="text1"/>
                <w:szCs w:val="16"/>
              </w:rPr>
            </w:pPr>
            <w:r w:rsidRPr="00781112">
              <w:rPr>
                <w:rFonts w:cs="Arial"/>
                <w:color w:val="000000" w:themeColor="text1"/>
                <w:szCs w:val="16"/>
              </w:rPr>
              <w:t/>
            </w:r>
          </w:p>
        </w:tc>
        <w:tc>
          <w:tcPr>
            <w:tcW w:w="1355" w:type="pct"/>
            <w:shd w:val="clear" w:color="auto" w:fill="auto"/>
          </w:tcPr>
          <w:p w14:paraId="31A66057" w14:textId="56F35F0C" w:rsidR="00427654" w:rsidRPr="00781112" w:rsidRDefault="00427654" w:rsidP="00427654">
            <w:pPr>
              <w:jc w:val="center"/>
              <w:rPr>
                <w:rFonts w:cs="Arial"/>
                <w:color w:val="000000" w:themeColor="text1"/>
                <w:szCs w:val="16"/>
              </w:rPr>
            </w:pPr>
            <w:r w:rsidRPr="00781112">
              <w:rPr>
                <w:rFonts w:cs="Arial"/>
                <w:color w:val="000000" w:themeColor="text1"/>
                <w:szCs w:val="16"/>
              </w:rPr>
              <w:t/>
            </w:r>
          </w:p>
        </w:tc>
        <w:tc>
          <w:tcPr>
            <w:tcW w:w="1269" w:type="pct"/>
            <w:shd w:val="clear" w:color="auto" w:fill="auto"/>
          </w:tcPr>
          <w:p w14:paraId="56CAB428" w14:textId="2EB1A710" w:rsidR="00427654" w:rsidRPr="00781112" w:rsidRDefault="00427654" w:rsidP="00427654">
            <w:pPr>
              <w:jc w:val="center"/>
              <w:rPr>
                <w:rFonts w:cs="Arial"/>
                <w:color w:val="000000" w:themeColor="text1"/>
                <w:szCs w:val="16"/>
              </w:rPr>
            </w:pPr>
            <w:r w:rsidRPr="00781112">
              <w:rPr>
                <w:rFonts w:cs="Arial"/>
                <w:color w:val="000000" w:themeColor="text1"/>
                <w:szCs w:val="16"/>
              </w:rPr>
              <w:t/>
            </w:r>
          </w:p>
        </w:tc>
      </w:tr>
      <w:tr w:rsidR="00427654" w:rsidRPr="00781112" w14:paraId="0E34CBDE" w14:textId="77777777" w:rsidTr="00AB0D6A">
        <w:tc>
          <w:tcPr>
            <w:tcW w:w="1016" w:type="pct"/>
            <w:shd w:val="clear" w:color="auto" w:fill="auto"/>
          </w:tcPr>
          <w:p w14:paraId="4797FB89" w14:textId="78458E90" w:rsidR="00427654" w:rsidRPr="00781112" w:rsidRDefault="00427654" w:rsidP="00427654">
            <w:pPr>
              <w:jc w:val="center"/>
              <w:rPr>
                <w:rFonts w:cs="Arial"/>
                <w:color w:val="000000" w:themeColor="text1"/>
                <w:szCs w:val="16"/>
              </w:rPr>
            </w:pPr>
            <w:r w:rsidRPr="00781112">
              <w:rPr>
                <w:rFonts w:cs="Arial"/>
                <w:color w:val="000000" w:themeColor="text1"/>
                <w:szCs w:val="16"/>
              </w:rPr>
              <w:t/>
            </w:r>
          </w:p>
        </w:tc>
        <w:tc>
          <w:tcPr>
            <w:tcW w:w="1360" w:type="pct"/>
            <w:shd w:val="clear" w:color="auto" w:fill="auto"/>
          </w:tcPr>
          <w:p w14:paraId="2C99A152" w14:textId="2B976E01" w:rsidR="00427654" w:rsidRPr="00781112" w:rsidRDefault="00427654" w:rsidP="00427654">
            <w:pPr>
              <w:jc w:val="center"/>
              <w:rPr>
                <w:rFonts w:cs="Arial"/>
                <w:color w:val="000000" w:themeColor="text1"/>
                <w:szCs w:val="16"/>
              </w:rPr>
            </w:pPr>
            <w:r w:rsidRPr="00781112">
              <w:rPr>
                <w:rFonts w:cs="Arial"/>
                <w:color w:val="000000" w:themeColor="text1"/>
                <w:szCs w:val="16"/>
              </w:rPr>
              <w:t/>
            </w:r>
          </w:p>
        </w:tc>
        <w:tc>
          <w:tcPr>
            <w:tcW w:w="1355" w:type="pct"/>
            <w:shd w:val="clear" w:color="auto" w:fill="auto"/>
          </w:tcPr>
          <w:p w14:paraId="1CCE8582" w14:textId="782DE568" w:rsidR="00427654" w:rsidRPr="00781112" w:rsidRDefault="00427654" w:rsidP="00427654">
            <w:pPr>
              <w:jc w:val="center"/>
              <w:rPr>
                <w:rFonts w:cs="Arial"/>
                <w:color w:val="000000" w:themeColor="text1"/>
                <w:szCs w:val="16"/>
              </w:rPr>
            </w:pPr>
            <w:r w:rsidRPr="00781112">
              <w:rPr>
                <w:rFonts w:cs="Arial"/>
                <w:color w:val="000000" w:themeColor="text1"/>
                <w:szCs w:val="16"/>
              </w:rPr>
              <w:t/>
            </w:r>
          </w:p>
        </w:tc>
        <w:tc>
          <w:tcPr>
            <w:tcW w:w="1269" w:type="pct"/>
            <w:shd w:val="clear" w:color="auto" w:fill="auto"/>
          </w:tcPr>
          <w:p w14:paraId="39E480FA" w14:textId="06CE7186" w:rsidR="00427654" w:rsidRPr="00781112" w:rsidRDefault="00427654" w:rsidP="00427654">
            <w:pPr>
              <w:jc w:val="center"/>
              <w:rPr>
                <w:rFonts w:cs="Arial"/>
                <w:color w:val="000000" w:themeColor="text1"/>
                <w:szCs w:val="16"/>
              </w:rPr>
            </w:pPr>
            <w:r w:rsidRPr="00781112">
              <w:rPr>
                <w:rFonts w:cs="Arial"/>
                <w:color w:val="000000" w:themeColor="text1"/>
                <w:szCs w:val="16"/>
              </w:rPr>
              <w:t/>
            </w:r>
          </w:p>
        </w:tc>
      </w:tr>
    </w:tbl>
    <w:p w14:paraId="4143DCC4" w14:textId="38B3123A" w:rsidR="009A221D" w:rsidRPr="00781112" w:rsidRDefault="009A221D" w:rsidP="004369B2">
      <w:pPr>
        <w:rPr>
          <w:rFonts w:cs="Arial"/>
          <w:b/>
          <w:bCs/>
          <w:color w:val="000000" w:themeColor="text1"/>
          <w:szCs w:val="16"/>
        </w:rPr>
      </w:pPr>
      <w:r w:rsidRPr="00781112">
        <w:rPr>
          <w:rFonts w:cs="Arial"/>
          <w:b/>
          <w:bCs/>
          <w:color w:val="000000" w:themeColor="text1"/>
          <w:szCs w:val="16"/>
        </w:rPr>
        <w:t>FFY 2020</w:t>
      </w:r>
    </w:p>
    <w:p w14:paraId="40B5972B" w14:textId="35E39518" w:rsidR="009A755E" w:rsidRPr="00781112" w:rsidRDefault="009A755E" w:rsidP="004369B2">
      <w:pPr>
        <w:rPr>
          <w:color w:val="000000" w:themeColor="text1"/>
        </w:rPr>
      </w:pPr>
      <w:r w:rsidRPr="00781112">
        <w:rPr>
          <w:b/>
          <w:color w:val="000000" w:themeColor="text1"/>
        </w:rPr>
        <w:t>Findings of Noncompliance Verified as Corrected</w:t>
      </w:r>
    </w:p>
    <w:p w14:paraId="117514EE" w14:textId="5B6D492E"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701FFA1B" w14:textId="76DB8279" w:rsidR="00326C0B" w:rsidRPr="00781112" w:rsidRDefault="002B7490" w:rsidP="009A755E">
      <w:pPr>
        <w:rPr>
          <w:rFonts w:cs="Arial"/>
          <w:color w:val="000000" w:themeColor="text1"/>
          <w:szCs w:val="16"/>
        </w:rPr>
      </w:pPr>
      <w:r w:rsidRPr="00781112">
        <w:rPr>
          <w:rFonts w:cs="Arial"/>
          <w:color w:val="000000" w:themeColor="text1"/>
          <w:szCs w:val="16"/>
        </w:rPr>
        <w:t>In accordance with the OSEP Memo 09-02 and he OSEP State General Supervision Responsibilities Under Parts B of the IDEA document (OSEP QA 23-01), the State verified that the source of noncompliance is correctly implementing the regulatory requirements, through a follow-up review process. The 1 LEA demonstrated no further non-compliance within one-year and the State has determined these LEAs are correctly implementing the specific regulatory requirements based on the following review of updated data (achieved 100% compliance). The verification review consisted of a three-step process.</w:t>
        <w:br/>
        <w:t/>
        <w:br/>
        <w:t>First, the LEA completed a Root Cause Analysis (RCA). The RCA process requires LEAs to review their own policies, practices and procedures to ensure compliance and identify any issues within their policies, practices and procedures which may be causing the non-compliance to occur. The LEA submitted a completed RCA to the state which identified varying contributing factors for the non-compliance.</w:t>
        <w:br/>
        <w:t/>
        <w:br/>
        <w:t>Second, the State reviewed the RCA submitted by the LEA along with the policies, practices and procedures. A Corrective Action Plan (CAP) was developed for each of the LEAs to address the areas the LEA and state identified, whether regulatory or non-regulatory, that are contributing to the non-compliance. The CAP included action steps, timelines for completion of each action step and the documentation required to verify the LEA completed the required action step(s) for the identified issues. The LEA was required to submit documentation evidencing all action steps were completed, the state reviewed the documentation submitted for each action step and verified each item as corrected. Once all CAP action were completed and the State was assured the LEA was correctly implementing regulatory requirements, the CAP was closed by the State. The State implemented a new process which added rigor to the process and includes a final review of all information and determination for CAP closure by the Deputy Director of Special Education.</w:t>
        <w:br/>
        <w:t/>
        <w:br/>
        <w:t>Third, subsequent data submitted by the LEA after the notification of non-compliance into the State’s database, STARS, was reviewed by the State. At the time the data was reviewed, the LEAs had a score of 100% for Indicator 12. In addition, the State instituted a new process to include an independent review of LEA files and information. The State collected Individualized Education Programs (IEPs) for review from a random sampling of students. The IEP review demonstrated the LEA had IEPs developed and implemented by each student's third birthday. Once the STARS data and documents were verified, the state determined each LEA met the above conditions for each of the three steps necessary to ensure the regulatory requirements are being implemented correctly, and thereby the LEA is correctly implementing the regulatory requirements.</w:t>
      </w:r>
    </w:p>
    <w:p w14:paraId="6B03DC75" w14:textId="276B3655"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14:paraId="27BA6C56" w14:textId="41FA16F5" w:rsidR="00326C0B" w:rsidRPr="00781112" w:rsidRDefault="002B7490" w:rsidP="009A755E">
      <w:pPr>
        <w:rPr>
          <w:rFonts w:cs="Arial"/>
          <w:color w:val="000000" w:themeColor="text1"/>
          <w:szCs w:val="16"/>
        </w:rPr>
      </w:pPr>
      <w:r w:rsidRPr="00781112">
        <w:rPr>
          <w:rFonts w:cs="Arial"/>
          <w:color w:val="000000" w:themeColor="text1"/>
          <w:szCs w:val="16"/>
        </w:rPr>
        <w:t xml:space="preserve">The State verified that each individual case of non-compliance was corrected by the 1 LEA found to have non-compliance through the following process. </w:t>
        <w:br/>
        <w:t/>
        <w:br/>
        <w:t>First, the State reviewed the indicator 12 Summary Report generated by the Student Teacher and Reporting System (STARS) system, the State's database, to obtain a list of students that did not have an IEP developed and implemented by thee student's third birthday. The State then verified that each student, in which the timeline was missed, had an IEP developed and implemented, through a review of the STARS data. If the evaluation data was not in the STARS system, the State contacted the LEA and requested the IEP to determine the completion and implementation. The State monitored the STARS system until each IEP was completed and/or documentation was provided to confirm each student an evaluation, unless the LEA left the LEAs educational jurisdiction. Each individual case of non-compliance was verified as corrected.</w:t>
        <w:br/>
        <w:t/>
        <w:br/>
        <w:t>Second, the State then verified with its special education dispute resolution team to ensure that no state complaint or due process CAP existed for the  LEA based on the third birthday timeline requirement for completion and implementation of the IEP. After reviewing the data, the legal team found the LEA had no open or closed CAP for a specific student in which the LEA missed the timeline. Therefore, in accordance with the requirements of OSEP 09-02 and QA 23-01, the State verified that the LEA corrected each individual case of noncompliance.</w:t>
      </w:r>
    </w:p>
    <w:p w14:paraId="201CFF85" w14:textId="77777777" w:rsidR="00427654" w:rsidRPr="00781112" w:rsidRDefault="00427654" w:rsidP="00455889">
      <w:pPr>
        <w:rPr>
          <w:rFonts w:cs="Arial"/>
          <w:color w:val="000000" w:themeColor="text1"/>
          <w:szCs w:val="16"/>
        </w:rPr>
      </w:pPr>
    </w:p>
    <w:p w14:paraId="2F3E7ED0" w14:textId="1BDCCC61" w:rsidR="004E2151" w:rsidRPr="00781112" w:rsidRDefault="00056350" w:rsidP="00123D76">
      <w:pPr>
        <w:pStyle w:val="Heading2"/>
      </w:pPr>
      <w:r w:rsidRPr="00781112">
        <w:t>12</w:t>
      </w:r>
      <w:r w:rsidR="004838A4" w:rsidRPr="00781112">
        <w:t xml:space="preserve"> </w:t>
      </w:r>
      <w:r w:rsidRPr="00781112">
        <w:t xml:space="preserve">- </w:t>
      </w:r>
      <w:r w:rsidR="004E2151" w:rsidRPr="00781112">
        <w:t>Prior FFY Required Actions</w:t>
      </w:r>
    </w:p>
    <w:p w14:paraId="3D03A210" w14:textId="19033EA5" w:rsidR="009F69E7" w:rsidRPr="00781112" w:rsidRDefault="002B7490" w:rsidP="004E2151">
      <w:pPr>
        <w:rPr>
          <w:rFonts w:cs="Arial"/>
          <w:color w:val="000000" w:themeColor="text1"/>
          <w:szCs w:val="16"/>
        </w:rPr>
      </w:pPr>
      <w:r w:rsidRPr="00781112">
        <w:rPr>
          <w:rFonts w:cs="Arial"/>
          <w:color w:val="000000" w:themeColor="text1"/>
          <w:szCs w:val="16"/>
        </w:rPr>
        <w:t xml:space="preserve">Because the State reported less than 100% compliance for FFY 2021, the State must report on the status of correction of noncompliance identified in FFY 2021 for this indicator. In addition, the State must demonstrate, in the FFY 2022 SPP/APR, that the remaining one uncorrected finding of noncompliance identified in FFY 2020 was corrected.  </w:t>
        <w:br/>
        <w:t xml:space="preserve">When reporting on the correction of noncompliance, the State must report, in the FFY 2022 SPP/APR, that it has verified that each LEA with findings of noncompliance identified in FFY 2021 and each LEA with remaining noncompliance identified in FFY 2020: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In the FFY 2022 SPP/APR, the State must describe the specific actions that were taken to verify the correction.    </w:t>
        <w:br/>
        <w:t>If the State did not identify any findings of noncompliance in FFY 2021, although its FFY 2021 data reflect less than 100% compliance, provide an explanation of why the State did not identify any findings of noncompliance in FFY 2021.</w:t>
      </w:r>
    </w:p>
    <w:p w14:paraId="3F84A4E0" w14:textId="5FCA3A29" w:rsidR="004E2151" w:rsidRPr="00781112" w:rsidRDefault="007639D7" w:rsidP="004369B2">
      <w:pPr>
        <w:rPr>
          <w:b/>
          <w:color w:val="000000" w:themeColor="text1"/>
        </w:rPr>
      </w:pPr>
      <w:r>
        <w:rPr>
          <w:b/>
          <w:color w:val="000000" w:themeColor="text1"/>
        </w:rPr>
        <w:t>Response to actions required in FFY 2021 SPP/APR</w:t>
      </w:r>
    </w:p>
    <w:p w14:paraId="5EB5FDCA" w14:textId="5CB823AF" w:rsidR="004E2151" w:rsidRPr="00781112" w:rsidRDefault="002B7490" w:rsidP="004E2151">
      <w:pPr>
        <w:rPr>
          <w:rFonts w:cs="Arial"/>
          <w:color w:val="000000" w:themeColor="text1"/>
          <w:szCs w:val="16"/>
        </w:rPr>
      </w:pPr>
      <w:r w:rsidRPr="00781112">
        <w:rPr>
          <w:rFonts w:cs="Arial"/>
          <w:color w:val="000000" w:themeColor="text1"/>
          <w:szCs w:val="16"/>
        </w:rPr>
        <w:t>The State has verified that each LEA with noncompliance identified in FFY 2021 for this indicator is:  (1)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The State has also describe the specific actions that were taken to verify the correction.</w:t>
        <w:br/>
        <w:t/>
        <w:br/>
        <w:t>The State has also demonstrated, in this FFY 2022 SPP/APR, that the remaining one uncorrected finding of noncompliance identified in FFY 2020 was corrected.</w:t>
      </w:r>
    </w:p>
    <w:p w14:paraId="29993C29" w14:textId="00995379" w:rsidR="007F5071" w:rsidRPr="00781112" w:rsidRDefault="00056350" w:rsidP="00123D76">
      <w:pPr>
        <w:pStyle w:val="Heading2"/>
      </w:pPr>
      <w:r w:rsidRPr="00781112">
        <w:t>12 - OSEP Response</w:t>
      </w:r>
    </w:p>
    <w:p w14:paraId="25E9178D" w14:textId="14A4C34F" w:rsidR="00326C0B" w:rsidRPr="00781112" w:rsidRDefault="002B7490" w:rsidP="00212954">
      <w:pPr>
        <w:rPr>
          <w:rFonts w:cs="Arial"/>
          <w:color w:val="000000" w:themeColor="text1"/>
          <w:szCs w:val="16"/>
        </w:rPr>
      </w:pPr>
      <w:r w:rsidRPr="00781112">
        <w:rPr>
          <w:rFonts w:cs="Arial"/>
          <w:color w:val="000000" w:themeColor="text1"/>
          <w:szCs w:val="16"/>
        </w:rPr>
        <w:t/>
      </w:r>
    </w:p>
    <w:p w14:paraId="06759F0A" w14:textId="1523FF35" w:rsidR="007F5071" w:rsidRPr="00781112" w:rsidRDefault="00056350" w:rsidP="00123D76">
      <w:pPr>
        <w:pStyle w:val="Heading2"/>
      </w:pPr>
      <w:r w:rsidRPr="00781112">
        <w:t>12 - Required Actions</w:t>
      </w:r>
    </w:p>
    <w:p w14:paraId="57889B20" w14:textId="73162143" w:rsidR="00326C0B" w:rsidRPr="00781112" w:rsidRDefault="002B7490" w:rsidP="00212954">
      <w:pPr>
        <w:rPr>
          <w:rFonts w:cs="Arial"/>
          <w:color w:val="000000" w:themeColor="text1"/>
          <w:szCs w:val="16"/>
        </w:rPr>
      </w:pPr>
      <w:r w:rsidRPr="00781112">
        <w:rPr>
          <w:rFonts w:cs="Arial"/>
          <w:color w:val="000000" w:themeColor="text1"/>
          <w:szCs w:val="16"/>
        </w:rPr>
        <w:t>Because the State reported less than 100% compliance for FFY 2022, the State must report on the status of correction of noncompliance identified in FFY 2022 for this indicator. When reporting on the correction of noncompliance, the State must report, in the FFY 2023 SPP/APR, that it has verified that each LEA with noncompliance identified in FFY 2022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QA 23-01.  In the FFY 2023 SPP/APR, the State must describe the specific actions that were taken to verify the correction. If the State did not identify any findings of noncompliance in FFY 2022, although its FFY 2022 data reflect less than 100% compliance, provide an explanation of why the State did not identify any findings of noncompliance in FFY 2022.</w:t>
      </w:r>
    </w:p>
    <w:p w14:paraId="09BE7DCF"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117517B2" w14:textId="1ECF1753" w:rsidR="00D03701" w:rsidRPr="00781112" w:rsidRDefault="00D03701" w:rsidP="000444E2">
      <w:pPr>
        <w:pStyle w:val="Heading1"/>
        <w:rPr>
          <w:color w:val="000000" w:themeColor="text1"/>
          <w:sz w:val="22"/>
        </w:rPr>
      </w:pPr>
      <w:r w:rsidRPr="00781112">
        <w:rPr>
          <w:color w:val="000000" w:themeColor="text1"/>
          <w:sz w:val="22"/>
        </w:rPr>
        <w:lastRenderedPageBreak/>
        <w:t>Indicator 13: Secondary Transition</w:t>
      </w:r>
      <w:bookmarkEnd w:id="90"/>
      <w:bookmarkEnd w:id="91"/>
      <w:bookmarkEnd w:id="92"/>
    </w:p>
    <w:p w14:paraId="20F3CA53" w14:textId="77777777" w:rsidR="00D04044" w:rsidRPr="00781112" w:rsidRDefault="00D04044" w:rsidP="00A018D4">
      <w:pPr>
        <w:rPr>
          <w:color w:val="000000" w:themeColor="text1"/>
          <w:szCs w:val="20"/>
        </w:rPr>
      </w:pPr>
      <w:bookmarkStart w:id="94" w:name="_Toc384383363"/>
      <w:bookmarkStart w:id="95" w:name="_Toc392159331"/>
      <w:r w:rsidRPr="00781112">
        <w:rPr>
          <w:b/>
          <w:color w:val="000000" w:themeColor="text1"/>
          <w:sz w:val="20"/>
          <w:szCs w:val="20"/>
        </w:rPr>
        <w:t>Instructions and Measurement</w:t>
      </w:r>
    </w:p>
    <w:p w14:paraId="541AD2D1" w14:textId="15B7D425" w:rsidR="001F3A65" w:rsidRPr="00781112" w:rsidRDefault="001F3A65" w:rsidP="009447A3">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Effective Transition</w:t>
      </w:r>
    </w:p>
    <w:p w14:paraId="2098A995" w14:textId="07865850" w:rsidR="0096257C" w:rsidRPr="00781112" w:rsidRDefault="001F3A65" w:rsidP="009447A3">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youth with IEPs aged 16 and above with an IEP that includes appropriate measurable postsecondary goals that are annually updated and based upon an age appropriate transition assessment, transition services, including courses of study, that will reasonably enable the student to meet those postsecondary goals, and annual IEP goals related to the student’s transition </w:t>
      </w:r>
      <w:proofErr w:type="spellStart"/>
      <w:r w:rsidRPr="00781112">
        <w:rPr>
          <w:rFonts w:cs="Arial"/>
          <w:color w:val="000000" w:themeColor="text1"/>
          <w:szCs w:val="16"/>
        </w:rPr>
        <w:t>services</w:t>
      </w:r>
      <w:proofErr w:type="spellEnd"/>
      <w:r w:rsidRPr="00781112">
        <w:rPr>
          <w:rFonts w:cs="Arial"/>
          <w:color w:val="000000" w:themeColor="text1"/>
          <w:szCs w:val="16"/>
        </w:rPr>
        <w:t xml:space="preserve"> needs. There also must be evidence that the student was invited to the IEP Team meeting where transition services are to be discussed and evidence that, if appropriate, a representative of any participating agency </w:t>
      </w:r>
      <w:r w:rsidR="00C973D4" w:rsidRPr="00781112">
        <w:rPr>
          <w:rFonts w:cs="Arial"/>
          <w:szCs w:val="16"/>
        </w:rPr>
        <w:t xml:space="preserve">that is likely to be responsible for providing or paying for transition services, including, if appropriate, pre-employment transition services, </w:t>
      </w:r>
      <w:r w:rsidRPr="00781112">
        <w:rPr>
          <w:rFonts w:cs="Arial"/>
          <w:color w:val="000000" w:themeColor="text1"/>
          <w:szCs w:val="16"/>
        </w:rPr>
        <w:t>was invited to the IEP Team meeting with the prior consent of the parent or student who has reached the age of majority.</w:t>
      </w:r>
    </w:p>
    <w:p w14:paraId="24167CE3" w14:textId="32AC8C8C" w:rsidR="001F3A65" w:rsidRPr="00781112" w:rsidRDefault="001F3A65" w:rsidP="009447A3">
      <w:pPr>
        <w:rPr>
          <w:rFonts w:cs="Arial"/>
          <w:color w:val="000000" w:themeColor="text1"/>
          <w:szCs w:val="16"/>
        </w:rPr>
      </w:pPr>
      <w:r w:rsidRPr="00781112">
        <w:rPr>
          <w:rFonts w:cs="Arial"/>
          <w:color w:val="000000" w:themeColor="text1"/>
          <w:szCs w:val="16"/>
        </w:rPr>
        <w:t xml:space="preserve"> (20 U.S.C. 1416(a)(3)(B))</w:t>
      </w:r>
    </w:p>
    <w:p w14:paraId="1BD1BDBD" w14:textId="77777777" w:rsidR="0096257C" w:rsidRPr="00781112" w:rsidRDefault="0096257C" w:rsidP="004369B2">
      <w:pPr>
        <w:rPr>
          <w:color w:val="000000" w:themeColor="text1"/>
        </w:rPr>
      </w:pPr>
      <w:r w:rsidRPr="00781112">
        <w:rPr>
          <w:b/>
          <w:color w:val="000000" w:themeColor="text1"/>
        </w:rPr>
        <w:t>Data Source</w:t>
      </w:r>
    </w:p>
    <w:p w14:paraId="5868BA99" w14:textId="77777777" w:rsidR="0096257C" w:rsidRPr="00781112" w:rsidRDefault="0096257C" w:rsidP="00286BDF">
      <w:pPr>
        <w:rPr>
          <w:rFonts w:cs="Arial"/>
          <w:color w:val="000000" w:themeColor="text1"/>
          <w:szCs w:val="16"/>
        </w:rPr>
      </w:pPr>
      <w:r w:rsidRPr="00781112">
        <w:rPr>
          <w:rFonts w:cs="Arial"/>
          <w:color w:val="000000" w:themeColor="text1"/>
          <w:szCs w:val="16"/>
          <w:shd w:val="clear" w:color="auto" w:fill="FFFFFF"/>
        </w:rPr>
        <w:t>Data to be taken from State monitoring or State data system.</w:t>
      </w:r>
    </w:p>
    <w:p w14:paraId="44CB6F9A" w14:textId="71312CEA" w:rsidR="0096257C" w:rsidRPr="00781112" w:rsidRDefault="0096257C" w:rsidP="004369B2">
      <w:pPr>
        <w:rPr>
          <w:color w:val="000000" w:themeColor="text1"/>
        </w:rPr>
      </w:pPr>
      <w:r w:rsidRPr="00781112">
        <w:rPr>
          <w:b/>
          <w:color w:val="000000" w:themeColor="text1"/>
        </w:rPr>
        <w:t>Measurement</w:t>
      </w:r>
    </w:p>
    <w:p w14:paraId="780214FF" w14:textId="6A8C4134" w:rsidR="00B67038" w:rsidRPr="00781112" w:rsidRDefault="00B67038" w:rsidP="00286BDF">
      <w:pPr>
        <w:rPr>
          <w:rFonts w:cs="Arial"/>
          <w:color w:val="000000" w:themeColor="text1"/>
          <w:szCs w:val="16"/>
        </w:rPr>
      </w:pPr>
      <w:r w:rsidRPr="00781112">
        <w:rPr>
          <w:rFonts w:cs="Arial"/>
          <w:color w:val="000000" w:themeColor="text1"/>
          <w:szCs w:val="16"/>
        </w:rPr>
        <w:t xml:space="preserve">Percent = [(# of youth with IEPs aged 16 and above with an IEP that includes appropriate measurable postsecondary goals that are annually updated and based upon an age appropriate transition assessment, transition services, including courses of study, that will reasonably enable the student to meet those postsecondary goals, and annual IEP goals related to the student’s transition </w:t>
      </w:r>
      <w:proofErr w:type="spellStart"/>
      <w:r w:rsidRPr="00781112">
        <w:rPr>
          <w:rFonts w:cs="Arial"/>
          <w:color w:val="000000" w:themeColor="text1"/>
          <w:szCs w:val="16"/>
        </w:rPr>
        <w:t>services</w:t>
      </w:r>
      <w:proofErr w:type="spellEnd"/>
      <w:r w:rsidRPr="00781112">
        <w:rPr>
          <w:rFonts w:cs="Arial"/>
          <w:color w:val="000000" w:themeColor="text1"/>
          <w:szCs w:val="16"/>
        </w:rPr>
        <w:t xml:space="preserve"> needs. There also must be evidence that the student was invited to the IEP Team meeting where transition services are to be discussed and evidence that, if appropriate, a representative of any participating agency </w:t>
      </w:r>
      <w:r w:rsidR="006D650D" w:rsidRPr="00781112">
        <w:rPr>
          <w:rFonts w:cs="Arial"/>
          <w:szCs w:val="16"/>
        </w:rPr>
        <w:t xml:space="preserve">that is likely to be responsible for providing or paying for transition services, including, if appropriate, pre-employment transition services, </w:t>
      </w:r>
      <w:r w:rsidRPr="00781112">
        <w:rPr>
          <w:rFonts w:cs="Arial"/>
          <w:color w:val="000000" w:themeColor="text1"/>
          <w:szCs w:val="16"/>
        </w:rPr>
        <w:t>was invited to the IEP Team meeting with the prior consent of the parent or student who has reached the age of majority) divided by the (# of youth with an IEP age 16 and above)] times 100.</w:t>
      </w:r>
    </w:p>
    <w:p w14:paraId="0695051F" w14:textId="0AB8CE10" w:rsidR="00B67038" w:rsidRPr="00781112" w:rsidRDefault="00B67038" w:rsidP="00286BDF">
      <w:pPr>
        <w:rPr>
          <w:rFonts w:cs="Arial"/>
          <w:color w:val="000000" w:themeColor="text1"/>
          <w:szCs w:val="16"/>
        </w:rPr>
      </w:pPr>
      <w:r w:rsidRPr="00781112">
        <w:rPr>
          <w:rFonts w:cs="Arial"/>
          <w:color w:val="000000" w:themeColor="text1"/>
          <w:szCs w:val="16"/>
        </w:rPr>
        <w:t>If a State’s policies and procedures provide that public agencies must meet these requirements at an age younger than 16, the State may, but is not required to, choose to include youth beginning at that younger age in its data for this indicator. If a State chooses to do this, it must state this clearly in its SPP/APR and ensure that its baseline data are based on youth beginning at that younger age.</w:t>
      </w:r>
    </w:p>
    <w:p w14:paraId="6D498B21" w14:textId="77777777" w:rsidR="0096257C" w:rsidRPr="00781112" w:rsidRDefault="0096257C" w:rsidP="004369B2">
      <w:pPr>
        <w:rPr>
          <w:color w:val="000000" w:themeColor="text1"/>
        </w:rPr>
      </w:pPr>
      <w:r w:rsidRPr="00781112">
        <w:rPr>
          <w:b/>
          <w:color w:val="000000" w:themeColor="text1"/>
        </w:rPr>
        <w:t>Instructions</w:t>
      </w:r>
    </w:p>
    <w:p w14:paraId="7B194027" w14:textId="77777777" w:rsidR="00B67038" w:rsidRPr="00781112" w:rsidRDefault="00B67038" w:rsidP="00286BDF">
      <w:pPr>
        <w:rPr>
          <w:rFonts w:cs="Arial"/>
          <w:i/>
          <w:iCs/>
          <w:color w:val="000000" w:themeColor="text1"/>
          <w:szCs w:val="16"/>
        </w:rPr>
      </w:pPr>
      <w:r w:rsidRPr="00781112">
        <w:rPr>
          <w:rFonts w:cs="Arial"/>
          <w:i/>
          <w:iCs/>
          <w:color w:val="000000" w:themeColor="text1"/>
          <w:szCs w:val="16"/>
        </w:rPr>
        <w:t>If data are from State monitoring, describe the method used to select LEAs for monitoring. If data are from a State database, include data for the entire reporting year.</w:t>
      </w:r>
    </w:p>
    <w:p w14:paraId="12BF2230" w14:textId="77777777" w:rsidR="00B67038" w:rsidRPr="00781112" w:rsidRDefault="00B67038" w:rsidP="00286BDF">
      <w:pPr>
        <w:rPr>
          <w:rFonts w:cs="Arial"/>
          <w:color w:val="000000" w:themeColor="text1"/>
          <w:szCs w:val="16"/>
        </w:rPr>
      </w:pPr>
      <w:r w:rsidRPr="00781112">
        <w:rPr>
          <w:rFonts w:cs="Arial"/>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the actual numbers used in the calculation.</w:t>
      </w:r>
    </w:p>
    <w:p w14:paraId="498F5564" w14:textId="77777777" w:rsidR="00B67038" w:rsidRPr="00781112" w:rsidRDefault="00B67038" w:rsidP="00286BDF">
      <w:pPr>
        <w:rPr>
          <w:rFonts w:cs="Arial"/>
          <w:color w:val="000000" w:themeColor="text1"/>
          <w:szCs w:val="16"/>
        </w:rPr>
      </w:pPr>
      <w:r w:rsidRPr="00781112">
        <w:rPr>
          <w:rFonts w:cs="Arial"/>
          <w:color w:val="000000" w:themeColor="text1"/>
          <w:szCs w:val="16"/>
        </w:rPr>
        <w:t>Targets must be 100%.</w:t>
      </w:r>
    </w:p>
    <w:p w14:paraId="1ACBC1E2" w14:textId="1799E0F6" w:rsidR="00B67038" w:rsidRPr="00781112" w:rsidRDefault="00B67038" w:rsidP="00286BDF">
      <w:pPr>
        <w:rPr>
          <w:rFonts w:cs="Arial"/>
          <w:color w:val="000000" w:themeColor="text1"/>
          <w:szCs w:val="16"/>
        </w:rPr>
      </w:pPr>
      <w:r w:rsidRPr="00781112">
        <w:rPr>
          <w:rFonts w:cs="Arial"/>
          <w:color w:val="000000" w:themeColor="text1"/>
          <w:szCs w:val="16"/>
        </w:rPr>
        <w:t xml:space="preserve">Provide detailed information about the timely correction of </w:t>
      </w:r>
      <w:bookmarkStart w:id="96" w:name="_Hlk150864402"/>
      <w:r w:rsidR="00F047EF" w:rsidRPr="00F047EF">
        <w:rPr>
          <w:rFonts w:cs="Arial"/>
          <w:color w:val="000000" w:themeColor="text1"/>
          <w:szCs w:val="16"/>
        </w:rPr>
        <w:t>child-specific and regulatory/systemic</w:t>
      </w:r>
      <w:r w:rsidR="00F047EF">
        <w:rPr>
          <w:sz w:val="20"/>
        </w:rPr>
        <w:t xml:space="preserve"> </w:t>
      </w:r>
      <w:bookmarkEnd w:id="96"/>
      <w:r w:rsidRPr="00781112">
        <w:rPr>
          <w:rFonts w:cs="Arial"/>
          <w:color w:val="000000" w:themeColor="text1"/>
          <w:szCs w:val="16"/>
        </w:rPr>
        <w:t>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and any enforcement actions that were taken.</w:t>
      </w:r>
    </w:p>
    <w:p w14:paraId="15D9CBCD" w14:textId="0F1FD109" w:rsidR="00B67038" w:rsidRPr="00781112" w:rsidRDefault="003A4027"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2022 SPP/APR, the data for FFY 2021), and the State did not identify any findings of noncompliance, provide an explanation of why the State did not identify any findings of noncompliance.</w:t>
      </w:r>
    </w:p>
    <w:p w14:paraId="43E6D66A" w14:textId="21025B37" w:rsidR="00D04044" w:rsidRPr="00781112" w:rsidRDefault="00056350" w:rsidP="00123D76">
      <w:pPr>
        <w:pStyle w:val="Heading2"/>
      </w:pPr>
      <w:bookmarkStart w:id="97" w:name="_Toc384383364"/>
      <w:bookmarkStart w:id="98" w:name="_Toc392159332"/>
      <w:bookmarkEnd w:id="94"/>
      <w:bookmarkEnd w:id="95"/>
      <w:r w:rsidRPr="00781112">
        <w:t>13</w:t>
      </w:r>
      <w:r w:rsidR="004838A4" w:rsidRPr="00781112">
        <w:t xml:space="preserve"> </w:t>
      </w:r>
      <w:r w:rsidRPr="00781112">
        <w:t xml:space="preserve">- </w:t>
      </w:r>
      <w:r w:rsidR="00D04044" w:rsidRPr="00781112">
        <w:t>Indicator Data</w:t>
      </w:r>
    </w:p>
    <w:p w14:paraId="61C4C68D" w14:textId="294F0305" w:rsidR="009447A3" w:rsidRPr="00781112" w:rsidRDefault="009447A3"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3BASELINEDATA"/>
      </w:tblPr>
      <w:tblGrid>
        <w:gridCol w:w="1797"/>
        <w:gridCol w:w="1798"/>
      </w:tblGrid>
      <w:tr w:rsidR="00694A39" w:rsidRPr="00781112" w14:paraId="03B988E1" w14:textId="77777777" w:rsidTr="00123D76">
        <w:trPr>
          <w:trHeight w:val="311"/>
          <w:tblHeader/>
        </w:trPr>
        <w:tc>
          <w:tcPr>
            <w:tcW w:w="1797" w:type="dxa"/>
          </w:tcPr>
          <w:p w14:paraId="74B6B294" w14:textId="77777777" w:rsidR="00694A39" w:rsidRPr="00781112" w:rsidRDefault="00694A39" w:rsidP="00123D76">
            <w:pPr>
              <w:jc w:val="center"/>
              <w:rPr>
                <w:b/>
                <w:color w:val="000000" w:themeColor="text1"/>
              </w:rPr>
            </w:pPr>
            <w:r w:rsidRPr="00781112">
              <w:rPr>
                <w:rFonts w:cs="Arial"/>
                <w:b/>
                <w:color w:val="000000" w:themeColor="text1"/>
                <w:szCs w:val="16"/>
              </w:rPr>
              <w:t>Baseline Year</w:t>
            </w:r>
          </w:p>
        </w:tc>
        <w:tc>
          <w:tcPr>
            <w:tcW w:w="1798" w:type="dxa"/>
          </w:tcPr>
          <w:p w14:paraId="1FEDE010" w14:textId="77777777" w:rsidR="00694A39" w:rsidRPr="00781112" w:rsidRDefault="00694A39" w:rsidP="00123D76">
            <w:pPr>
              <w:jc w:val="center"/>
              <w:rPr>
                <w:b/>
                <w:color w:val="000000" w:themeColor="text1"/>
              </w:rPr>
            </w:pPr>
            <w:r w:rsidRPr="00781112">
              <w:rPr>
                <w:b/>
                <w:color w:val="000000" w:themeColor="text1"/>
              </w:rPr>
              <w:t>Baseline Data</w:t>
            </w:r>
          </w:p>
        </w:tc>
      </w:tr>
      <w:tr w:rsidR="00694A39" w:rsidRPr="00781112" w14:paraId="6D8D944B" w14:textId="77777777" w:rsidTr="00123D76">
        <w:trPr>
          <w:trHeight w:val="311"/>
        </w:trPr>
        <w:tc>
          <w:tcPr>
            <w:tcW w:w="1797" w:type="dxa"/>
            <w:vAlign w:val="center"/>
          </w:tcPr>
          <w:p w14:paraId="7FC4C2A7" w14:textId="00CC5CF2" w:rsidR="00694A39" w:rsidRPr="00781112" w:rsidRDefault="00694A39" w:rsidP="00123D76">
            <w:pPr>
              <w:jc w:val="center"/>
              <w:rPr>
                <w:bCs/>
                <w:color w:val="000000" w:themeColor="text1"/>
              </w:rPr>
            </w:pPr>
            <w:r w:rsidRPr="00781112">
              <w:rPr>
                <w:bCs/>
                <w:color w:val="000000" w:themeColor="text1"/>
              </w:rPr>
              <w:t>2009</w:t>
            </w:r>
          </w:p>
        </w:tc>
        <w:tc>
          <w:tcPr>
            <w:tcW w:w="1798" w:type="dxa"/>
            <w:vAlign w:val="center"/>
          </w:tcPr>
          <w:p w14:paraId="3A6C733C" w14:textId="66F52DB8" w:rsidR="00694A39" w:rsidRPr="00781112" w:rsidRDefault="00694A39" w:rsidP="00123D76">
            <w:pPr>
              <w:jc w:val="center"/>
              <w:rPr>
                <w:bCs/>
                <w:color w:val="000000" w:themeColor="text1"/>
              </w:rPr>
            </w:pPr>
            <w:r w:rsidRPr="00781112">
              <w:rPr>
                <w:bCs/>
                <w:color w:val="000000" w:themeColor="text1"/>
              </w:rPr>
              <w:t>98.45%</w:t>
            </w:r>
          </w:p>
        </w:tc>
      </w:tr>
    </w:tbl>
    <w:p w14:paraId="5733AE68" w14:textId="77777777" w:rsidR="00694A39" w:rsidRPr="00781112" w:rsidRDefault="00694A39"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3HISTDATA"/>
      </w:tblPr>
      <w:tblGrid>
        <w:gridCol w:w="1798"/>
        <w:gridCol w:w="1798"/>
        <w:gridCol w:w="1798"/>
        <w:gridCol w:w="1798"/>
        <w:gridCol w:w="1798"/>
        <w:gridCol w:w="1800"/>
      </w:tblGrid>
      <w:tr w:rsidR="005C29F8" w:rsidRPr="00781112" w14:paraId="687251DC" w14:textId="77777777" w:rsidTr="00943314">
        <w:trPr>
          <w:trHeight w:val="350"/>
        </w:trPr>
        <w:tc>
          <w:tcPr>
            <w:tcW w:w="833" w:type="pct"/>
            <w:tcBorders>
              <w:bottom w:val="single" w:sz="4" w:space="0" w:color="auto"/>
            </w:tcBorders>
            <w:shd w:val="clear" w:color="auto" w:fill="auto"/>
          </w:tcPr>
          <w:p w14:paraId="14E01593" w14:textId="77777777" w:rsidR="009447A3" w:rsidRPr="00781112" w:rsidRDefault="009447A3"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73A85907" w14:textId="1D9118C1" w:rsidR="009447A3" w:rsidRPr="00781112" w:rsidRDefault="002B7490" w:rsidP="008E31C4">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1C6C5D54" w14:textId="213C7749" w:rsidR="009447A3" w:rsidRPr="00781112" w:rsidRDefault="002B7490" w:rsidP="008E31C4">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044515B1" w14:textId="14B45245" w:rsidR="009447A3" w:rsidRPr="00781112" w:rsidRDefault="002B7490" w:rsidP="008E31C4">
            <w:pPr>
              <w:jc w:val="center"/>
              <w:rPr>
                <w:rFonts w:cs="Arial"/>
                <w:b/>
                <w:color w:val="000000" w:themeColor="text1"/>
                <w:szCs w:val="16"/>
              </w:rPr>
            </w:pPr>
            <w:r w:rsidRPr="00781112">
              <w:rPr>
                <w:rFonts w:cs="Arial"/>
                <w:b/>
                <w:color w:val="000000" w:themeColor="text1"/>
                <w:szCs w:val="16"/>
              </w:rPr>
              <w:t>2019</w:t>
            </w:r>
          </w:p>
        </w:tc>
        <w:tc>
          <w:tcPr>
            <w:tcW w:w="833" w:type="pct"/>
            <w:shd w:val="clear" w:color="auto" w:fill="auto"/>
          </w:tcPr>
          <w:p w14:paraId="695DE74A" w14:textId="50B444D4" w:rsidR="009447A3" w:rsidRPr="00781112" w:rsidRDefault="002B7490" w:rsidP="008E31C4">
            <w:pPr>
              <w:jc w:val="center"/>
              <w:rPr>
                <w:rFonts w:cs="Arial"/>
                <w:b/>
                <w:color w:val="000000" w:themeColor="text1"/>
                <w:szCs w:val="16"/>
              </w:rPr>
            </w:pPr>
            <w:r w:rsidRPr="00781112">
              <w:rPr>
                <w:rFonts w:cs="Arial"/>
                <w:b/>
                <w:color w:val="000000" w:themeColor="text1"/>
                <w:szCs w:val="16"/>
              </w:rPr>
              <w:t>2020</w:t>
            </w:r>
          </w:p>
        </w:tc>
        <w:tc>
          <w:tcPr>
            <w:tcW w:w="834" w:type="pct"/>
            <w:shd w:val="clear" w:color="auto" w:fill="auto"/>
          </w:tcPr>
          <w:p w14:paraId="527EE05E" w14:textId="3E89E5BC" w:rsidR="009447A3" w:rsidRPr="00781112" w:rsidRDefault="002B7490" w:rsidP="008E31C4">
            <w:pPr>
              <w:jc w:val="center"/>
              <w:rPr>
                <w:rFonts w:cs="Arial"/>
                <w:b/>
                <w:color w:val="000000" w:themeColor="text1"/>
                <w:szCs w:val="16"/>
              </w:rPr>
            </w:pPr>
            <w:r w:rsidRPr="00781112">
              <w:rPr>
                <w:rFonts w:cs="Arial"/>
                <w:b/>
                <w:color w:val="000000" w:themeColor="text1"/>
                <w:szCs w:val="16"/>
              </w:rPr>
              <w:t>2021</w:t>
            </w:r>
          </w:p>
        </w:tc>
      </w:tr>
      <w:tr w:rsidR="005C29F8" w:rsidRPr="00781112" w14:paraId="0A07B33E" w14:textId="77777777" w:rsidTr="00943314">
        <w:trPr>
          <w:trHeight w:val="357"/>
        </w:trPr>
        <w:tc>
          <w:tcPr>
            <w:tcW w:w="833" w:type="pct"/>
            <w:shd w:val="clear" w:color="auto" w:fill="auto"/>
          </w:tcPr>
          <w:p w14:paraId="04BB4B5A" w14:textId="7106977F" w:rsidR="009447A3" w:rsidRPr="00781112" w:rsidRDefault="009447A3" w:rsidP="00BA3DBE">
            <w:pPr>
              <w:jc w:val="center"/>
              <w:rPr>
                <w:rFonts w:cs="Arial"/>
                <w:color w:val="000000" w:themeColor="text1"/>
                <w:szCs w:val="16"/>
              </w:rPr>
            </w:pPr>
            <w:r w:rsidRPr="00781112">
              <w:rPr>
                <w:rFonts w:cs="Arial"/>
                <w:color w:val="000000" w:themeColor="text1"/>
                <w:szCs w:val="16"/>
              </w:rPr>
              <w:t>Target</w:t>
            </w:r>
          </w:p>
        </w:tc>
        <w:tc>
          <w:tcPr>
            <w:tcW w:w="833" w:type="pct"/>
            <w:shd w:val="clear" w:color="auto" w:fill="auto"/>
          </w:tcPr>
          <w:p w14:paraId="20467ACA" w14:textId="658A99BC"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4AE1489C" w14:textId="1138B823"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3FAB6F79" w14:textId="47FCCD56"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2EE056E4" w14:textId="485E460A"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834" w:type="pct"/>
            <w:shd w:val="clear" w:color="auto" w:fill="auto"/>
          </w:tcPr>
          <w:p w14:paraId="6F722BD0" w14:textId="06244133"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r>
      <w:tr w:rsidR="005C29F8" w:rsidRPr="00781112" w14:paraId="4403D1A8" w14:textId="77777777" w:rsidTr="00943314">
        <w:trPr>
          <w:trHeight w:val="85"/>
        </w:trPr>
        <w:tc>
          <w:tcPr>
            <w:tcW w:w="833" w:type="pct"/>
            <w:shd w:val="clear" w:color="auto" w:fill="auto"/>
          </w:tcPr>
          <w:p w14:paraId="6473FB8E" w14:textId="77777777" w:rsidR="009447A3" w:rsidRPr="00781112" w:rsidRDefault="009447A3"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508672F7" w14:textId="4FDD51CC" w:rsidR="009447A3" w:rsidRPr="00781112" w:rsidRDefault="002B7490" w:rsidP="004369B2">
            <w:pPr>
              <w:jc w:val="center"/>
              <w:rPr>
                <w:rFonts w:cs="Arial"/>
                <w:color w:val="000000" w:themeColor="text1"/>
                <w:szCs w:val="16"/>
              </w:rPr>
            </w:pPr>
            <w:r w:rsidRPr="00781112">
              <w:rPr>
                <w:rFonts w:cs="Arial"/>
                <w:color w:val="000000" w:themeColor="text1"/>
                <w:szCs w:val="16"/>
              </w:rPr>
              <w:t>95.87%</w:t>
            </w:r>
          </w:p>
        </w:tc>
        <w:tc>
          <w:tcPr>
            <w:tcW w:w="833" w:type="pct"/>
            <w:shd w:val="clear" w:color="auto" w:fill="auto"/>
          </w:tcPr>
          <w:p w14:paraId="50F55BA6" w14:textId="73CC9B0F" w:rsidR="009447A3" w:rsidRPr="00781112" w:rsidRDefault="002B7490" w:rsidP="004369B2">
            <w:pPr>
              <w:jc w:val="center"/>
              <w:rPr>
                <w:rFonts w:cs="Arial"/>
                <w:color w:val="000000" w:themeColor="text1"/>
                <w:szCs w:val="16"/>
              </w:rPr>
            </w:pPr>
            <w:r w:rsidRPr="00781112">
              <w:rPr>
                <w:rFonts w:cs="Arial"/>
                <w:color w:val="000000" w:themeColor="text1"/>
                <w:szCs w:val="16"/>
              </w:rPr>
              <w:t>96.33%</w:t>
            </w:r>
          </w:p>
        </w:tc>
        <w:tc>
          <w:tcPr>
            <w:tcW w:w="833" w:type="pct"/>
            <w:tcBorders>
              <w:bottom w:val="single" w:sz="4" w:space="0" w:color="auto"/>
            </w:tcBorders>
            <w:shd w:val="clear" w:color="auto" w:fill="auto"/>
            <w:vAlign w:val="center"/>
          </w:tcPr>
          <w:p w14:paraId="6FC9DB0D" w14:textId="5188F524" w:rsidR="009447A3" w:rsidRPr="00781112" w:rsidRDefault="002B7490" w:rsidP="004369B2">
            <w:pPr>
              <w:jc w:val="center"/>
              <w:rPr>
                <w:rFonts w:cs="Arial"/>
                <w:color w:val="000000" w:themeColor="text1"/>
                <w:szCs w:val="16"/>
              </w:rPr>
            </w:pPr>
            <w:r w:rsidRPr="00781112">
              <w:rPr>
                <w:rFonts w:cs="Arial"/>
                <w:color w:val="000000" w:themeColor="text1"/>
                <w:szCs w:val="16"/>
              </w:rPr>
              <w:t>97.63%</w:t>
            </w:r>
          </w:p>
        </w:tc>
        <w:tc>
          <w:tcPr>
            <w:tcW w:w="833" w:type="pct"/>
            <w:tcBorders>
              <w:bottom w:val="single" w:sz="4" w:space="0" w:color="auto"/>
            </w:tcBorders>
            <w:shd w:val="clear" w:color="auto" w:fill="auto"/>
            <w:vAlign w:val="center"/>
          </w:tcPr>
          <w:p w14:paraId="2DE56335" w14:textId="11069C36" w:rsidR="009447A3" w:rsidRPr="00781112" w:rsidRDefault="002B7490" w:rsidP="004369B2">
            <w:pPr>
              <w:jc w:val="center"/>
              <w:rPr>
                <w:rFonts w:cs="Arial"/>
                <w:color w:val="000000" w:themeColor="text1"/>
                <w:szCs w:val="16"/>
              </w:rPr>
            </w:pPr>
            <w:r w:rsidRPr="00781112">
              <w:rPr>
                <w:rFonts w:cs="Arial"/>
                <w:color w:val="000000" w:themeColor="text1"/>
                <w:szCs w:val="16"/>
              </w:rPr>
              <w:t>99.41%</w:t>
            </w:r>
          </w:p>
        </w:tc>
        <w:tc>
          <w:tcPr>
            <w:tcW w:w="834" w:type="pct"/>
            <w:tcBorders>
              <w:bottom w:val="single" w:sz="4" w:space="0" w:color="auto"/>
            </w:tcBorders>
            <w:shd w:val="clear" w:color="auto" w:fill="auto"/>
            <w:vAlign w:val="center"/>
          </w:tcPr>
          <w:p w14:paraId="541BA7DE" w14:textId="2D80E9D8" w:rsidR="009447A3" w:rsidRPr="00781112" w:rsidRDefault="002B7490" w:rsidP="004369B2">
            <w:pPr>
              <w:jc w:val="center"/>
              <w:rPr>
                <w:rFonts w:cs="Arial"/>
                <w:color w:val="000000" w:themeColor="text1"/>
                <w:szCs w:val="16"/>
              </w:rPr>
            </w:pPr>
            <w:r w:rsidRPr="00781112">
              <w:rPr>
                <w:rFonts w:cs="Arial"/>
                <w:color w:val="000000" w:themeColor="text1"/>
                <w:szCs w:val="16"/>
              </w:rPr>
              <w:t>99.30%</w:t>
            </w:r>
          </w:p>
        </w:tc>
      </w:tr>
    </w:tbl>
    <w:p w14:paraId="30C8D33B" w14:textId="77777777" w:rsidR="00AF12E4" w:rsidRPr="00781112" w:rsidRDefault="00AF12E4" w:rsidP="004369B2">
      <w:pPr>
        <w:rPr>
          <w:color w:val="000000" w:themeColor="text1"/>
        </w:rPr>
      </w:pPr>
    </w:p>
    <w:p w14:paraId="75465A8F" w14:textId="65C77B0F" w:rsidR="007A3964" w:rsidRPr="00781112" w:rsidRDefault="007A3964" w:rsidP="004369B2">
      <w:pPr>
        <w:rPr>
          <w:color w:val="000000" w:themeColor="text1"/>
        </w:rPr>
      </w:pPr>
      <w:r w:rsidRPr="00781112">
        <w:rPr>
          <w:b/>
          <w:color w:val="000000" w:themeColor="text1"/>
        </w:rPr>
        <w:t>Targets</w:t>
      </w:r>
    </w:p>
    <w:tbl>
      <w:tblPr>
        <w:tblW w:w="34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3TARGETS"/>
      </w:tblPr>
      <w:tblGrid>
        <w:gridCol w:w="716"/>
        <w:gridCol w:w="1682"/>
        <w:gridCol w:w="1678"/>
        <w:gridCol w:w="1678"/>
        <w:gridCol w:w="1678"/>
      </w:tblGrid>
      <w:tr w:rsidR="00B67FCE" w:rsidRPr="00781112" w14:paraId="75609119" w14:textId="4FD44BFE" w:rsidTr="00845B9B">
        <w:trPr>
          <w:trHeight w:val="281"/>
        </w:trPr>
        <w:tc>
          <w:tcPr>
            <w:tcW w:w="481" w:type="pct"/>
            <w:tcBorders>
              <w:bottom w:val="single" w:sz="4" w:space="0" w:color="auto"/>
            </w:tcBorders>
            <w:shd w:val="clear" w:color="auto" w:fill="auto"/>
          </w:tcPr>
          <w:p w14:paraId="270D1909" w14:textId="77777777" w:rsidR="00B67FCE" w:rsidRPr="00781112" w:rsidRDefault="00B67FCE" w:rsidP="00AF574F">
            <w:pPr>
              <w:jc w:val="center"/>
              <w:rPr>
                <w:b/>
                <w:color w:val="000000" w:themeColor="text1"/>
              </w:rPr>
            </w:pPr>
            <w:r w:rsidRPr="00781112">
              <w:rPr>
                <w:b/>
                <w:color w:val="000000" w:themeColor="text1"/>
              </w:rPr>
              <w:t>FFY</w:t>
            </w:r>
          </w:p>
        </w:tc>
        <w:tc>
          <w:tcPr>
            <w:tcW w:w="1131" w:type="pct"/>
            <w:shd w:val="clear" w:color="auto" w:fill="auto"/>
            <w:vAlign w:val="center"/>
          </w:tcPr>
          <w:p w14:paraId="3C863620" w14:textId="77777777" w:rsidR="00B67FCE" w:rsidRPr="00781112" w:rsidRDefault="00B67FCE" w:rsidP="00AF574F">
            <w:pPr>
              <w:jc w:val="center"/>
              <w:rPr>
                <w:b/>
                <w:color w:val="000000" w:themeColor="text1"/>
              </w:rPr>
            </w:pPr>
            <w:r w:rsidRPr="00781112">
              <w:rPr>
                <w:b/>
                <w:color w:val="000000" w:themeColor="text1"/>
              </w:rPr>
              <w:t>2022</w:t>
            </w:r>
          </w:p>
        </w:tc>
        <w:tc>
          <w:tcPr>
            <w:tcW w:w="1129" w:type="pct"/>
          </w:tcPr>
          <w:p w14:paraId="1E742631" w14:textId="024F7853" w:rsidR="00B67FCE" w:rsidRPr="00781112" w:rsidRDefault="00B67FCE" w:rsidP="00AF574F">
            <w:pPr>
              <w:jc w:val="center"/>
              <w:rPr>
                <w:b/>
                <w:color w:val="000000" w:themeColor="text1"/>
              </w:rPr>
            </w:pPr>
            <w:r w:rsidRPr="00781112">
              <w:rPr>
                <w:rFonts w:cs="Arial"/>
                <w:b/>
                <w:color w:val="000000" w:themeColor="text1"/>
                <w:szCs w:val="16"/>
              </w:rPr>
              <w:t>2023</w:t>
            </w:r>
          </w:p>
        </w:tc>
        <w:tc>
          <w:tcPr>
            <w:tcW w:w="1129" w:type="pct"/>
          </w:tcPr>
          <w:p w14:paraId="68E9F440" w14:textId="3DC7BEDA" w:rsidR="00B67FCE" w:rsidRPr="00781112" w:rsidRDefault="00B67FCE" w:rsidP="00AF574F">
            <w:pPr>
              <w:jc w:val="center"/>
              <w:rPr>
                <w:b/>
                <w:color w:val="000000" w:themeColor="text1"/>
              </w:rPr>
            </w:pPr>
            <w:r w:rsidRPr="00781112">
              <w:rPr>
                <w:rFonts w:cs="Arial"/>
                <w:b/>
                <w:color w:val="000000" w:themeColor="text1"/>
                <w:szCs w:val="16"/>
              </w:rPr>
              <w:t>2024</w:t>
            </w:r>
          </w:p>
        </w:tc>
        <w:tc>
          <w:tcPr>
            <w:tcW w:w="1129" w:type="pct"/>
          </w:tcPr>
          <w:p w14:paraId="724C1BE8" w14:textId="32F17B9A" w:rsidR="00B67FCE" w:rsidRPr="00781112" w:rsidRDefault="00B67FCE" w:rsidP="00AF574F">
            <w:pPr>
              <w:jc w:val="center"/>
              <w:rPr>
                <w:b/>
                <w:color w:val="000000" w:themeColor="text1"/>
              </w:rPr>
            </w:pPr>
            <w:r w:rsidRPr="00781112">
              <w:rPr>
                <w:rFonts w:cs="Arial"/>
                <w:b/>
                <w:color w:val="000000" w:themeColor="text1"/>
                <w:szCs w:val="16"/>
              </w:rPr>
              <w:t>2025</w:t>
            </w:r>
          </w:p>
        </w:tc>
      </w:tr>
      <w:tr w:rsidR="00B67FCE" w:rsidRPr="00781112" w14:paraId="129EADEA" w14:textId="243BFF73" w:rsidTr="00845B9B">
        <w:trPr>
          <w:trHeight w:val="287"/>
        </w:trPr>
        <w:tc>
          <w:tcPr>
            <w:tcW w:w="481" w:type="pct"/>
            <w:shd w:val="clear" w:color="auto" w:fill="auto"/>
            <w:vAlign w:val="center"/>
          </w:tcPr>
          <w:p w14:paraId="14AB537C" w14:textId="075F2E43" w:rsidR="00B67FCE" w:rsidRPr="00781112" w:rsidRDefault="00B67FCE" w:rsidP="00BA3DBE">
            <w:pPr>
              <w:jc w:val="center"/>
              <w:rPr>
                <w:rFonts w:cs="Arial"/>
                <w:color w:val="000000" w:themeColor="text1"/>
                <w:szCs w:val="16"/>
              </w:rPr>
            </w:pPr>
            <w:r w:rsidRPr="00781112">
              <w:rPr>
                <w:rFonts w:cs="Arial"/>
                <w:color w:val="000000" w:themeColor="text1"/>
                <w:szCs w:val="16"/>
              </w:rPr>
              <w:t>Target</w:t>
            </w:r>
          </w:p>
        </w:tc>
        <w:tc>
          <w:tcPr>
            <w:tcW w:w="1131" w:type="pct"/>
            <w:shd w:val="clear" w:color="auto" w:fill="auto"/>
            <w:vAlign w:val="center"/>
          </w:tcPr>
          <w:p w14:paraId="0BAE8900" w14:textId="37E5F8C0" w:rsidR="00B67FCE" w:rsidRPr="00781112" w:rsidRDefault="00B67FCE" w:rsidP="00AF574F">
            <w:pPr>
              <w:jc w:val="center"/>
              <w:rPr>
                <w:rFonts w:cs="Arial"/>
                <w:color w:val="000000" w:themeColor="text1"/>
                <w:szCs w:val="16"/>
              </w:rPr>
            </w:pPr>
            <w:r w:rsidRPr="00781112">
              <w:rPr>
                <w:rFonts w:cs="Arial"/>
                <w:color w:val="000000" w:themeColor="text1"/>
                <w:szCs w:val="16"/>
              </w:rPr>
              <w:t>100%</w:t>
            </w:r>
          </w:p>
        </w:tc>
        <w:tc>
          <w:tcPr>
            <w:tcW w:w="1129" w:type="pct"/>
          </w:tcPr>
          <w:p w14:paraId="2CC39FD1" w14:textId="0A351FA5" w:rsidR="00B67FCE" w:rsidRPr="00781112" w:rsidRDefault="00B67FCE" w:rsidP="00AF574F">
            <w:pPr>
              <w:jc w:val="center"/>
              <w:rPr>
                <w:rFonts w:cs="Arial"/>
                <w:color w:val="000000" w:themeColor="text1"/>
                <w:szCs w:val="16"/>
              </w:rPr>
            </w:pPr>
            <w:r w:rsidRPr="00781112">
              <w:rPr>
                <w:color w:val="000000" w:themeColor="text1"/>
                <w:szCs w:val="16"/>
              </w:rPr>
              <w:t>100%</w:t>
            </w:r>
          </w:p>
        </w:tc>
        <w:tc>
          <w:tcPr>
            <w:tcW w:w="1129" w:type="pct"/>
          </w:tcPr>
          <w:p w14:paraId="67D6E1E0" w14:textId="00533F6B" w:rsidR="00B67FCE" w:rsidRPr="00781112" w:rsidRDefault="00B67FCE" w:rsidP="00AF574F">
            <w:pPr>
              <w:jc w:val="center"/>
              <w:rPr>
                <w:rFonts w:cs="Arial"/>
                <w:color w:val="000000" w:themeColor="text1"/>
                <w:szCs w:val="16"/>
              </w:rPr>
            </w:pPr>
            <w:r w:rsidRPr="00781112">
              <w:rPr>
                <w:color w:val="000000" w:themeColor="text1"/>
                <w:szCs w:val="16"/>
              </w:rPr>
              <w:t>100%</w:t>
            </w:r>
          </w:p>
        </w:tc>
        <w:tc>
          <w:tcPr>
            <w:tcW w:w="1129" w:type="pct"/>
          </w:tcPr>
          <w:p w14:paraId="39A43D1F" w14:textId="716B9E54" w:rsidR="00B67FCE" w:rsidRPr="00781112" w:rsidRDefault="00B67FCE" w:rsidP="00AF574F">
            <w:pPr>
              <w:jc w:val="center"/>
              <w:rPr>
                <w:rFonts w:cs="Arial"/>
                <w:color w:val="000000" w:themeColor="text1"/>
                <w:szCs w:val="16"/>
              </w:rPr>
            </w:pPr>
            <w:r w:rsidRPr="00781112">
              <w:rPr>
                <w:color w:val="000000" w:themeColor="text1"/>
                <w:szCs w:val="16"/>
              </w:rPr>
              <w:t>100%</w:t>
            </w:r>
          </w:p>
        </w:tc>
      </w:tr>
    </w:tbl>
    <w:p w14:paraId="2E844227" w14:textId="77777777" w:rsidR="00AF12E4" w:rsidRPr="00781112" w:rsidRDefault="00AF12E4" w:rsidP="004369B2">
      <w:pPr>
        <w:rPr>
          <w:color w:val="000000" w:themeColor="text1"/>
        </w:rPr>
      </w:pPr>
    </w:p>
    <w:bookmarkEnd w:id="97"/>
    <w:bookmarkEnd w:id="98"/>
    <w:p w14:paraId="596F7C13" w14:textId="52A2F519" w:rsidR="00D03701" w:rsidRPr="00781112" w:rsidRDefault="0047313F" w:rsidP="004369B2">
      <w:pPr>
        <w:rPr>
          <w:color w:val="000000" w:themeColor="text1"/>
        </w:rPr>
      </w:pPr>
      <w:r>
        <w:rPr>
          <w:b/>
          <w:color w:val="000000" w:themeColor="text1"/>
        </w:rPr>
        <w:t>FFY 2022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3CFFYAPRDATA"/>
      </w:tblPr>
      <w:tblGrid>
        <w:gridCol w:w="1532"/>
        <w:gridCol w:w="1497"/>
        <w:gridCol w:w="1372"/>
        <w:gridCol w:w="2067"/>
        <w:gridCol w:w="1233"/>
        <w:gridCol w:w="1570"/>
        <w:gridCol w:w="1519"/>
      </w:tblGrid>
      <w:tr w:rsidR="00B1652C" w:rsidRPr="00781112" w14:paraId="22208B6A" w14:textId="2EBA1D17" w:rsidTr="00A947D9">
        <w:trPr>
          <w:trHeight w:val="354"/>
          <w:tblHeader/>
        </w:trPr>
        <w:tc>
          <w:tcPr>
            <w:tcW w:w="710" w:type="pct"/>
            <w:shd w:val="clear" w:color="auto" w:fill="auto"/>
            <w:vAlign w:val="bottom"/>
          </w:tcPr>
          <w:p w14:paraId="24F7C6E9"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lastRenderedPageBreak/>
              <w:t>Number of youth aged 16 and above with IEPs that contain each of the required components for secondary transition</w:t>
            </w:r>
          </w:p>
        </w:tc>
        <w:tc>
          <w:tcPr>
            <w:tcW w:w="694" w:type="pct"/>
            <w:shd w:val="clear" w:color="auto" w:fill="auto"/>
            <w:vAlign w:val="bottom"/>
          </w:tcPr>
          <w:p w14:paraId="5096A299"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Number of youth with IEPs aged 16 and above</w:t>
            </w:r>
          </w:p>
        </w:tc>
        <w:tc>
          <w:tcPr>
            <w:tcW w:w="636" w:type="pct"/>
            <w:shd w:val="clear" w:color="auto" w:fill="auto"/>
            <w:vAlign w:val="bottom"/>
          </w:tcPr>
          <w:p w14:paraId="77D0CB34" w14:textId="50A1AE13" w:rsidR="00B1652C" w:rsidRPr="006D0A52" w:rsidRDefault="00B1652C" w:rsidP="00B1652C">
            <w:pPr>
              <w:jc w:val="center"/>
              <w:rPr>
                <w:rFonts w:cs="Arial"/>
                <w:b/>
                <w:bCs/>
                <w:color w:val="000000" w:themeColor="text1"/>
                <w:szCs w:val="16"/>
              </w:rPr>
            </w:pPr>
            <w:r w:rsidRPr="006D0A52">
              <w:rPr>
                <w:b/>
                <w:bCs/>
              </w:rPr>
              <w:t>FFY 2021 Data</w:t>
            </w:r>
          </w:p>
        </w:tc>
        <w:tc>
          <w:tcPr>
            <w:tcW w:w="958" w:type="pct"/>
            <w:shd w:val="clear" w:color="auto" w:fill="auto"/>
            <w:vAlign w:val="bottom"/>
          </w:tcPr>
          <w:p w14:paraId="0E375E75" w14:textId="65A0019E" w:rsidR="00B1652C" w:rsidRPr="006D0A52" w:rsidRDefault="00B1652C" w:rsidP="00B1652C">
            <w:pPr>
              <w:jc w:val="center"/>
              <w:rPr>
                <w:rFonts w:cs="Arial"/>
                <w:b/>
                <w:bCs/>
                <w:color w:val="000000" w:themeColor="text1"/>
                <w:szCs w:val="16"/>
              </w:rPr>
            </w:pPr>
            <w:r w:rsidRPr="006D0A52">
              <w:rPr>
                <w:b/>
                <w:bCs/>
              </w:rPr>
              <w:t>FFY 2022 Target</w:t>
            </w:r>
          </w:p>
        </w:tc>
        <w:tc>
          <w:tcPr>
            <w:tcW w:w="571" w:type="pct"/>
            <w:shd w:val="clear" w:color="auto" w:fill="auto"/>
            <w:vAlign w:val="bottom"/>
          </w:tcPr>
          <w:p w14:paraId="58CCB0C1" w14:textId="466AE7C2" w:rsidR="00B1652C" w:rsidRPr="006D0A52" w:rsidRDefault="00B1652C" w:rsidP="00B1652C">
            <w:pPr>
              <w:jc w:val="center"/>
              <w:rPr>
                <w:rFonts w:cs="Arial"/>
                <w:b/>
                <w:bCs/>
                <w:color w:val="000000" w:themeColor="text1"/>
                <w:szCs w:val="16"/>
              </w:rPr>
            </w:pPr>
            <w:r w:rsidRPr="006D0A52">
              <w:rPr>
                <w:b/>
                <w:bCs/>
              </w:rPr>
              <w:t>FFY 2022 Data</w:t>
            </w:r>
          </w:p>
        </w:tc>
        <w:tc>
          <w:tcPr>
            <w:tcW w:w="728" w:type="pct"/>
            <w:shd w:val="clear" w:color="auto" w:fill="auto"/>
            <w:vAlign w:val="bottom"/>
          </w:tcPr>
          <w:p w14:paraId="3A7C3260" w14:textId="5AACBA6E" w:rsidR="00B1652C" w:rsidRPr="00781112" w:rsidRDefault="00B1652C" w:rsidP="00B1652C">
            <w:pPr>
              <w:jc w:val="center"/>
              <w:rPr>
                <w:rFonts w:cs="Arial"/>
                <w:b/>
                <w:color w:val="000000" w:themeColor="text1"/>
                <w:szCs w:val="16"/>
              </w:rPr>
            </w:pPr>
            <w:r w:rsidRPr="00781112">
              <w:rPr>
                <w:rFonts w:cs="Arial"/>
                <w:b/>
                <w:color w:val="000000" w:themeColor="text1"/>
                <w:szCs w:val="16"/>
              </w:rPr>
              <w:t>Status</w:t>
            </w:r>
          </w:p>
        </w:tc>
        <w:tc>
          <w:tcPr>
            <w:tcW w:w="704" w:type="pct"/>
            <w:shd w:val="clear" w:color="auto" w:fill="auto"/>
            <w:vAlign w:val="bottom"/>
          </w:tcPr>
          <w:p w14:paraId="34FABCEB" w14:textId="119B0EB2" w:rsidR="00B1652C" w:rsidRPr="00781112" w:rsidRDefault="00B1652C" w:rsidP="00B1652C">
            <w:pPr>
              <w:jc w:val="center"/>
              <w:rPr>
                <w:rFonts w:cs="Arial"/>
                <w:b/>
                <w:color w:val="000000" w:themeColor="text1"/>
                <w:szCs w:val="16"/>
              </w:rPr>
            </w:pPr>
            <w:r w:rsidRPr="00781112">
              <w:rPr>
                <w:rFonts w:cs="Arial"/>
                <w:b/>
                <w:color w:val="000000" w:themeColor="text1"/>
                <w:szCs w:val="16"/>
              </w:rPr>
              <w:t>Slippage</w:t>
            </w:r>
          </w:p>
        </w:tc>
      </w:tr>
      <w:tr w:rsidR="005C29F8" w:rsidRPr="00781112" w14:paraId="18CC159D" w14:textId="122E5ABE" w:rsidTr="00A947D9">
        <w:trPr>
          <w:trHeight w:val="361"/>
        </w:trPr>
        <w:tc>
          <w:tcPr>
            <w:tcW w:w="710" w:type="pct"/>
            <w:shd w:val="clear" w:color="auto" w:fill="auto"/>
            <w:vAlign w:val="center"/>
          </w:tcPr>
          <w:p w14:paraId="55912D09" w14:textId="371B119A" w:rsidR="00070D9E" w:rsidRPr="00781112" w:rsidRDefault="002B7490" w:rsidP="004369B2">
            <w:pPr>
              <w:jc w:val="center"/>
              <w:rPr>
                <w:rFonts w:cs="Arial"/>
                <w:color w:val="000000" w:themeColor="text1"/>
                <w:szCs w:val="16"/>
              </w:rPr>
            </w:pPr>
            <w:r w:rsidRPr="00781112">
              <w:rPr>
                <w:rFonts w:cs="Arial"/>
                <w:color w:val="000000" w:themeColor="text1"/>
                <w:szCs w:val="16"/>
              </w:rPr>
              <w:t>1,570</w:t>
            </w:r>
          </w:p>
        </w:tc>
        <w:tc>
          <w:tcPr>
            <w:tcW w:w="694" w:type="pct"/>
            <w:shd w:val="clear" w:color="auto" w:fill="auto"/>
            <w:vAlign w:val="center"/>
          </w:tcPr>
          <w:p w14:paraId="3D798FB5" w14:textId="3B2AC314" w:rsidR="00070D9E" w:rsidRPr="00781112" w:rsidRDefault="002B7490" w:rsidP="004369B2">
            <w:pPr>
              <w:jc w:val="center"/>
              <w:rPr>
                <w:rFonts w:cs="Arial"/>
                <w:color w:val="000000" w:themeColor="text1"/>
                <w:szCs w:val="16"/>
              </w:rPr>
            </w:pPr>
            <w:r w:rsidRPr="00781112">
              <w:rPr>
                <w:rFonts w:cs="Arial"/>
                <w:color w:val="000000" w:themeColor="text1"/>
                <w:szCs w:val="16"/>
              </w:rPr>
              <w:t>1,596</w:t>
            </w:r>
          </w:p>
        </w:tc>
        <w:tc>
          <w:tcPr>
            <w:tcW w:w="636" w:type="pct"/>
            <w:shd w:val="clear" w:color="auto" w:fill="auto"/>
            <w:vAlign w:val="center"/>
          </w:tcPr>
          <w:p w14:paraId="36E1BD35" w14:textId="4F5BD8EB" w:rsidR="00070D9E" w:rsidRPr="00781112" w:rsidRDefault="002B7490" w:rsidP="004369B2">
            <w:pPr>
              <w:jc w:val="center"/>
              <w:rPr>
                <w:rFonts w:cs="Arial"/>
                <w:color w:val="000000" w:themeColor="text1"/>
                <w:szCs w:val="16"/>
              </w:rPr>
            </w:pPr>
            <w:r w:rsidRPr="00781112">
              <w:rPr>
                <w:rFonts w:cs="Arial"/>
                <w:color w:val="000000" w:themeColor="text1"/>
                <w:szCs w:val="16"/>
              </w:rPr>
              <w:t>99.30%</w:t>
            </w:r>
          </w:p>
        </w:tc>
        <w:tc>
          <w:tcPr>
            <w:tcW w:w="958" w:type="pct"/>
            <w:shd w:val="clear" w:color="auto" w:fill="auto"/>
            <w:vAlign w:val="center"/>
          </w:tcPr>
          <w:p w14:paraId="20E5284B" w14:textId="1FE0CF32" w:rsidR="00070D9E"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571" w:type="pct"/>
            <w:shd w:val="clear" w:color="auto" w:fill="auto"/>
            <w:vAlign w:val="center"/>
          </w:tcPr>
          <w:p w14:paraId="55A387E5" w14:textId="6321743C" w:rsidR="00070D9E" w:rsidRPr="00781112" w:rsidRDefault="002B7490" w:rsidP="004369B2">
            <w:pPr>
              <w:jc w:val="center"/>
              <w:rPr>
                <w:rFonts w:cs="Arial"/>
                <w:color w:val="000000" w:themeColor="text1"/>
                <w:szCs w:val="16"/>
              </w:rPr>
            </w:pPr>
            <w:r w:rsidRPr="00781112">
              <w:rPr>
                <w:rFonts w:cs="Arial"/>
                <w:color w:val="000000" w:themeColor="text1"/>
                <w:szCs w:val="16"/>
              </w:rPr>
              <w:t>98.37%</w:t>
            </w:r>
          </w:p>
        </w:tc>
        <w:tc>
          <w:tcPr>
            <w:tcW w:w="728" w:type="pct"/>
            <w:shd w:val="clear" w:color="auto" w:fill="auto"/>
            <w:vAlign w:val="center"/>
          </w:tcPr>
          <w:p w14:paraId="66968C5A" w14:textId="493EB054" w:rsidR="00070D9E" w:rsidRPr="00781112" w:rsidRDefault="002B7490" w:rsidP="004369B2">
            <w:pPr>
              <w:jc w:val="center"/>
              <w:rPr>
                <w:rFonts w:cs="Arial"/>
                <w:color w:val="000000" w:themeColor="text1"/>
                <w:szCs w:val="16"/>
              </w:rPr>
            </w:pPr>
            <w:r w:rsidRPr="00781112">
              <w:rPr>
                <w:rFonts w:cs="Arial"/>
                <w:color w:val="000000" w:themeColor="text1"/>
                <w:szCs w:val="16"/>
              </w:rPr>
              <w:t>Did not meet target</w:t>
            </w:r>
          </w:p>
        </w:tc>
        <w:tc>
          <w:tcPr>
            <w:tcW w:w="704" w:type="pct"/>
            <w:shd w:val="clear" w:color="auto" w:fill="auto"/>
            <w:vAlign w:val="center"/>
          </w:tcPr>
          <w:p w14:paraId="175BD68F" w14:textId="534B9E4D" w:rsidR="00070D9E" w:rsidRPr="00781112" w:rsidRDefault="002B7490" w:rsidP="004369B2">
            <w:pPr>
              <w:jc w:val="center"/>
              <w:rPr>
                <w:rFonts w:cs="Arial"/>
                <w:color w:val="000000" w:themeColor="text1"/>
                <w:szCs w:val="16"/>
              </w:rPr>
            </w:pPr>
            <w:r w:rsidRPr="00781112">
              <w:rPr>
                <w:rFonts w:cs="Arial"/>
                <w:color w:val="000000" w:themeColor="text1"/>
                <w:szCs w:val="16"/>
              </w:rPr>
              <w:t>No Slippage</w:t>
            </w:r>
          </w:p>
        </w:tc>
      </w:tr>
    </w:tbl>
    <w:p w14:paraId="01C32496" w14:textId="77777777" w:rsidR="00A5601C" w:rsidRPr="00781112" w:rsidRDefault="00070D9E">
      <w:pPr>
        <w:rPr>
          <w:b/>
          <w:color w:val="000000" w:themeColor="text1"/>
        </w:rPr>
      </w:pPr>
      <w:r w:rsidRPr="00781112">
        <w:rPr>
          <w:b/>
          <w:color w:val="000000" w:themeColor="text1"/>
        </w:rPr>
        <w:t xml:space="preserve">What is the source of the data provided for this indicator? </w:t>
      </w:r>
    </w:p>
    <w:p w14:paraId="2BFF05E7" w14:textId="7BFBE390" w:rsidR="00070D9E" w:rsidRPr="00781112" w:rsidRDefault="002B7490" w:rsidP="004369B2">
      <w:pPr>
        <w:rPr>
          <w:iCs/>
          <w:color w:val="000000" w:themeColor="text1"/>
        </w:rPr>
      </w:pPr>
      <w:r w:rsidRPr="00781112">
        <w:rPr>
          <w:iCs/>
          <w:color w:val="000000" w:themeColor="text1"/>
        </w:rPr>
        <w:t>State database that includes data for the entire reporting year</w:t>
      </w:r>
    </w:p>
    <w:p w14:paraId="68493AF0" w14:textId="77777777" w:rsidR="00070D9E" w:rsidRPr="00781112" w:rsidRDefault="00070D9E" w:rsidP="004369B2">
      <w:pPr>
        <w:rPr>
          <w:b/>
          <w:color w:val="000000" w:themeColor="text1"/>
        </w:rPr>
      </w:pPr>
      <w:r w:rsidRPr="00781112">
        <w:rPr>
          <w:b/>
          <w:color w:val="000000" w:themeColor="text1"/>
        </w:rPr>
        <w:t xml:space="preserve">Describe the method used to collect these data, and if data are from the State’s monitoring, describe the procedures used to collect these data. </w:t>
      </w:r>
    </w:p>
    <w:p w14:paraId="22E8774A" w14:textId="46B4955A" w:rsidR="00326C0B" w:rsidRPr="00781112" w:rsidRDefault="002B7490" w:rsidP="008E31C4">
      <w:pPr>
        <w:rPr>
          <w:rFonts w:cs="Arial"/>
          <w:color w:val="000000" w:themeColor="text1"/>
          <w:szCs w:val="16"/>
        </w:rPr>
      </w:pPr>
      <w:r w:rsidRPr="00781112">
        <w:rPr>
          <w:rFonts w:cs="Arial"/>
          <w:color w:val="000000" w:themeColor="text1"/>
          <w:szCs w:val="16"/>
        </w:rPr>
        <w:t>The data is collected at the State level for each LEA with students age sixteen and above. A sample is drawn from each LEAs' 40 day student data reported in STARS, the State’s data system. LEAs are required to submit IEPs to the State for the sample drawn. The State has a secure Special Education Monitoring site where LEAs upload the Individualized Education Programs (IEPs). The State reviews each IEP to determine if each of the required eight components are in the IEP and are compliant with the requirements for this indicator.  IEPs that are compliant and those that are non-compliant by LEA are identified through this process.</w:t>
      </w:r>
    </w:p>
    <w:tbl>
      <w:tblPr>
        <w:tblStyle w:val="TableGrid"/>
        <w:tblW w:w="5000" w:type="pct"/>
        <w:tblLook w:val="04A0" w:firstRow="1" w:lastRow="0" w:firstColumn="1" w:lastColumn="0" w:noHBand="0" w:noVBand="1"/>
        <w:tblCaption w:val="B13CFFYCOLLECT"/>
      </w:tblPr>
      <w:tblGrid>
        <w:gridCol w:w="8502"/>
        <w:gridCol w:w="2288"/>
      </w:tblGrid>
      <w:tr w:rsidR="005C29F8" w:rsidRPr="00781112" w14:paraId="366D2592" w14:textId="77777777" w:rsidTr="0033429D">
        <w:trPr>
          <w:tblHeader/>
        </w:trPr>
        <w:tc>
          <w:tcPr>
            <w:tcW w:w="3940" w:type="pct"/>
          </w:tcPr>
          <w:p w14:paraId="49221B81" w14:textId="4811C153" w:rsidR="006B4D98" w:rsidRPr="00781112" w:rsidRDefault="00694A39" w:rsidP="005F442C">
            <w:pPr>
              <w:rPr>
                <w:rFonts w:cs="Arial"/>
                <w:b/>
                <w:bCs/>
                <w:color w:val="000000" w:themeColor="text1"/>
                <w:szCs w:val="16"/>
              </w:rPr>
            </w:pPr>
            <w:r w:rsidRPr="00781112">
              <w:rPr>
                <w:rFonts w:cs="Arial"/>
                <w:b/>
                <w:bCs/>
                <w:color w:val="000000" w:themeColor="text1"/>
                <w:szCs w:val="16"/>
              </w:rPr>
              <w:t>Question</w:t>
            </w:r>
          </w:p>
        </w:tc>
        <w:tc>
          <w:tcPr>
            <w:tcW w:w="1060" w:type="pct"/>
          </w:tcPr>
          <w:p w14:paraId="3C85F11D" w14:textId="67F200AD" w:rsidR="006B4D98" w:rsidRPr="00781112" w:rsidRDefault="006B4D98"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43EAB126" w14:textId="25879D68" w:rsidTr="00A947D9">
        <w:tc>
          <w:tcPr>
            <w:tcW w:w="3940" w:type="pct"/>
          </w:tcPr>
          <w:p w14:paraId="48B431E3" w14:textId="55B03061" w:rsidR="006B4D98" w:rsidRPr="00781112" w:rsidRDefault="006B4D98" w:rsidP="005F442C">
            <w:pPr>
              <w:rPr>
                <w:rFonts w:cs="Arial"/>
                <w:color w:val="000000" w:themeColor="text1"/>
                <w:szCs w:val="16"/>
              </w:rPr>
            </w:pPr>
            <w:r w:rsidRPr="00781112">
              <w:rPr>
                <w:rFonts w:cs="Arial"/>
                <w:color w:val="000000" w:themeColor="text1"/>
                <w:szCs w:val="16"/>
              </w:rPr>
              <w:t xml:space="preserve">Do the State’s policies and procedures provide that public agencies must meet these requirements at an age younger than 16? </w:t>
            </w:r>
          </w:p>
        </w:tc>
        <w:tc>
          <w:tcPr>
            <w:tcW w:w="1060" w:type="pct"/>
          </w:tcPr>
          <w:p w14:paraId="15F6D513" w14:textId="633CDBEB" w:rsidR="006B4D98"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5A1B7304" w14:textId="62E0E544" w:rsidTr="00A947D9">
        <w:tc>
          <w:tcPr>
            <w:tcW w:w="3940" w:type="pct"/>
          </w:tcPr>
          <w:p w14:paraId="73B3F719" w14:textId="0391FF91" w:rsidR="006B4D98" w:rsidRPr="00781112" w:rsidRDefault="00AF30E8">
            <w:pPr>
              <w:rPr>
                <w:rFonts w:cs="Arial"/>
                <w:color w:val="000000" w:themeColor="text1"/>
                <w:szCs w:val="16"/>
              </w:rPr>
            </w:pPr>
            <w:r w:rsidRPr="00781112">
              <w:rPr>
                <w:rFonts w:cs="Arial"/>
                <w:color w:val="000000" w:themeColor="text1"/>
                <w:szCs w:val="16"/>
              </w:rPr>
              <w:t>If yes, did the State choose to include youth at an age younger than 16 in its data for this indicator and ensure that its baseline data are based on youth beginning at that younger age?</w:t>
            </w:r>
          </w:p>
        </w:tc>
        <w:tc>
          <w:tcPr>
            <w:tcW w:w="1060" w:type="pct"/>
          </w:tcPr>
          <w:p w14:paraId="27A80519" w14:textId="1C51858B" w:rsidR="006B4D98" w:rsidRPr="00781112" w:rsidRDefault="002B7490" w:rsidP="00A018D4">
            <w:pPr>
              <w:jc w:val="center"/>
              <w:rPr>
                <w:rFonts w:cs="Arial"/>
                <w:color w:val="000000" w:themeColor="text1"/>
                <w:szCs w:val="16"/>
              </w:rPr>
            </w:pPr>
            <w:r w:rsidRPr="00781112">
              <w:rPr>
                <w:rFonts w:cs="Arial"/>
                <w:color w:val="000000" w:themeColor="text1"/>
                <w:szCs w:val="16"/>
              </w:rPr>
              <w:t>NO</w:t>
            </w:r>
          </w:p>
        </w:tc>
      </w:tr>
    </w:tbl>
    <w:p w14:paraId="351FF0B8" w14:textId="0AE6898F" w:rsidR="00326C0B" w:rsidRPr="00781112" w:rsidRDefault="00AF30E8" w:rsidP="005F442C">
      <w:pPr>
        <w:rPr>
          <w:rFonts w:cs="Arial"/>
          <w:b/>
          <w:color w:val="000000" w:themeColor="text1"/>
          <w:szCs w:val="16"/>
        </w:rPr>
      </w:pPr>
      <w:r w:rsidRPr="00781112">
        <w:rPr>
          <w:rFonts w:cs="Arial"/>
          <w:b/>
          <w:color w:val="000000" w:themeColor="text1"/>
          <w:szCs w:val="16"/>
        </w:rPr>
        <w:t>If no, please explain</w:t>
      </w:r>
    </w:p>
    <w:p w14:paraId="2562A48D" w14:textId="1B6BD32F" w:rsidR="00326C0B" w:rsidRPr="00781112" w:rsidRDefault="002B7490" w:rsidP="005F442C">
      <w:pPr>
        <w:rPr>
          <w:rFonts w:cs="Arial"/>
          <w:color w:val="000000" w:themeColor="text1"/>
          <w:szCs w:val="16"/>
        </w:rPr>
      </w:pPr>
      <w:r w:rsidRPr="00781112">
        <w:rPr>
          <w:rFonts w:cs="Arial"/>
          <w:color w:val="000000" w:themeColor="text1"/>
          <w:szCs w:val="16"/>
        </w:rPr>
        <w:t xml:space="preserve">The State's policies and procedures require that students with disabilities, starting at age fourteen, meet the secondary transition requirements. Although the data is collected and monitored, the State elects to keep the Federal and State data separate.   Therefore, the State has elected to exclude the data for students that are ages fourteen and fifteen from the data reported in this SPP/APR. </w:t>
      </w:r>
    </w:p>
    <w:p w14:paraId="735DB55A" w14:textId="18C77FF1" w:rsidR="00644AC8" w:rsidRPr="00781112" w:rsidRDefault="00644AC8" w:rsidP="005F442C">
      <w:pPr>
        <w:rPr>
          <w:rFonts w:cs="Arial"/>
          <w:b/>
          <w:color w:val="000000" w:themeColor="text1"/>
          <w:szCs w:val="16"/>
        </w:rPr>
      </w:pPr>
      <w:bookmarkStart w:id="99" w:name="_Toc392159335"/>
      <w:r w:rsidRPr="00781112">
        <w:rPr>
          <w:rFonts w:cs="Arial"/>
          <w:b/>
          <w:color w:val="000000" w:themeColor="text1"/>
          <w:szCs w:val="16"/>
        </w:rPr>
        <w:t>Provide additional information about this indicator (optional)</w:t>
      </w:r>
    </w:p>
    <w:p w14:paraId="2F22AC76" w14:textId="5FF8D00A" w:rsidR="00326C0B" w:rsidRPr="00781112" w:rsidRDefault="002B7490" w:rsidP="007D435F">
      <w:pPr>
        <w:rPr>
          <w:rFonts w:cs="Arial"/>
          <w:color w:val="000000" w:themeColor="text1"/>
          <w:szCs w:val="16"/>
        </w:rPr>
      </w:pPr>
      <w:r w:rsidRPr="00781112">
        <w:rPr>
          <w:rFonts w:cs="Arial"/>
          <w:color w:val="000000" w:themeColor="text1"/>
          <w:szCs w:val="16"/>
        </w:rPr>
        <w:t/>
      </w:r>
    </w:p>
    <w:p w14:paraId="1F3D4141" w14:textId="77777777" w:rsidR="00AF12E4" w:rsidRPr="00781112" w:rsidRDefault="00AF12E4" w:rsidP="004369B2">
      <w:pPr>
        <w:rPr>
          <w:color w:val="000000" w:themeColor="text1"/>
        </w:rPr>
      </w:pPr>
    </w:p>
    <w:p w14:paraId="37C34CDA" w14:textId="0E49E3C2" w:rsidR="009A755E" w:rsidRPr="00781112" w:rsidRDefault="00450F98" w:rsidP="004369B2">
      <w:pPr>
        <w:rPr>
          <w:color w:val="000000" w:themeColor="text1"/>
        </w:rPr>
      </w:pPr>
      <w:r>
        <w:rPr>
          <w:b/>
          <w:color w:val="000000" w:themeColor="text1"/>
        </w:rPr>
        <w:t>Correction of Findings of Noncompliance Identified in FFY 2021</w:t>
      </w:r>
    </w:p>
    <w:tbl>
      <w:tblPr>
        <w:tblStyle w:val="TableGrid"/>
        <w:tblW w:w="5000" w:type="pct"/>
        <w:tblLook w:val="04A0" w:firstRow="1" w:lastRow="0" w:firstColumn="1" w:lastColumn="0" w:noHBand="0" w:noVBand="1"/>
        <w:tblCaption w:val="B13PFFYNCFINDINGS"/>
      </w:tblPr>
      <w:tblGrid>
        <w:gridCol w:w="2649"/>
        <w:gridCol w:w="2779"/>
        <w:gridCol w:w="2656"/>
        <w:gridCol w:w="2706"/>
      </w:tblGrid>
      <w:tr w:rsidR="005C29F8" w:rsidRPr="00781112" w14:paraId="6C308319" w14:textId="77777777" w:rsidTr="00A947D9">
        <w:trPr>
          <w:trHeight w:val="389"/>
          <w:tblHeader/>
        </w:trPr>
        <w:tc>
          <w:tcPr>
            <w:tcW w:w="1228" w:type="pct"/>
            <w:shd w:val="clear" w:color="auto" w:fill="auto"/>
            <w:vAlign w:val="bottom"/>
          </w:tcPr>
          <w:p w14:paraId="5A6805D6"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63B4B6E3"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26D8FBA2"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6D3A2F2B"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04582DC7" w14:textId="77777777" w:rsidTr="00A947D9">
        <w:tc>
          <w:tcPr>
            <w:tcW w:w="1228" w:type="pct"/>
            <w:shd w:val="clear" w:color="auto" w:fill="auto"/>
          </w:tcPr>
          <w:p w14:paraId="1C22474D" w14:textId="5ECD77A3" w:rsidR="009A755E" w:rsidRPr="00781112" w:rsidRDefault="002B7490" w:rsidP="004369B2">
            <w:pPr>
              <w:jc w:val="center"/>
              <w:rPr>
                <w:rFonts w:cs="Arial"/>
                <w:color w:val="000000" w:themeColor="text1"/>
                <w:szCs w:val="16"/>
              </w:rPr>
            </w:pPr>
            <w:r w:rsidRPr="00781112">
              <w:rPr>
                <w:rFonts w:cs="Arial"/>
                <w:color w:val="000000" w:themeColor="text1"/>
                <w:szCs w:val="16"/>
              </w:rPr>
              <w:t>7</w:t>
            </w:r>
          </w:p>
        </w:tc>
        <w:tc>
          <w:tcPr>
            <w:tcW w:w="1288" w:type="pct"/>
            <w:shd w:val="clear" w:color="auto" w:fill="auto"/>
          </w:tcPr>
          <w:p w14:paraId="6A161A21" w14:textId="698D820A" w:rsidR="009A755E" w:rsidRPr="00781112" w:rsidRDefault="002B7490" w:rsidP="004369B2">
            <w:pPr>
              <w:jc w:val="center"/>
              <w:rPr>
                <w:rFonts w:cs="Arial"/>
                <w:color w:val="000000" w:themeColor="text1"/>
                <w:szCs w:val="16"/>
              </w:rPr>
            </w:pPr>
            <w:r w:rsidRPr="00781112">
              <w:rPr>
                <w:rFonts w:cs="Arial"/>
                <w:color w:val="000000" w:themeColor="text1"/>
                <w:szCs w:val="16"/>
              </w:rPr>
              <w:t>5</w:t>
            </w:r>
          </w:p>
        </w:tc>
        <w:tc>
          <w:tcPr>
            <w:tcW w:w="1231" w:type="pct"/>
            <w:shd w:val="clear" w:color="auto" w:fill="auto"/>
          </w:tcPr>
          <w:p w14:paraId="6CF556ED" w14:textId="6BD64A21" w:rsidR="009A755E" w:rsidRPr="00781112" w:rsidRDefault="002B7490" w:rsidP="004369B2">
            <w:pPr>
              <w:jc w:val="center"/>
              <w:rPr>
                <w:rFonts w:cs="Arial"/>
                <w:color w:val="000000" w:themeColor="text1"/>
                <w:szCs w:val="16"/>
              </w:rPr>
            </w:pPr>
            <w:r w:rsidRPr="00781112">
              <w:rPr>
                <w:rFonts w:cs="Arial"/>
                <w:color w:val="000000" w:themeColor="text1"/>
                <w:szCs w:val="16"/>
              </w:rPr>
              <w:t/>
            </w:r>
          </w:p>
        </w:tc>
        <w:tc>
          <w:tcPr>
            <w:tcW w:w="1254" w:type="pct"/>
            <w:shd w:val="clear" w:color="auto" w:fill="auto"/>
          </w:tcPr>
          <w:p w14:paraId="1B14B45E" w14:textId="6409289E" w:rsidR="009A755E" w:rsidRPr="00781112" w:rsidRDefault="002B7490" w:rsidP="004369B2">
            <w:pPr>
              <w:jc w:val="center"/>
              <w:rPr>
                <w:rFonts w:cs="Arial"/>
                <w:color w:val="000000" w:themeColor="text1"/>
                <w:szCs w:val="16"/>
              </w:rPr>
            </w:pPr>
            <w:r w:rsidRPr="00781112">
              <w:rPr>
                <w:rFonts w:cs="Arial"/>
                <w:color w:val="000000" w:themeColor="text1"/>
                <w:szCs w:val="16"/>
              </w:rPr>
              <w:t>2</w:t>
            </w:r>
          </w:p>
        </w:tc>
      </w:tr>
    </w:tbl>
    <w:p w14:paraId="45E0E48A" w14:textId="43B33AA1" w:rsidR="009A755E" w:rsidRPr="00781112" w:rsidRDefault="00450F98" w:rsidP="004369B2">
      <w:pPr>
        <w:rPr>
          <w:color w:val="000000" w:themeColor="text1"/>
        </w:rPr>
      </w:pPr>
      <w:r>
        <w:rPr>
          <w:b/>
          <w:color w:val="000000" w:themeColor="text1"/>
        </w:rPr>
        <w:t>FFY 2021 Findings of Noncompliance Verified as Corrected</w:t>
      </w:r>
    </w:p>
    <w:p w14:paraId="5FAC5347" w14:textId="3A1B8056"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7BD51D93" w14:textId="30292384" w:rsidR="00326C0B" w:rsidRPr="00781112" w:rsidRDefault="002B7490" w:rsidP="009A755E">
      <w:pPr>
        <w:rPr>
          <w:rFonts w:cs="Arial"/>
          <w:color w:val="000000" w:themeColor="text1"/>
          <w:szCs w:val="16"/>
        </w:rPr>
      </w:pPr>
      <w:r w:rsidRPr="00781112">
        <w:rPr>
          <w:rFonts w:cs="Arial"/>
          <w:color w:val="000000" w:themeColor="text1"/>
          <w:szCs w:val="16"/>
        </w:rPr>
        <w:t>In accordance with the OSEP State General Supervision Responsibilities Under Parts B of the IDEA document (OSEP QA 23-01), the State verified that the noncompliant local education agencies are correctly implementing the regulatory requirements, within one-year, through a follow-up review process. The 5 LEAs demonstrated no further non-compliance within one-year and the State has determined these LEAs are correctly implementing the specific regulatory requirements based on the following review of updated data (achieved 100% compliance). The verification review consisted of a four-step process.</w:t>
        <w:br/>
        <w:t/>
        <w:br/>
        <w:t>First, each LEA completed a Root Cause Analysis (RCA). The RCA process requires LEAs to review their own policies, practices and procedures to ensure compliance and identify any issues within their policies, practices and procedures which may be causing the noncompliance to occur. Each of the LEAs submitted a completed RCA to the state which identified varying contributing factors for the noncompliance. The factors ranged from the need to establish internal procedures when timelines primarily occur during non-working and non-school days and establishing processes for monitoring timelines.</w:t>
        <w:br/>
        <w:t/>
        <w:br/>
        <w:t xml:space="preserve">Second, the State reviewed each of the RCAs submitted by the LEAs along with the policies, practices and procedures. A Corrective Action Plan (CAP) was developed for each of the LEAs to address the areas of noncompliance the LEA and state identified whether regulatory or non-regulatory, which contributed to the noncompliance. The CAP included action steps, timelines for completion of each action step and the documentation needed to verify that each LEA completed the required action step(s) for the identified issues. The LEAs submitted documentation evidencing all action steps were complete, the state reviewed the documentation submitted for each action step and verified that each item in the CAP was corrected for each LEA. </w:t>
        <w:br/>
        <w:t/>
        <w:br/>
        <w:t xml:space="preserve">Third, an independent Prong 2 review of updated data was completed through LEA file reviews and information. The state collected IEPs for review for a random sampling of students. All documents and data reviewed demonstrated each LEA was compliant with the requirements for secondary transition. The State; therefore, determined each LEA completed all actions necessary to ensure the regulatory requirements are being implemented correctly. </w:t>
        <w:br/>
        <w:t/>
        <w:br/>
        <w:t>Fourth, once the State was assured the LEA was correctly implementing regulatory requirements through steps one through three, the CAP was closed by the State. Each of the LEAs were verified and validated to be implementing the regulatory requirements within one year, from the identification of the noncompliance. Therefore, in accordance with the requirements of QA 23-01, the state verified that 5 LEAs, that were the source of non-compliance are correctly implementing the regulatory requirements.</w:t>
      </w:r>
    </w:p>
    <w:p w14:paraId="580C3804" w14:textId="4C173B5C"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14:paraId="3CC9D0C9" w14:textId="1A1AB4E7" w:rsidR="00326C0B" w:rsidRPr="00781112" w:rsidRDefault="002B7490" w:rsidP="009A755E">
      <w:pPr>
        <w:rPr>
          <w:rFonts w:cs="Arial"/>
          <w:color w:val="000000" w:themeColor="text1"/>
          <w:szCs w:val="16"/>
        </w:rPr>
      </w:pPr>
      <w:r w:rsidRPr="00781112">
        <w:rPr>
          <w:rFonts w:cs="Arial"/>
          <w:color w:val="000000" w:themeColor="text1"/>
          <w:szCs w:val="16"/>
        </w:rPr>
        <w:t xml:space="preserve">The State verified that each individual case of non-compliance was corrected by the 5 LEAs found to have non-compliance through the following process. </w:t>
        <w:br/>
        <w:t/>
        <w:br/>
        <w:t>First, the State required that each IEP found to have non-compliance through the annual review of IEPs, be corrected and re-submitted to the State. The IEPs were then reviewed by the State to ensure all components are correctly addressed in the IEP.  After completion of the review, the State verified that each student's IEP, in the 5 LEAs meet the secondary transition requirements. Thus, each individual case of non-compliance was verified as corrected.</w:t>
        <w:br/>
        <w:t/>
        <w:br/>
        <w:t>Second, the State then verified with its special education dispute resolution team to ensure that no state complaint or due process CAPs existed for the LEAs based on the secondary transition requirements.  After reviewing the data, the legal team found none of the  LEAs had an open or closed CAP for a specific student in which the LEA had non-compliance. Therefore, in accordance with the requirements of QA 23-01, the state verified that all 5 LEAs corrected each individual case of noncompliance.</w:t>
      </w:r>
    </w:p>
    <w:p w14:paraId="00A491DA" w14:textId="4DDD1252" w:rsidR="009A755E" w:rsidRPr="00781112" w:rsidRDefault="00450F98" w:rsidP="004369B2">
      <w:pPr>
        <w:rPr>
          <w:color w:val="000000" w:themeColor="text1"/>
        </w:rPr>
      </w:pPr>
      <w:r>
        <w:rPr>
          <w:b/>
          <w:color w:val="000000" w:themeColor="text1"/>
        </w:rPr>
        <w:t>FFY 2021 Findings of Noncompliance Not Yet Verified as Corrected</w:t>
      </w:r>
    </w:p>
    <w:p w14:paraId="447C0C1F" w14:textId="77777777" w:rsidR="009A755E" w:rsidRPr="00781112" w:rsidRDefault="009A755E" w:rsidP="009A755E">
      <w:pPr>
        <w:rPr>
          <w:rFonts w:cs="Arial"/>
          <w:b/>
          <w:color w:val="000000" w:themeColor="text1"/>
          <w:szCs w:val="16"/>
        </w:rPr>
      </w:pPr>
      <w:r w:rsidRPr="00781112">
        <w:rPr>
          <w:rFonts w:cs="Arial"/>
          <w:b/>
          <w:color w:val="000000" w:themeColor="text1"/>
          <w:szCs w:val="16"/>
        </w:rPr>
        <w:t>Actions taken if noncompliance not corrected</w:t>
      </w:r>
    </w:p>
    <w:p w14:paraId="703DE59F" w14:textId="396EA4B0" w:rsidR="00326C0B" w:rsidRPr="00781112" w:rsidRDefault="002B7490" w:rsidP="009A755E">
      <w:pPr>
        <w:rPr>
          <w:rFonts w:cs="Arial"/>
          <w:color w:val="000000" w:themeColor="text1"/>
          <w:szCs w:val="16"/>
        </w:rPr>
      </w:pPr>
      <w:r w:rsidRPr="00781112">
        <w:rPr>
          <w:rFonts w:cs="Arial"/>
          <w:color w:val="000000" w:themeColor="text1"/>
          <w:szCs w:val="16"/>
        </w:rPr>
        <w:t>The State provided additional technical assistance and supports to the LEAs and to state staff to ensure that all understood the requirements for indicator 13.   In addition, the requirements for the correction of non-compliance were reviewed and supported for both the LEAs and state staff as well.</w:t>
      </w:r>
    </w:p>
    <w:p w14:paraId="09CD9C74" w14:textId="77777777" w:rsidR="00A947D9" w:rsidRPr="00781112" w:rsidRDefault="00A947D9" w:rsidP="004369B2">
      <w:pPr>
        <w:rPr>
          <w:color w:val="000000" w:themeColor="text1"/>
        </w:rPr>
      </w:pPr>
    </w:p>
    <w:p w14:paraId="59FD8363" w14:textId="3514B9D8" w:rsidR="009A755E" w:rsidRPr="00781112" w:rsidRDefault="00450F98" w:rsidP="004369B2">
      <w:pPr>
        <w:rPr>
          <w:color w:val="000000" w:themeColor="text1"/>
        </w:rPr>
      </w:pPr>
      <w:r>
        <w:rPr>
          <w:b/>
          <w:color w:val="000000" w:themeColor="text1"/>
        </w:rPr>
        <w:t>Correction of Findings of Noncompliance Identified Prior to FFY 2021</w:t>
      </w:r>
    </w:p>
    <w:tbl>
      <w:tblPr>
        <w:tblStyle w:val="TableGrid"/>
        <w:tblW w:w="5000" w:type="pct"/>
        <w:tblLook w:val="04A0" w:firstRow="1" w:lastRow="0" w:firstColumn="1" w:lastColumn="0" w:noHBand="0" w:noVBand="1"/>
        <w:tblCaption w:val="B13PPFFYNCFINDINGS"/>
      </w:tblPr>
      <w:tblGrid>
        <w:gridCol w:w="2132"/>
        <w:gridCol w:w="3153"/>
        <w:gridCol w:w="2842"/>
        <w:gridCol w:w="2663"/>
      </w:tblGrid>
      <w:tr w:rsidR="005C29F8" w:rsidRPr="00781112" w14:paraId="1C8DDFE9" w14:textId="77777777" w:rsidTr="00A947D9">
        <w:trPr>
          <w:tblHeader/>
        </w:trPr>
        <w:tc>
          <w:tcPr>
            <w:tcW w:w="988" w:type="pct"/>
            <w:shd w:val="clear" w:color="auto" w:fill="auto"/>
            <w:vAlign w:val="bottom"/>
          </w:tcPr>
          <w:p w14:paraId="6DA65F9A" w14:textId="186CEF16"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461" w:type="pct"/>
            <w:shd w:val="clear" w:color="auto" w:fill="auto"/>
            <w:vAlign w:val="bottom"/>
          </w:tcPr>
          <w:p w14:paraId="22AE93B4" w14:textId="772A5614"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2021 APR</w:t>
            </w:r>
          </w:p>
        </w:tc>
        <w:tc>
          <w:tcPr>
            <w:tcW w:w="1317" w:type="pct"/>
            <w:shd w:val="clear" w:color="auto" w:fill="auto"/>
            <w:vAlign w:val="bottom"/>
          </w:tcPr>
          <w:p w14:paraId="1E652481"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34" w:type="pct"/>
            <w:shd w:val="clear" w:color="auto" w:fill="auto"/>
            <w:vAlign w:val="bottom"/>
          </w:tcPr>
          <w:p w14:paraId="2936209D"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1DF4458C" w14:textId="77777777" w:rsidTr="00A947D9">
        <w:tc>
          <w:tcPr>
            <w:tcW w:w="988" w:type="pct"/>
            <w:shd w:val="clear" w:color="auto" w:fill="auto"/>
          </w:tcPr>
          <w:p w14:paraId="09D39BF4" w14:textId="12080EC7" w:rsidR="009A755E" w:rsidRPr="00781112" w:rsidRDefault="002B7490" w:rsidP="00A018D4">
            <w:pPr>
              <w:jc w:val="center"/>
              <w:rPr>
                <w:rFonts w:cs="Arial"/>
                <w:color w:val="000000" w:themeColor="text1"/>
                <w:szCs w:val="16"/>
              </w:rPr>
            </w:pPr>
            <w:r w:rsidRPr="00781112">
              <w:rPr>
                <w:rFonts w:cs="Arial"/>
                <w:color w:val="000000" w:themeColor="text1"/>
                <w:szCs w:val="16"/>
              </w:rPr>
              <w:t/>
            </w:r>
          </w:p>
        </w:tc>
        <w:tc>
          <w:tcPr>
            <w:tcW w:w="1461" w:type="pct"/>
            <w:shd w:val="clear" w:color="auto" w:fill="auto"/>
          </w:tcPr>
          <w:p w14:paraId="16129CDC" w14:textId="4ECB3EAC"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317" w:type="pct"/>
            <w:shd w:val="clear" w:color="auto" w:fill="auto"/>
          </w:tcPr>
          <w:p w14:paraId="631866C2" w14:textId="7A733589"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234" w:type="pct"/>
            <w:shd w:val="clear" w:color="auto" w:fill="auto"/>
          </w:tcPr>
          <w:p w14:paraId="3A2AFB37" w14:textId="4D254CD3" w:rsidR="009A755E" w:rsidRPr="00781112" w:rsidRDefault="002B7490">
            <w:pPr>
              <w:jc w:val="center"/>
              <w:rPr>
                <w:rFonts w:cs="Arial"/>
                <w:noProof/>
                <w:color w:val="000000" w:themeColor="text1"/>
                <w:szCs w:val="16"/>
              </w:rPr>
            </w:pPr>
            <w:r w:rsidRPr="00781112">
              <w:rPr>
                <w:rFonts w:cs="Arial"/>
                <w:color w:val="000000" w:themeColor="text1"/>
                <w:szCs w:val="16"/>
              </w:rPr>
              <w:t/>
            </w:r>
          </w:p>
        </w:tc>
      </w:tr>
      <w:tr w:rsidR="005C29F8" w:rsidRPr="00781112" w14:paraId="22754C03" w14:textId="77777777" w:rsidTr="00A947D9">
        <w:tc>
          <w:tcPr>
            <w:tcW w:w="988" w:type="pct"/>
            <w:shd w:val="clear" w:color="auto" w:fill="auto"/>
          </w:tcPr>
          <w:p w14:paraId="3F1CDA29" w14:textId="16C6A591" w:rsidR="009A755E" w:rsidRPr="00781112" w:rsidRDefault="001E7916" w:rsidP="00A018D4">
            <w:pPr>
              <w:jc w:val="center"/>
              <w:rPr>
                <w:rFonts w:cs="Arial"/>
                <w:color w:val="000000" w:themeColor="text1"/>
                <w:szCs w:val="16"/>
              </w:rPr>
            </w:pPr>
            <w:r w:rsidRPr="00781112">
              <w:rPr>
                <w:rFonts w:cs="Arial"/>
                <w:color w:val="000000" w:themeColor="text1"/>
                <w:szCs w:val="16"/>
              </w:rPr>
              <w:lastRenderedPageBreak/>
              <w:t/>
            </w:r>
          </w:p>
        </w:tc>
        <w:tc>
          <w:tcPr>
            <w:tcW w:w="1461" w:type="pct"/>
            <w:shd w:val="clear" w:color="auto" w:fill="auto"/>
          </w:tcPr>
          <w:p w14:paraId="50EA299D" w14:textId="70FCF876" w:rsidR="009A755E" w:rsidRPr="00781112" w:rsidRDefault="001E7916">
            <w:pPr>
              <w:jc w:val="center"/>
              <w:rPr>
                <w:rFonts w:cs="Arial"/>
                <w:noProof/>
                <w:color w:val="000000" w:themeColor="text1"/>
                <w:szCs w:val="16"/>
              </w:rPr>
            </w:pPr>
            <w:r w:rsidRPr="00781112">
              <w:rPr>
                <w:rFonts w:cs="Arial"/>
                <w:color w:val="000000" w:themeColor="text1"/>
                <w:szCs w:val="16"/>
              </w:rPr>
              <w:t/>
            </w:r>
          </w:p>
        </w:tc>
        <w:tc>
          <w:tcPr>
            <w:tcW w:w="1317" w:type="pct"/>
            <w:shd w:val="clear" w:color="auto" w:fill="auto"/>
          </w:tcPr>
          <w:p w14:paraId="424B5A41" w14:textId="57F0D24B"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234" w:type="pct"/>
            <w:shd w:val="clear" w:color="auto" w:fill="auto"/>
          </w:tcPr>
          <w:p w14:paraId="5FD250DE" w14:textId="1F07D8E0" w:rsidR="009A755E" w:rsidRPr="00781112" w:rsidRDefault="002B7490">
            <w:pPr>
              <w:jc w:val="center"/>
              <w:rPr>
                <w:rFonts w:cs="Arial"/>
                <w:noProof/>
                <w:color w:val="000000" w:themeColor="text1"/>
                <w:szCs w:val="16"/>
              </w:rPr>
            </w:pPr>
            <w:r w:rsidRPr="00781112">
              <w:rPr>
                <w:rFonts w:cs="Arial"/>
                <w:color w:val="000000" w:themeColor="text1"/>
                <w:szCs w:val="16"/>
              </w:rPr>
              <w:t/>
            </w:r>
          </w:p>
        </w:tc>
      </w:tr>
      <w:tr w:rsidR="005C29F8" w:rsidRPr="00781112" w14:paraId="1554C3DE" w14:textId="77777777" w:rsidTr="00A947D9">
        <w:tc>
          <w:tcPr>
            <w:tcW w:w="988" w:type="pct"/>
            <w:shd w:val="clear" w:color="auto" w:fill="auto"/>
          </w:tcPr>
          <w:p w14:paraId="08F1D022" w14:textId="2DEB05AF" w:rsidR="009A755E" w:rsidRPr="00781112" w:rsidRDefault="001E7916" w:rsidP="00A018D4">
            <w:pPr>
              <w:jc w:val="center"/>
              <w:rPr>
                <w:rFonts w:cs="Arial"/>
                <w:color w:val="000000" w:themeColor="text1"/>
                <w:szCs w:val="16"/>
              </w:rPr>
            </w:pPr>
            <w:r w:rsidRPr="00781112">
              <w:rPr>
                <w:rFonts w:cs="Arial"/>
                <w:color w:val="000000" w:themeColor="text1"/>
                <w:szCs w:val="16"/>
              </w:rPr>
              <w:t/>
            </w:r>
          </w:p>
        </w:tc>
        <w:tc>
          <w:tcPr>
            <w:tcW w:w="1461" w:type="pct"/>
            <w:shd w:val="clear" w:color="auto" w:fill="auto"/>
          </w:tcPr>
          <w:p w14:paraId="3FCA4EF1" w14:textId="25DC21F7" w:rsidR="009A755E" w:rsidRPr="00781112" w:rsidRDefault="001E7916">
            <w:pPr>
              <w:jc w:val="center"/>
              <w:rPr>
                <w:rFonts w:cs="Arial"/>
                <w:noProof/>
                <w:color w:val="000000" w:themeColor="text1"/>
                <w:szCs w:val="16"/>
              </w:rPr>
            </w:pPr>
            <w:r w:rsidRPr="00781112">
              <w:rPr>
                <w:rFonts w:cs="Arial"/>
                <w:color w:val="000000" w:themeColor="text1"/>
                <w:szCs w:val="16"/>
              </w:rPr>
              <w:t/>
            </w:r>
          </w:p>
        </w:tc>
        <w:tc>
          <w:tcPr>
            <w:tcW w:w="1317" w:type="pct"/>
            <w:shd w:val="clear" w:color="auto" w:fill="auto"/>
          </w:tcPr>
          <w:p w14:paraId="4F433BEE" w14:textId="401E2469" w:rsidR="009A755E" w:rsidRPr="00781112" w:rsidRDefault="002B7490">
            <w:pPr>
              <w:jc w:val="center"/>
              <w:rPr>
                <w:rFonts w:cs="Arial"/>
                <w:noProof/>
                <w:color w:val="000000" w:themeColor="text1"/>
                <w:szCs w:val="16"/>
              </w:rPr>
            </w:pPr>
            <w:r w:rsidRPr="00781112">
              <w:rPr>
                <w:rFonts w:cs="Arial"/>
                <w:color w:val="000000" w:themeColor="text1"/>
                <w:szCs w:val="16"/>
              </w:rPr>
              <w:t/>
            </w:r>
          </w:p>
        </w:tc>
        <w:tc>
          <w:tcPr>
            <w:tcW w:w="1234" w:type="pct"/>
            <w:shd w:val="clear" w:color="auto" w:fill="auto"/>
          </w:tcPr>
          <w:p w14:paraId="615F0522" w14:textId="27A5AF36" w:rsidR="009A755E" w:rsidRPr="00781112" w:rsidRDefault="002B7490">
            <w:pPr>
              <w:jc w:val="center"/>
              <w:rPr>
                <w:rFonts w:cs="Arial"/>
                <w:noProof/>
                <w:color w:val="000000" w:themeColor="text1"/>
                <w:szCs w:val="16"/>
              </w:rPr>
            </w:pPr>
            <w:r w:rsidRPr="00781112">
              <w:rPr>
                <w:rFonts w:cs="Arial"/>
                <w:color w:val="000000" w:themeColor="text1"/>
                <w:szCs w:val="16"/>
              </w:rPr>
              <w:t/>
            </w:r>
          </w:p>
        </w:tc>
      </w:tr>
      <w:tr w:rsidR="00427654" w:rsidRPr="00781112" w14:paraId="2815F59D" w14:textId="77777777" w:rsidTr="00A947D9">
        <w:tc>
          <w:tcPr>
            <w:tcW w:w="988" w:type="pct"/>
            <w:shd w:val="clear" w:color="auto" w:fill="auto"/>
          </w:tcPr>
          <w:p w14:paraId="57C99F36" w14:textId="381DB30A" w:rsidR="00427654" w:rsidRPr="00781112" w:rsidRDefault="00427654" w:rsidP="00427654">
            <w:pPr>
              <w:jc w:val="center"/>
              <w:rPr>
                <w:rFonts w:cs="Arial"/>
                <w:color w:val="000000" w:themeColor="text1"/>
                <w:szCs w:val="16"/>
              </w:rPr>
            </w:pPr>
            <w:r w:rsidRPr="00781112">
              <w:rPr>
                <w:rFonts w:cs="Arial"/>
                <w:color w:val="000000" w:themeColor="text1"/>
                <w:szCs w:val="16"/>
              </w:rPr>
              <w:t/>
            </w:r>
          </w:p>
        </w:tc>
        <w:tc>
          <w:tcPr>
            <w:tcW w:w="1461" w:type="pct"/>
            <w:shd w:val="clear" w:color="auto" w:fill="auto"/>
          </w:tcPr>
          <w:p w14:paraId="6CEDBEB8" w14:textId="18FB85C6" w:rsidR="00427654" w:rsidRPr="00781112" w:rsidRDefault="00427654" w:rsidP="00427654">
            <w:pPr>
              <w:jc w:val="center"/>
              <w:rPr>
                <w:rFonts w:cs="Arial"/>
                <w:color w:val="000000" w:themeColor="text1"/>
                <w:szCs w:val="16"/>
              </w:rPr>
            </w:pPr>
            <w:r w:rsidRPr="00781112">
              <w:rPr>
                <w:rFonts w:cs="Arial"/>
                <w:color w:val="000000" w:themeColor="text1"/>
                <w:szCs w:val="16"/>
              </w:rPr>
              <w:t/>
            </w:r>
          </w:p>
        </w:tc>
        <w:tc>
          <w:tcPr>
            <w:tcW w:w="1317" w:type="pct"/>
            <w:shd w:val="clear" w:color="auto" w:fill="auto"/>
          </w:tcPr>
          <w:p w14:paraId="77BA8C74" w14:textId="6DF7328B" w:rsidR="00427654" w:rsidRPr="00781112" w:rsidRDefault="00427654" w:rsidP="00427654">
            <w:pPr>
              <w:jc w:val="center"/>
              <w:rPr>
                <w:rFonts w:cs="Arial"/>
                <w:color w:val="000000" w:themeColor="text1"/>
                <w:szCs w:val="16"/>
              </w:rPr>
            </w:pPr>
            <w:r w:rsidRPr="00781112">
              <w:rPr>
                <w:rFonts w:cs="Arial"/>
                <w:color w:val="000000" w:themeColor="text1"/>
                <w:szCs w:val="16"/>
              </w:rPr>
              <w:t/>
            </w:r>
          </w:p>
        </w:tc>
        <w:tc>
          <w:tcPr>
            <w:tcW w:w="1234" w:type="pct"/>
            <w:shd w:val="clear" w:color="auto" w:fill="auto"/>
          </w:tcPr>
          <w:p w14:paraId="4AAB48D5" w14:textId="1920D04D" w:rsidR="00427654" w:rsidRPr="00781112" w:rsidRDefault="00427654" w:rsidP="00427654">
            <w:pPr>
              <w:jc w:val="center"/>
              <w:rPr>
                <w:rFonts w:cs="Arial"/>
                <w:color w:val="000000" w:themeColor="text1"/>
                <w:szCs w:val="16"/>
              </w:rPr>
            </w:pPr>
            <w:r w:rsidRPr="00781112">
              <w:rPr>
                <w:rFonts w:cs="Arial"/>
                <w:color w:val="000000" w:themeColor="text1"/>
                <w:szCs w:val="16"/>
              </w:rPr>
              <w:t/>
            </w:r>
          </w:p>
        </w:tc>
      </w:tr>
      <w:tr w:rsidR="00427654" w:rsidRPr="00781112" w14:paraId="3A826F76" w14:textId="77777777" w:rsidTr="00A947D9">
        <w:tc>
          <w:tcPr>
            <w:tcW w:w="988" w:type="pct"/>
            <w:shd w:val="clear" w:color="auto" w:fill="auto"/>
          </w:tcPr>
          <w:p w14:paraId="07376903" w14:textId="6D4FE71F" w:rsidR="00427654" w:rsidRPr="00781112" w:rsidRDefault="00427654" w:rsidP="00427654">
            <w:pPr>
              <w:jc w:val="center"/>
              <w:rPr>
                <w:rFonts w:cs="Arial"/>
                <w:color w:val="000000" w:themeColor="text1"/>
                <w:szCs w:val="16"/>
              </w:rPr>
            </w:pPr>
            <w:r w:rsidRPr="00781112">
              <w:rPr>
                <w:rFonts w:cs="Arial"/>
                <w:color w:val="000000" w:themeColor="text1"/>
                <w:szCs w:val="16"/>
              </w:rPr>
              <w:t/>
            </w:r>
          </w:p>
        </w:tc>
        <w:tc>
          <w:tcPr>
            <w:tcW w:w="1461" w:type="pct"/>
            <w:shd w:val="clear" w:color="auto" w:fill="auto"/>
          </w:tcPr>
          <w:p w14:paraId="73C45E25" w14:textId="62ECBB51" w:rsidR="00427654" w:rsidRPr="00781112" w:rsidRDefault="00427654" w:rsidP="00427654">
            <w:pPr>
              <w:jc w:val="center"/>
              <w:rPr>
                <w:rFonts w:cs="Arial"/>
                <w:color w:val="000000" w:themeColor="text1"/>
                <w:szCs w:val="16"/>
              </w:rPr>
            </w:pPr>
            <w:r w:rsidRPr="00781112">
              <w:rPr>
                <w:rFonts w:cs="Arial"/>
                <w:color w:val="000000" w:themeColor="text1"/>
                <w:szCs w:val="16"/>
              </w:rPr>
              <w:t/>
            </w:r>
          </w:p>
        </w:tc>
        <w:tc>
          <w:tcPr>
            <w:tcW w:w="1317" w:type="pct"/>
            <w:shd w:val="clear" w:color="auto" w:fill="auto"/>
          </w:tcPr>
          <w:p w14:paraId="4F5CAB46" w14:textId="2A047DAD" w:rsidR="00427654" w:rsidRPr="00781112" w:rsidRDefault="00427654" w:rsidP="00427654">
            <w:pPr>
              <w:jc w:val="center"/>
              <w:rPr>
                <w:rFonts w:cs="Arial"/>
                <w:color w:val="000000" w:themeColor="text1"/>
                <w:szCs w:val="16"/>
              </w:rPr>
            </w:pPr>
            <w:r w:rsidRPr="00781112">
              <w:rPr>
                <w:rFonts w:cs="Arial"/>
                <w:color w:val="000000" w:themeColor="text1"/>
                <w:szCs w:val="16"/>
              </w:rPr>
              <w:t/>
            </w:r>
          </w:p>
        </w:tc>
        <w:tc>
          <w:tcPr>
            <w:tcW w:w="1234" w:type="pct"/>
            <w:shd w:val="clear" w:color="auto" w:fill="auto"/>
          </w:tcPr>
          <w:p w14:paraId="312383C2" w14:textId="57A8F1A1" w:rsidR="00427654" w:rsidRPr="00781112" w:rsidRDefault="00427654" w:rsidP="00427654">
            <w:pPr>
              <w:jc w:val="center"/>
              <w:rPr>
                <w:rFonts w:cs="Arial"/>
                <w:color w:val="000000" w:themeColor="text1"/>
                <w:szCs w:val="16"/>
              </w:rPr>
            </w:pPr>
            <w:r w:rsidRPr="00781112">
              <w:rPr>
                <w:rFonts w:cs="Arial"/>
                <w:color w:val="000000" w:themeColor="text1"/>
                <w:szCs w:val="16"/>
              </w:rPr>
              <w:t/>
            </w:r>
          </w:p>
        </w:tc>
      </w:tr>
    </w:tbl>
    <w:p w14:paraId="0764B6D1" w14:textId="7BF666C6" w:rsidR="004E2151" w:rsidRPr="00781112" w:rsidRDefault="00056350" w:rsidP="00123D76">
      <w:pPr>
        <w:pStyle w:val="Heading2"/>
      </w:pPr>
      <w:r w:rsidRPr="00781112">
        <w:t>13</w:t>
      </w:r>
      <w:r w:rsidR="001D508D" w:rsidRPr="00781112">
        <w:t xml:space="preserve"> </w:t>
      </w:r>
      <w:r w:rsidRPr="00781112">
        <w:t xml:space="preserve">- </w:t>
      </w:r>
      <w:r w:rsidR="004E2151" w:rsidRPr="00781112">
        <w:t>Prior FFY Required Actions</w:t>
      </w:r>
    </w:p>
    <w:p w14:paraId="3DC62C2B" w14:textId="341FD615" w:rsidR="004E2151" w:rsidRPr="00781112" w:rsidRDefault="002B7490" w:rsidP="004E2151">
      <w:pPr>
        <w:rPr>
          <w:rFonts w:cs="Arial"/>
          <w:color w:val="000000" w:themeColor="text1"/>
          <w:szCs w:val="16"/>
        </w:rPr>
      </w:pPr>
      <w:r w:rsidRPr="00781112">
        <w:rPr>
          <w:rFonts w:cs="Arial"/>
          <w:color w:val="000000" w:themeColor="text1"/>
          <w:szCs w:val="16"/>
        </w:rPr>
        <w:t>Because the State reported less than 100% compliance for FFY 2021, the State must report on the status of correction of noncompliance identified in FFY 2021 for this indicator. When reporting on the correction of noncompliance, the State must report, in the FFY 2022 SPP/APR, that it has verified that each LEA with noncompliance identified in FFY 2021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In the FFY 2022 SPP/APR, the State must describe the specific actions that were taken to verify the correction.</w:t>
        <w:br/>
        <w:t>If the State did not identify any findings of noncompliance in FFY 2021, although its FFY 2021 data reflect less than 100% compliance, provide an explanation of why the State did not identify any findings of noncompliance in FFY 2021.</w:t>
      </w:r>
    </w:p>
    <w:p w14:paraId="6FDC964C" w14:textId="7C7EE16F" w:rsidR="009F69E7" w:rsidRPr="00781112" w:rsidRDefault="009F69E7" w:rsidP="004E2151">
      <w:pPr>
        <w:rPr>
          <w:rFonts w:cs="Arial"/>
          <w:color w:val="000000" w:themeColor="text1"/>
          <w:szCs w:val="16"/>
        </w:rPr>
      </w:pPr>
    </w:p>
    <w:p w14:paraId="769948F5" w14:textId="2E352977" w:rsidR="004E2151" w:rsidRPr="00781112" w:rsidRDefault="007639D7" w:rsidP="004369B2">
      <w:pPr>
        <w:rPr>
          <w:b/>
          <w:color w:val="000000" w:themeColor="text1"/>
        </w:rPr>
      </w:pPr>
      <w:r>
        <w:rPr>
          <w:b/>
          <w:color w:val="000000" w:themeColor="text1"/>
        </w:rPr>
        <w:t>Response to actions required in FFY 2021 SPP/APR</w:t>
      </w:r>
    </w:p>
    <w:p w14:paraId="18FDD3C1" w14:textId="77777777" w:rsidR="009F69E7" w:rsidRPr="00781112" w:rsidRDefault="002B7490" w:rsidP="004E2151">
      <w:pPr>
        <w:rPr>
          <w:rFonts w:cs="Arial"/>
          <w:color w:val="000000" w:themeColor="text1"/>
          <w:szCs w:val="16"/>
        </w:rPr>
      </w:pPr>
      <w:r w:rsidRPr="00781112">
        <w:rPr>
          <w:rFonts w:cs="Arial"/>
          <w:color w:val="000000" w:themeColor="text1"/>
          <w:szCs w:val="16"/>
        </w:rPr>
        <w:t>The State has verified that each LEA with noncompliance identified in FFY 2021 for this indicator is: (1)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The State has also describe the specific actions that were taken to verify the correction.</w:t>
      </w:r>
    </w:p>
    <w:p w14:paraId="310A49DA" w14:textId="36D1B81C" w:rsidR="007F5071" w:rsidRPr="00781112" w:rsidRDefault="00056350" w:rsidP="00123D76">
      <w:pPr>
        <w:pStyle w:val="Heading2"/>
      </w:pPr>
      <w:r w:rsidRPr="00781112">
        <w:t>13 - OSEP Response</w:t>
      </w:r>
    </w:p>
    <w:p w14:paraId="55757593" w14:textId="79413C8B" w:rsidR="00293C7E" w:rsidRPr="00781112" w:rsidRDefault="002B7490" w:rsidP="00212954">
      <w:pPr>
        <w:rPr>
          <w:rFonts w:cs="Arial"/>
          <w:color w:val="000000" w:themeColor="text1"/>
          <w:szCs w:val="16"/>
        </w:rPr>
      </w:pPr>
      <w:r w:rsidRPr="00781112">
        <w:rPr>
          <w:rFonts w:cs="Arial"/>
          <w:color w:val="000000" w:themeColor="text1"/>
          <w:szCs w:val="16"/>
        </w:rPr>
        <w:t>
</w:t>
      </w:r>
    </w:p>
    <w:p w14:paraId="139D82E4" w14:textId="2690DF84" w:rsidR="007F5071" w:rsidRPr="00781112" w:rsidRDefault="00056350" w:rsidP="00123D76">
      <w:pPr>
        <w:pStyle w:val="Heading2"/>
      </w:pPr>
      <w:r w:rsidRPr="00781112">
        <w:t>13 - Required Actions</w:t>
      </w:r>
    </w:p>
    <w:p w14:paraId="3AC05AE9" w14:textId="66211D68" w:rsidR="00293C7E" w:rsidRPr="00781112" w:rsidRDefault="002B7490" w:rsidP="00212954">
      <w:pPr>
        <w:rPr>
          <w:rFonts w:cs="Arial"/>
          <w:color w:val="000000" w:themeColor="text1"/>
          <w:szCs w:val="16"/>
        </w:rPr>
      </w:pPr>
      <w:r w:rsidRPr="00781112">
        <w:rPr>
          <w:rFonts w:cs="Arial"/>
          <w:color w:val="000000" w:themeColor="text1"/>
          <w:szCs w:val="16"/>
        </w:rPr>
        <w:t>Because the State reported less than 100% compliance for FFY 2022, the State must report on the status of correction of noncompliance identified in FFY 2022 for this indicator. In addition, the State must demonstrate, in the FFY 2023 SPP/APR, that the remaining 2 uncorrected findings of noncompliance identified in FFY 2021, were corrected.   When reporting on the correction of noncompliance, the State must report, in the FFY 2023 SPP/APR, that it has verified that each LEA with findings of noncompliance identified in FFY 2022 and each LEA with remaining noncompliance identified in FFY 2021: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QA 23-01. In the FFY 2023 SPP/APR, the State must describe the specific actions that were taken to verify the correction.  If the State did not identify any findings of noncompliance in FFY 2022, although its FFY 2022 data reflect less than 100% compliance, provide an explanation of why the State did not identify any findings of noncompliance in FFY 2022.</w:t>
      </w:r>
    </w:p>
    <w:p w14:paraId="2D88F5D3"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6BE48297" w14:textId="049A8FC3" w:rsidR="00B3462E" w:rsidRPr="00781112" w:rsidRDefault="00B3462E" w:rsidP="000444E2">
      <w:pPr>
        <w:pStyle w:val="Heading1"/>
        <w:rPr>
          <w:color w:val="000000" w:themeColor="text1"/>
          <w:sz w:val="22"/>
        </w:rPr>
      </w:pPr>
      <w:r w:rsidRPr="00781112">
        <w:rPr>
          <w:color w:val="000000" w:themeColor="text1"/>
          <w:sz w:val="22"/>
        </w:rPr>
        <w:lastRenderedPageBreak/>
        <w:t>Indicator 14: Post-School Outcomes</w:t>
      </w:r>
      <w:bookmarkEnd w:id="58"/>
      <w:bookmarkEnd w:id="99"/>
    </w:p>
    <w:p w14:paraId="22761492" w14:textId="77777777" w:rsidR="005C50DB" w:rsidRPr="00781112" w:rsidRDefault="005C50DB" w:rsidP="00A018D4">
      <w:pPr>
        <w:rPr>
          <w:szCs w:val="20"/>
        </w:rPr>
      </w:pPr>
      <w:bookmarkStart w:id="100" w:name="_Toc392159336"/>
      <w:r w:rsidRPr="00781112">
        <w:rPr>
          <w:b/>
          <w:sz w:val="20"/>
          <w:szCs w:val="20"/>
        </w:rPr>
        <w:t>Instructions and Measurement</w:t>
      </w:r>
    </w:p>
    <w:p w14:paraId="3872DE81" w14:textId="173DF04F" w:rsidR="001F3A65" w:rsidRPr="00781112" w:rsidRDefault="001F3A65" w:rsidP="005F442C">
      <w:pPr>
        <w:rPr>
          <w:rFonts w:cs="Arial"/>
          <w:szCs w:val="16"/>
        </w:rPr>
      </w:pPr>
      <w:r w:rsidRPr="00781112">
        <w:rPr>
          <w:rFonts w:cs="Arial"/>
          <w:b/>
          <w:szCs w:val="16"/>
        </w:rPr>
        <w:t>Monitoring Priority</w:t>
      </w:r>
      <w:r w:rsidRPr="00781112">
        <w:rPr>
          <w:rFonts w:cs="Arial"/>
          <w:szCs w:val="16"/>
        </w:rPr>
        <w:t>: Effective General Supervision Part B / Effective Transition</w:t>
      </w:r>
    </w:p>
    <w:p w14:paraId="29CEDA40" w14:textId="10BE3AE6" w:rsidR="001F3A65" w:rsidRPr="00781112" w:rsidRDefault="001F3A65" w:rsidP="005F442C">
      <w:pPr>
        <w:rPr>
          <w:rFonts w:cs="Arial"/>
          <w:szCs w:val="16"/>
        </w:rPr>
      </w:pPr>
      <w:r w:rsidRPr="00781112">
        <w:rPr>
          <w:rFonts w:cs="Arial"/>
          <w:b/>
          <w:szCs w:val="16"/>
        </w:rPr>
        <w:t>Results indicator:</w:t>
      </w:r>
      <w:r w:rsidR="00131842" w:rsidRPr="00781112">
        <w:rPr>
          <w:rFonts w:cs="Arial"/>
          <w:szCs w:val="16"/>
        </w:rPr>
        <w:t xml:space="preserve"> </w:t>
      </w:r>
      <w:r w:rsidRPr="00781112">
        <w:rPr>
          <w:rFonts w:cs="Arial"/>
          <w:szCs w:val="16"/>
        </w:rPr>
        <w:t>Percent of youth who are no longer in secondary school, had IEPs in effect at the time they left school, and were:</w:t>
      </w:r>
    </w:p>
    <w:p w14:paraId="7F97857D" w14:textId="783928AC" w:rsidR="001F3A65" w:rsidRPr="00781112" w:rsidRDefault="00F52ED5" w:rsidP="005F442C">
      <w:pPr>
        <w:rPr>
          <w:rFonts w:cs="Arial"/>
          <w:szCs w:val="16"/>
        </w:rPr>
      </w:pPr>
      <w:r w:rsidRPr="00781112">
        <w:rPr>
          <w:rFonts w:cs="Arial"/>
          <w:szCs w:val="16"/>
        </w:rPr>
        <w:tab/>
      </w:r>
      <w:r w:rsidRPr="00781112">
        <w:rPr>
          <w:rFonts w:cs="Arial"/>
          <w:szCs w:val="16"/>
        </w:rPr>
        <w:tab/>
        <w:t>A. Enrolled in higher education within one year of leaving high school.</w:t>
      </w:r>
    </w:p>
    <w:p w14:paraId="72E90E1C" w14:textId="0FC21DC4" w:rsidR="001F3A65" w:rsidRPr="00781112" w:rsidRDefault="00F52ED5" w:rsidP="005F442C">
      <w:pPr>
        <w:rPr>
          <w:rFonts w:cs="Arial"/>
          <w:szCs w:val="16"/>
        </w:rPr>
      </w:pPr>
      <w:r w:rsidRPr="00781112">
        <w:rPr>
          <w:rFonts w:cs="Arial"/>
          <w:szCs w:val="16"/>
        </w:rPr>
        <w:tab/>
      </w:r>
      <w:r w:rsidRPr="00781112">
        <w:rPr>
          <w:rFonts w:cs="Arial"/>
          <w:szCs w:val="16"/>
        </w:rPr>
        <w:tab/>
        <w:t>B. Enrolled in higher education or competitively employed within one year of leaving high school.</w:t>
      </w:r>
    </w:p>
    <w:p w14:paraId="71CF3231" w14:textId="0CA0669B" w:rsidR="001F3A65" w:rsidRPr="00781112" w:rsidRDefault="00F52ED5" w:rsidP="00856B0E">
      <w:pPr>
        <w:tabs>
          <w:tab w:val="left" w:pos="1440"/>
        </w:tabs>
        <w:ind w:left="1440"/>
        <w:rPr>
          <w:rFonts w:cs="Arial"/>
          <w:szCs w:val="16"/>
        </w:rPr>
      </w:pPr>
      <w:r w:rsidRPr="00781112">
        <w:rPr>
          <w:rFonts w:cs="Arial"/>
          <w:szCs w:val="16"/>
        </w:rPr>
        <w:t>C. Enrolled in higher education or in some other postsecondary education or training program; or competitively employed or in some other employment within one year of leaving high school.</w:t>
      </w:r>
    </w:p>
    <w:p w14:paraId="34C582E7" w14:textId="77777777" w:rsidR="001F3A65" w:rsidRPr="00781112" w:rsidRDefault="001F3A65" w:rsidP="005F442C">
      <w:pPr>
        <w:rPr>
          <w:rFonts w:cs="Arial"/>
          <w:szCs w:val="16"/>
        </w:rPr>
      </w:pPr>
      <w:r w:rsidRPr="00781112">
        <w:rPr>
          <w:rFonts w:cs="Arial"/>
          <w:szCs w:val="16"/>
        </w:rPr>
        <w:t>(20 U.S.C. 1416(a)(3)(B))</w:t>
      </w:r>
    </w:p>
    <w:p w14:paraId="48D4CA91" w14:textId="77777777" w:rsidR="00B67038" w:rsidRPr="00781112" w:rsidRDefault="00B67038" w:rsidP="004369B2">
      <w:r w:rsidRPr="00781112">
        <w:rPr>
          <w:b/>
        </w:rPr>
        <w:t>Data Source</w:t>
      </w:r>
    </w:p>
    <w:p w14:paraId="266BF2FF" w14:textId="7EC5F0A3" w:rsidR="00B67038" w:rsidRPr="00781112" w:rsidRDefault="00B67038" w:rsidP="005F442C">
      <w:pPr>
        <w:rPr>
          <w:rFonts w:cs="Arial"/>
          <w:szCs w:val="16"/>
        </w:rPr>
      </w:pPr>
      <w:r w:rsidRPr="00781112">
        <w:rPr>
          <w:rFonts w:cs="Arial"/>
          <w:szCs w:val="16"/>
        </w:rPr>
        <w:t>State selected data source.</w:t>
      </w:r>
    </w:p>
    <w:p w14:paraId="1655DDB5" w14:textId="4F072B5B" w:rsidR="00B67038" w:rsidRPr="00781112" w:rsidRDefault="00B67038" w:rsidP="004369B2">
      <w:r w:rsidRPr="00781112">
        <w:rPr>
          <w:b/>
        </w:rPr>
        <w:t>Measurement</w:t>
      </w:r>
    </w:p>
    <w:p w14:paraId="0B074DD3" w14:textId="77777777" w:rsidR="00B67038" w:rsidRPr="00781112" w:rsidRDefault="009B2B72" w:rsidP="006A01BD">
      <w:pPr>
        <w:pStyle w:val="Numbering"/>
        <w:ind w:left="360"/>
        <w:rPr>
          <w:color w:val="auto"/>
        </w:rPr>
      </w:pPr>
      <w:r w:rsidRPr="00781112">
        <w:rPr>
          <w:color w:val="auto"/>
        </w:rPr>
        <w:t>A. Percent enrolled in higher education = [(# of youth who are no longer in secondary school, had IEPs in effect at the time they left school and were enrolled in higher education within one year of leaving high school) divided by the (# of respondent youth who are no longer in secondary school and had IEPs in effect at the time they left school)] times 100.</w:t>
      </w:r>
    </w:p>
    <w:p w14:paraId="32414D87" w14:textId="01962ED5" w:rsidR="00B67038" w:rsidRPr="00781112" w:rsidRDefault="009B2B72" w:rsidP="006A01BD">
      <w:pPr>
        <w:pStyle w:val="Numbering"/>
        <w:ind w:left="360"/>
        <w:rPr>
          <w:color w:val="auto"/>
        </w:rPr>
      </w:pPr>
      <w:r w:rsidRPr="00781112">
        <w:rPr>
          <w:color w:val="auto"/>
        </w:rPr>
        <w:t>B. Percent enrolled in higher education or competitively employed within one year of leaving high school = [(# of youth who are no longer in secondary school, had IEPs in effect at the time they left school and were enrolled in higher education or competitively employed within one year of leaving high school) divided by the (# of respondent youth who are no longer in secondary school and had IEPs in effect at the time they left school)] times 100.</w:t>
      </w:r>
    </w:p>
    <w:p w14:paraId="0E47FE86" w14:textId="3EAC7580" w:rsidR="00B67038" w:rsidRPr="00781112" w:rsidRDefault="009B2B72" w:rsidP="006A01BD">
      <w:pPr>
        <w:pStyle w:val="Numbering"/>
        <w:ind w:left="360"/>
        <w:rPr>
          <w:color w:val="auto"/>
        </w:rPr>
      </w:pPr>
      <w:r w:rsidRPr="00781112">
        <w:rPr>
          <w:color w:val="auto"/>
        </w:rPr>
        <w:t>C. Percent enrolled in higher education, or in some other postsecondary education or training program; or competitively employed or in some other employment = [(# of youth who are no longer in secondary school, had IEPs in effect at the time they left school and were enrolled in higher education, or in some other postsecondary education or training program; or competitively employed or in some other employment) divided by the (# of respondent youth who are no longer in secondary school and had IEPs in effect at the time they left school)] times 100.</w:t>
      </w:r>
    </w:p>
    <w:p w14:paraId="20442BDD" w14:textId="77777777" w:rsidR="00B67038" w:rsidRPr="00781112" w:rsidRDefault="00B67038" w:rsidP="004369B2">
      <w:r w:rsidRPr="00781112">
        <w:rPr>
          <w:b/>
        </w:rPr>
        <w:t>Instructions</w:t>
      </w:r>
    </w:p>
    <w:p w14:paraId="4987E862" w14:textId="6885D117" w:rsidR="00B67038" w:rsidRPr="00781112" w:rsidRDefault="00B67038" w:rsidP="003A4027">
      <w:pPr>
        <w:spacing w:before="0" w:after="210"/>
        <w:rPr>
          <w:rFonts w:eastAsia="Times New Roman" w:cs="Arial"/>
          <w:i/>
          <w:iCs/>
          <w:szCs w:val="16"/>
        </w:rPr>
      </w:pPr>
      <w:r w:rsidRPr="00781112">
        <w:rPr>
          <w:rFonts w:eastAsia="Times New Roman" w:cs="Arial"/>
          <w:i/>
          <w:iCs/>
          <w:szCs w:val="16"/>
        </w:rPr>
        <w:t>Sampling </w:t>
      </w:r>
      <w:r w:rsidRPr="00781112">
        <w:rPr>
          <w:rFonts w:eastAsia="Times New Roman" w:cs="Arial"/>
          <w:b/>
          <w:bCs/>
          <w:i/>
          <w:iCs/>
          <w:szCs w:val="16"/>
        </w:rPr>
        <w:t>of youth who had IEPs and are no longer in secondary school</w:t>
      </w:r>
      <w:r w:rsidRPr="00781112">
        <w:rPr>
          <w:rFonts w:eastAsia="Times New Roman" w:cs="Arial"/>
          <w:i/>
          <w:iCs/>
          <w:szCs w:val="16"/>
        </w:rPr>
        <w:t> is allowed. When sampling is used, submit a description of the sampling methodology outlining how the design will yield valid and reliable estimates of the target population. (See </w:t>
      </w:r>
      <w:r w:rsidRPr="00781112">
        <w:rPr>
          <w:rFonts w:eastAsia="Times New Roman" w:cs="Arial"/>
          <w:i/>
          <w:iCs/>
          <w:szCs w:val="16"/>
          <w:u w:val="single"/>
        </w:rPr>
        <w:t>General Instructions</w:t>
      </w:r>
      <w:r w:rsidRPr="00781112">
        <w:rPr>
          <w:rFonts w:eastAsia="Times New Roman" w:cs="Arial"/>
          <w:i/>
          <w:iCs/>
          <w:szCs w:val="16"/>
        </w:rPr>
        <w:t xml:space="preserve"> on page </w:t>
      </w:r>
      <w:r w:rsidR="0042509A">
        <w:rPr>
          <w:rFonts w:eastAsia="Times New Roman" w:cs="Arial"/>
          <w:i/>
          <w:iCs/>
          <w:szCs w:val="16"/>
        </w:rPr>
        <w:t>3</w:t>
      </w:r>
      <w:r w:rsidRPr="00781112">
        <w:rPr>
          <w:rFonts w:eastAsia="Times New Roman" w:cs="Arial"/>
          <w:i/>
          <w:iCs/>
          <w:szCs w:val="16"/>
        </w:rPr>
        <w:t xml:space="preserve"> for additional instructions on sampling.)</w:t>
      </w:r>
    </w:p>
    <w:p w14:paraId="7DEAD51C" w14:textId="3CECE5EE" w:rsidR="00B67038" w:rsidRPr="00781112" w:rsidRDefault="003A4027" w:rsidP="003A4027">
      <w:pPr>
        <w:spacing w:before="0" w:after="210"/>
        <w:rPr>
          <w:rFonts w:eastAsia="Times New Roman" w:cs="Arial"/>
          <w:szCs w:val="16"/>
        </w:rPr>
      </w:pPr>
      <w:r w:rsidRPr="00781112">
        <w:rPr>
          <w:rFonts w:eastAsia="Times New Roman" w:cs="Arial"/>
          <w:szCs w:val="16"/>
        </w:rPr>
        <w:t>Collect data by September 2023 on students who left school during 2021-2022, timing the data collection so that at least one year has passed since the students left school. Include students who dropped out during 2021-2022 or who were expected to return but did not return for the current school year. This includes all youth who had an IEP in effect at the time they left school, including those who graduated with a regular diploma or some other credential, dropped out, or aged out.</w:t>
      </w:r>
    </w:p>
    <w:p w14:paraId="34FE8763" w14:textId="77777777" w:rsidR="00B67038" w:rsidRPr="00781112" w:rsidRDefault="00B67038" w:rsidP="003A4027">
      <w:pPr>
        <w:spacing w:before="0" w:after="0"/>
        <w:rPr>
          <w:rFonts w:eastAsia="Times New Roman" w:cs="Arial"/>
          <w:b/>
          <w:bCs/>
          <w:szCs w:val="16"/>
        </w:rPr>
      </w:pPr>
      <w:r w:rsidRPr="00781112">
        <w:rPr>
          <w:rFonts w:eastAsia="Times New Roman" w:cs="Arial"/>
          <w:b/>
          <w:bCs/>
          <w:szCs w:val="16"/>
        </w:rPr>
        <w:t>I. </w:t>
      </w:r>
      <w:r w:rsidRPr="00781112">
        <w:rPr>
          <w:rFonts w:eastAsia="Times New Roman" w:cs="Arial"/>
          <w:b/>
          <w:bCs/>
          <w:i/>
          <w:iCs/>
          <w:szCs w:val="16"/>
        </w:rPr>
        <w:t>Definitions</w:t>
      </w:r>
    </w:p>
    <w:p w14:paraId="239CB051" w14:textId="357D0921" w:rsidR="00B67038" w:rsidRPr="00781112" w:rsidRDefault="00B67038" w:rsidP="003A4027">
      <w:pPr>
        <w:spacing w:before="0" w:after="210"/>
        <w:rPr>
          <w:rFonts w:eastAsia="Times New Roman" w:cs="Arial"/>
          <w:szCs w:val="16"/>
        </w:rPr>
      </w:pPr>
      <w:r w:rsidRPr="00781112">
        <w:rPr>
          <w:rFonts w:eastAsia="Times New Roman" w:cs="Arial"/>
          <w:i/>
          <w:iCs/>
          <w:szCs w:val="16"/>
        </w:rPr>
        <w:t>Enrolled in higher education</w:t>
      </w:r>
      <w:r w:rsidRPr="00781112">
        <w:rPr>
          <w:rFonts w:eastAsia="Times New Roman" w:cs="Arial"/>
          <w:szCs w:val="16"/>
        </w:rPr>
        <w:t> as used in measures A, B, and C means youth have been enrolled on a full- or part-time basis in a community college (</w:t>
      </w:r>
      <w:r w:rsidR="00DB1150" w:rsidRPr="00781112">
        <w:rPr>
          <w:rFonts w:eastAsia="Times New Roman" w:cs="Arial"/>
          <w:szCs w:val="16"/>
        </w:rPr>
        <w:t>two-year</w:t>
      </w:r>
      <w:r w:rsidRPr="00781112">
        <w:rPr>
          <w:rFonts w:eastAsia="Times New Roman" w:cs="Arial"/>
          <w:szCs w:val="16"/>
        </w:rPr>
        <w:t xml:space="preserve"> program) or college/university (four or more year program) for at least one complete term, at any time in the year since leaving high school.</w:t>
      </w:r>
    </w:p>
    <w:p w14:paraId="4D24D49D" w14:textId="70217398" w:rsidR="00B67038" w:rsidRPr="00781112" w:rsidRDefault="003A4027" w:rsidP="003A4027">
      <w:pPr>
        <w:spacing w:before="0" w:after="210"/>
        <w:rPr>
          <w:rFonts w:eastAsia="Times New Roman" w:cs="Arial"/>
          <w:szCs w:val="16"/>
        </w:rPr>
      </w:pPr>
      <w:r w:rsidRPr="00781112">
        <w:rPr>
          <w:rFonts w:eastAsia="Times New Roman" w:cs="Arial"/>
          <w:i/>
          <w:iCs/>
          <w:szCs w:val="16"/>
        </w:rPr>
        <w:t xml:space="preserve">Competitive employment </w:t>
      </w:r>
      <w:r w:rsidRPr="00781112">
        <w:rPr>
          <w:rFonts w:eastAsia="Times New Roman" w:cs="Arial"/>
          <w:iCs/>
          <w:szCs w:val="16"/>
        </w:rPr>
        <w:t>as used in measures B and C: States have two options to report data under “competitive employment”:</w:t>
      </w:r>
    </w:p>
    <w:p w14:paraId="18FD65ED" w14:textId="77777777" w:rsidR="00B67038" w:rsidRPr="00781112" w:rsidRDefault="00B67038" w:rsidP="002D597B">
      <w:pPr>
        <w:spacing w:before="0" w:after="210"/>
        <w:rPr>
          <w:rFonts w:eastAsia="Times New Roman" w:cs="Arial"/>
          <w:szCs w:val="16"/>
        </w:rPr>
      </w:pPr>
      <w:r w:rsidRPr="00781112">
        <w:rPr>
          <w:rFonts w:eastAsia="Times New Roman" w:cs="Arial"/>
          <w:szCs w:val="16"/>
        </w:rPr>
        <w:t>Option 1: Use the same definition as used to report in the FFY 2015 SPP/APR, i.e., competitive employment means that youth have worked for pay at or above the minimum wage in a setting with others who are nondisabled for a period of 20 hours a week for at least 90 days at any time in the year since leaving high school. This includes military employment.</w:t>
      </w:r>
    </w:p>
    <w:p w14:paraId="4C3BF53C" w14:textId="4E5C90D1" w:rsidR="00B67038" w:rsidRPr="00781112" w:rsidRDefault="00B67038" w:rsidP="002D597B">
      <w:pPr>
        <w:spacing w:before="0"/>
        <w:rPr>
          <w:rFonts w:eastAsia="Times New Roman" w:cs="Arial"/>
          <w:szCs w:val="16"/>
        </w:rPr>
      </w:pPr>
      <w:r w:rsidRPr="00781112">
        <w:rPr>
          <w:rFonts w:eastAsia="Times New Roman" w:cs="Arial"/>
          <w:szCs w:val="16"/>
        </w:rPr>
        <w:t>Option 2: States report in alignment with the term “competitive integrated employment” and its definition, in section 7(5) of the Rehabilitation Act of 1973, as amended by Workforce Innovation and Opportunity Act (WIOA). For the purpose of defining the rate of compensation for students working on a “part-time basis” under this category, OSEP maintains the standard of 20 hours a week for at least 90 days at any time in the year since leaving high school. This definition applies to military employment.</w:t>
      </w:r>
    </w:p>
    <w:p w14:paraId="333BEB38" w14:textId="039F8C06" w:rsidR="00B67038" w:rsidRPr="00781112" w:rsidRDefault="00B67038" w:rsidP="003A4027">
      <w:pPr>
        <w:spacing w:before="0" w:after="0"/>
        <w:rPr>
          <w:rFonts w:eastAsia="Times New Roman" w:cs="Arial"/>
          <w:b/>
          <w:bCs/>
          <w:szCs w:val="16"/>
        </w:rPr>
      </w:pPr>
    </w:p>
    <w:p w14:paraId="1CBB96D1" w14:textId="18D4158D" w:rsidR="00B67038" w:rsidRPr="00781112" w:rsidRDefault="00B67038" w:rsidP="003A4027">
      <w:pPr>
        <w:spacing w:before="0" w:after="210"/>
        <w:rPr>
          <w:rFonts w:eastAsia="Times New Roman" w:cs="Arial"/>
          <w:szCs w:val="16"/>
        </w:rPr>
      </w:pPr>
      <w:r w:rsidRPr="00781112">
        <w:rPr>
          <w:rFonts w:eastAsia="Times New Roman" w:cs="Arial"/>
          <w:i/>
          <w:iCs/>
          <w:szCs w:val="16"/>
        </w:rPr>
        <w:t>Enrolled in other postsecondary education or training</w:t>
      </w:r>
      <w:r w:rsidRPr="00781112">
        <w:rPr>
          <w:rFonts w:eastAsia="Times New Roman" w:cs="Arial"/>
          <w:szCs w:val="16"/>
        </w:rPr>
        <w:t xml:space="preserve"> as used in measure C, means youth have been enrolled on a full- or part-time basis for at least 1 complete term at any time in the year since leaving high school in an education or training program (e.g., Job Corps, adult education, workforce development program, vocational technical school which is less than a </w:t>
      </w:r>
      <w:r w:rsidR="00DB1150" w:rsidRPr="00781112">
        <w:rPr>
          <w:rFonts w:eastAsia="Times New Roman" w:cs="Arial"/>
          <w:szCs w:val="16"/>
        </w:rPr>
        <w:t>two-year</w:t>
      </w:r>
      <w:r w:rsidRPr="00781112">
        <w:rPr>
          <w:rFonts w:eastAsia="Times New Roman" w:cs="Arial"/>
          <w:szCs w:val="16"/>
        </w:rPr>
        <w:t xml:space="preserve"> program).</w:t>
      </w:r>
    </w:p>
    <w:p w14:paraId="639590BD" w14:textId="70B345B4" w:rsidR="00B67038" w:rsidRPr="00781112" w:rsidRDefault="00B67038" w:rsidP="003A4027">
      <w:pPr>
        <w:spacing w:before="0"/>
        <w:rPr>
          <w:rFonts w:eastAsia="Times New Roman" w:cs="Arial"/>
          <w:szCs w:val="16"/>
        </w:rPr>
      </w:pPr>
      <w:r w:rsidRPr="00781112">
        <w:rPr>
          <w:rFonts w:eastAsia="Times New Roman" w:cs="Arial"/>
          <w:i/>
          <w:iCs/>
          <w:szCs w:val="16"/>
        </w:rPr>
        <w:t>Some other employment</w:t>
      </w:r>
      <w:r w:rsidRPr="00781112">
        <w:rPr>
          <w:rFonts w:eastAsia="Times New Roman" w:cs="Arial"/>
          <w:szCs w:val="16"/>
        </w:rPr>
        <w:t> as used in measure C means youth have worked for pay or been self-employed for a period of at least 90 days at any time in the year since leaving high school. This includes working in a family business (e.g., farm, store, fishing, ranching, catering services).</w:t>
      </w:r>
    </w:p>
    <w:p w14:paraId="6F699AAF" w14:textId="77777777" w:rsidR="00A45E9F" w:rsidRPr="00781112" w:rsidRDefault="00A45E9F" w:rsidP="003A4027">
      <w:pPr>
        <w:spacing w:before="0"/>
        <w:rPr>
          <w:rFonts w:eastAsia="Times New Roman" w:cs="Arial"/>
          <w:szCs w:val="16"/>
        </w:rPr>
      </w:pPr>
    </w:p>
    <w:p w14:paraId="7BDE8111" w14:textId="77777777" w:rsidR="00B67038" w:rsidRPr="00781112" w:rsidRDefault="00B67038" w:rsidP="003A4027">
      <w:pPr>
        <w:spacing w:before="0" w:after="0"/>
        <w:rPr>
          <w:rFonts w:eastAsia="Times New Roman" w:cs="Arial"/>
          <w:b/>
          <w:bCs/>
          <w:szCs w:val="16"/>
        </w:rPr>
      </w:pPr>
      <w:r w:rsidRPr="00781112">
        <w:rPr>
          <w:rFonts w:eastAsia="Times New Roman" w:cs="Arial"/>
          <w:b/>
          <w:bCs/>
          <w:szCs w:val="16"/>
        </w:rPr>
        <w:t>II. </w:t>
      </w:r>
      <w:r w:rsidRPr="00781112">
        <w:rPr>
          <w:rFonts w:eastAsia="Times New Roman" w:cs="Arial"/>
          <w:b/>
          <w:bCs/>
          <w:i/>
          <w:iCs/>
          <w:szCs w:val="16"/>
        </w:rPr>
        <w:t>Data Reporting</w:t>
      </w:r>
    </w:p>
    <w:p w14:paraId="46BA4A98" w14:textId="77777777" w:rsidR="003B692F" w:rsidRPr="00781112" w:rsidRDefault="003B692F" w:rsidP="003B692F">
      <w:pPr>
        <w:spacing w:before="0" w:after="0"/>
        <w:rPr>
          <w:rFonts w:eastAsia="Times New Roman" w:cs="Arial"/>
          <w:szCs w:val="16"/>
        </w:rPr>
      </w:pPr>
      <w:r w:rsidRPr="00781112">
        <w:rPr>
          <w:rFonts w:eastAsia="Times New Roman" w:cs="Arial"/>
          <w:szCs w:val="16"/>
        </w:rPr>
        <w:t>States must describe the metric used to determine representativeness (e.g., +/- 3% discrepancy in the proportion of responders compared to target group).</w:t>
      </w:r>
    </w:p>
    <w:p w14:paraId="73CC7B43" w14:textId="77777777" w:rsidR="003B692F" w:rsidRPr="00781112" w:rsidRDefault="003B692F" w:rsidP="003B692F">
      <w:pPr>
        <w:spacing w:before="0" w:after="0"/>
        <w:rPr>
          <w:rFonts w:eastAsia="Times New Roman" w:cs="Arial"/>
          <w:szCs w:val="16"/>
        </w:rPr>
      </w:pPr>
      <w:r w:rsidRPr="00781112">
        <w:rPr>
          <w:rFonts w:eastAsia="Times New Roman" w:cs="Arial"/>
          <w:szCs w:val="16"/>
        </w:rPr>
        <w:t>Provide the total number of targeted youth in the sample or census.</w:t>
      </w:r>
    </w:p>
    <w:p w14:paraId="220A6449" w14:textId="50017A86" w:rsidR="00B67038" w:rsidRPr="00781112" w:rsidRDefault="00B67038" w:rsidP="003A4027">
      <w:pPr>
        <w:spacing w:before="0" w:after="210"/>
        <w:rPr>
          <w:rFonts w:eastAsia="Times New Roman" w:cs="Arial"/>
          <w:szCs w:val="16"/>
        </w:rPr>
      </w:pPr>
      <w:r w:rsidRPr="00781112">
        <w:rPr>
          <w:rFonts w:eastAsia="Times New Roman" w:cs="Arial"/>
          <w:szCs w:val="16"/>
        </w:rPr>
        <w:t>Provide the actual numbers for each of the following mutually exclusive categories. The actual number of “leavers” who are:</w:t>
      </w:r>
    </w:p>
    <w:p w14:paraId="03B608C9" w14:textId="51223E67" w:rsidR="00B67038" w:rsidRPr="00781112" w:rsidRDefault="006C58FD" w:rsidP="006A01BD">
      <w:pPr>
        <w:spacing w:before="0" w:after="0"/>
        <w:ind w:left="432"/>
        <w:rPr>
          <w:rFonts w:eastAsia="Times New Roman" w:cs="Arial"/>
          <w:szCs w:val="16"/>
        </w:rPr>
      </w:pPr>
      <w:r w:rsidRPr="00781112">
        <w:rPr>
          <w:rFonts w:eastAsia="Times New Roman" w:cs="Arial"/>
          <w:szCs w:val="16"/>
        </w:rPr>
        <w:tab/>
        <w:t>1. Enrolled in higher education within one year of leaving high school;</w:t>
      </w:r>
    </w:p>
    <w:p w14:paraId="797BA656" w14:textId="599F8145" w:rsidR="00B67038" w:rsidRPr="00781112" w:rsidRDefault="006C58FD" w:rsidP="006A01BD">
      <w:pPr>
        <w:spacing w:before="0" w:after="0"/>
        <w:ind w:left="432"/>
        <w:rPr>
          <w:rFonts w:eastAsia="Times New Roman" w:cs="Arial"/>
          <w:szCs w:val="16"/>
        </w:rPr>
      </w:pPr>
      <w:r w:rsidRPr="00781112">
        <w:rPr>
          <w:rFonts w:eastAsia="Times New Roman" w:cs="Arial"/>
          <w:szCs w:val="16"/>
        </w:rPr>
        <w:tab/>
        <w:t>2. Competitively employed within one year of leaving high school (but not enrolled in higher education);</w:t>
      </w:r>
    </w:p>
    <w:p w14:paraId="17A92E9A" w14:textId="38C95AA9" w:rsidR="00B67038" w:rsidRPr="00781112" w:rsidRDefault="006C58FD" w:rsidP="00856B0E">
      <w:pPr>
        <w:spacing w:before="0" w:after="0"/>
        <w:ind w:left="720"/>
        <w:rPr>
          <w:rFonts w:eastAsia="Times New Roman" w:cs="Arial"/>
          <w:szCs w:val="16"/>
        </w:rPr>
      </w:pPr>
      <w:r w:rsidRPr="00781112">
        <w:rPr>
          <w:rFonts w:eastAsia="Times New Roman" w:cs="Arial"/>
          <w:szCs w:val="16"/>
        </w:rPr>
        <w:t>3. Enrolled in some other postsecondary education or training program within one year of leaving high school (but not enrolled in higher education or competitively employed);</w:t>
      </w:r>
    </w:p>
    <w:p w14:paraId="506D7913" w14:textId="6D55FB4B" w:rsidR="00B67038" w:rsidRPr="00781112" w:rsidRDefault="006C58FD" w:rsidP="00856B0E">
      <w:pPr>
        <w:spacing w:before="0" w:after="0"/>
        <w:ind w:left="720"/>
        <w:rPr>
          <w:rFonts w:eastAsia="Times New Roman" w:cs="Arial"/>
          <w:szCs w:val="16"/>
        </w:rPr>
      </w:pPr>
      <w:r w:rsidRPr="00781112">
        <w:rPr>
          <w:rFonts w:eastAsia="Times New Roman" w:cs="Arial"/>
          <w:szCs w:val="16"/>
        </w:rPr>
        <w:t>4. In some other employment within one year of leaving high school (but not enrolled in higher education, some other postsecondary education or training program, or competitively employed).</w:t>
      </w:r>
    </w:p>
    <w:p w14:paraId="32C672D4" w14:textId="77777777" w:rsidR="006C58FD" w:rsidRPr="00781112" w:rsidRDefault="006C58FD" w:rsidP="00B67038">
      <w:pPr>
        <w:spacing w:before="0"/>
        <w:ind w:left="432"/>
        <w:rPr>
          <w:rFonts w:eastAsia="Times New Roman" w:cs="Arial"/>
          <w:szCs w:val="16"/>
        </w:rPr>
      </w:pPr>
    </w:p>
    <w:p w14:paraId="12CAB169" w14:textId="34F2A4F0" w:rsidR="00B67038" w:rsidRPr="00781112" w:rsidRDefault="00B67038" w:rsidP="00B67038">
      <w:pPr>
        <w:spacing w:before="0"/>
        <w:ind w:left="432"/>
        <w:rPr>
          <w:rFonts w:eastAsia="Times New Roman" w:cs="Arial"/>
          <w:color w:val="000000" w:themeColor="text1"/>
          <w:szCs w:val="16"/>
        </w:rPr>
      </w:pPr>
      <w:r w:rsidRPr="00781112">
        <w:rPr>
          <w:rFonts w:eastAsia="Times New Roman" w:cs="Arial"/>
          <w:szCs w:val="16"/>
        </w:rPr>
        <w:t xml:space="preserve">“Leavers” should only be counted in one of the above categories, and the categories are organized hierarchically. So, for example, “leavers” who are enrolled in full- or part-time higher education within one year of leaving high school should only be reported in category 1, even if they also </w:t>
      </w:r>
      <w:r w:rsidRPr="00781112">
        <w:rPr>
          <w:rFonts w:eastAsia="Times New Roman" w:cs="Arial"/>
          <w:szCs w:val="16"/>
        </w:rPr>
        <w:lastRenderedPageBreak/>
        <w:t>happen to be employed. Likewise, “leavers” who are not enrolled in either part- or full-time higher education</w:t>
      </w:r>
      <w:r w:rsidRPr="00781112">
        <w:rPr>
          <w:rFonts w:eastAsia="Times New Roman" w:cs="Arial"/>
          <w:color w:val="000000" w:themeColor="text1"/>
          <w:szCs w:val="16"/>
        </w:rPr>
        <w:t>, but who are competitively employed, should only be reported under category 2, even if they happen to be enrolled in some other postsecondary education or training program.</w:t>
      </w:r>
    </w:p>
    <w:p w14:paraId="4A3EA80C" w14:textId="451D34D2" w:rsidR="00A45E9F" w:rsidRPr="00781112" w:rsidRDefault="00A45E9F" w:rsidP="00A45E9F">
      <w:pPr>
        <w:spacing w:before="0"/>
        <w:rPr>
          <w:rFonts w:eastAsia="Times New Roman" w:cs="Arial"/>
          <w:szCs w:val="16"/>
        </w:rPr>
      </w:pPr>
      <w:r w:rsidRPr="00781112">
        <w:rPr>
          <w:rFonts w:eastAsia="Times New Roman" w:cs="Arial"/>
          <w:szCs w:val="16"/>
        </w:rPr>
        <w:t>States must compare the response rate for the reporting year to the response rate for the previous year (e.g., in the FFY 2022 SPP/APR, compare the FFY 2022 response rate to the FFY 2021 response rate), and describe strategies that will be implemented which are expected to increase the response rate year over year, particularly for those groups that are underrepresented.</w:t>
      </w:r>
    </w:p>
    <w:p w14:paraId="5BAE56A4" w14:textId="0E46D158" w:rsidR="00A45E9F" w:rsidRPr="00781112" w:rsidRDefault="00A45E9F" w:rsidP="00A45E9F">
      <w:pPr>
        <w:spacing w:before="0"/>
        <w:rPr>
          <w:rFonts w:eastAsia="Times New Roman" w:cs="Arial"/>
          <w:szCs w:val="16"/>
        </w:rPr>
      </w:pPr>
      <w:r w:rsidRPr="00781112">
        <w:rPr>
          <w:rFonts w:eastAsia="Times New Roman" w:cs="Arial"/>
          <w:szCs w:val="16"/>
        </w:rPr>
        <w:t>The State must also analyze the response rate to identify potential nonresponse bias and take steps to reduce any identified bias and promote response from a broad cross section of youth who are no longer in secondary school and had IEPs in effect at the time they left school.</w:t>
      </w:r>
    </w:p>
    <w:p w14:paraId="1B5E439E" w14:textId="77777777" w:rsidR="00A45E9F" w:rsidRPr="00781112" w:rsidRDefault="00A45E9F" w:rsidP="00360DD6">
      <w:pPr>
        <w:spacing w:before="0"/>
        <w:rPr>
          <w:rFonts w:eastAsia="Times New Roman" w:cs="Arial"/>
          <w:szCs w:val="16"/>
        </w:rPr>
      </w:pPr>
    </w:p>
    <w:p w14:paraId="0504C504" w14:textId="1B4B7E8B" w:rsidR="00B67038" w:rsidRPr="00781112" w:rsidRDefault="00B67038" w:rsidP="003A4027">
      <w:pPr>
        <w:spacing w:before="0" w:after="0"/>
        <w:rPr>
          <w:rFonts w:eastAsia="Times New Roman" w:cs="Arial"/>
          <w:b/>
          <w:bCs/>
          <w:color w:val="000000" w:themeColor="text1"/>
          <w:szCs w:val="16"/>
        </w:rPr>
      </w:pPr>
      <w:r w:rsidRPr="00781112">
        <w:rPr>
          <w:rFonts w:eastAsia="Times New Roman" w:cs="Arial"/>
          <w:b/>
          <w:bCs/>
          <w:color w:val="000000" w:themeColor="text1"/>
          <w:szCs w:val="16"/>
        </w:rPr>
        <w:t>III. </w:t>
      </w:r>
      <w:r w:rsidRPr="00781112">
        <w:rPr>
          <w:rFonts w:eastAsia="Times New Roman" w:cs="Arial"/>
          <w:b/>
          <w:bCs/>
          <w:i/>
          <w:iCs/>
          <w:color w:val="000000" w:themeColor="text1"/>
          <w:szCs w:val="16"/>
        </w:rPr>
        <w:t xml:space="preserve">Reporting </w:t>
      </w:r>
      <w:r w:rsidR="00DB1150" w:rsidRPr="00781112">
        <w:rPr>
          <w:rFonts w:eastAsia="Times New Roman" w:cs="Arial"/>
          <w:b/>
          <w:bCs/>
          <w:i/>
          <w:iCs/>
          <w:color w:val="000000" w:themeColor="text1"/>
          <w:szCs w:val="16"/>
        </w:rPr>
        <w:t>on</w:t>
      </w:r>
      <w:r w:rsidRPr="00781112">
        <w:rPr>
          <w:rFonts w:eastAsia="Times New Roman" w:cs="Arial"/>
          <w:b/>
          <w:bCs/>
          <w:i/>
          <w:iCs/>
          <w:color w:val="000000" w:themeColor="text1"/>
          <w:szCs w:val="16"/>
        </w:rPr>
        <w:t xml:space="preserve"> the Measures/Indicators</w:t>
      </w:r>
    </w:p>
    <w:p w14:paraId="2306E2F3" w14:textId="77777777" w:rsidR="00B67038" w:rsidRPr="00781112"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Targets must be established for measures A, B, and C.</w:t>
      </w:r>
    </w:p>
    <w:p w14:paraId="5A3D5C77" w14:textId="77777777" w:rsidR="00B67038" w:rsidRPr="00781112"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 xml:space="preserve">Measure A: For purposes of reporting on the measures/indicators, please note that any youth enrolled in an institution of higher education (that meets any definition of this term in the Higher Education Act (HEA)) within one year of leaving high school </w:t>
      </w:r>
      <w:r w:rsidRPr="00BA3DBE">
        <w:rPr>
          <w:rFonts w:eastAsia="Times New Roman" w:cs="Arial"/>
          <w:i/>
          <w:iCs/>
          <w:color w:val="000000" w:themeColor="text1"/>
          <w:szCs w:val="16"/>
        </w:rPr>
        <w:t>must</w:t>
      </w:r>
      <w:r w:rsidRPr="00781112">
        <w:rPr>
          <w:rFonts w:eastAsia="Times New Roman" w:cs="Arial"/>
          <w:color w:val="000000" w:themeColor="text1"/>
          <w:szCs w:val="16"/>
        </w:rPr>
        <w:t xml:space="preserve"> be reported under measure A. This could include youth who also happen to be competitively employed, or in some other training program; however, the key outcome we are interested in here is enrollment in higher education.</w:t>
      </w:r>
    </w:p>
    <w:p w14:paraId="7F113969" w14:textId="77777777" w:rsidR="00B67038" w:rsidRPr="00781112"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Measure B: All youth reported under measure A should also be reported under measure B, in addition to all youth that obtain competitive employment within one year of leaving high school.</w:t>
      </w:r>
    </w:p>
    <w:p w14:paraId="52D47ED5" w14:textId="76A8EB3A" w:rsidR="00B67038"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Measure C: All youth reported under measures A and B should also be reported under measure C, in addition to youth that are enrolled in some other postsecondary education or training program, or in some other employment.</w:t>
      </w:r>
    </w:p>
    <w:p w14:paraId="738C97A7" w14:textId="28860F3E" w:rsidR="004D1797" w:rsidRDefault="004D1797" w:rsidP="003A4027">
      <w:pPr>
        <w:spacing w:before="0" w:after="210"/>
      </w:pPr>
      <w:bookmarkStart w:id="101" w:name="_Hlk116647998"/>
      <w:r>
        <w:t>I</w:t>
      </w:r>
      <w:r w:rsidR="00DF5951">
        <w:t>nclude the State’s analysis of the extent to which the response data are representative of the demographics of youth who are no longer in secondary school and had IEPs in effect at the time they left school. States must include race/ethnicity in their analysis. In addition, the State’s analysis must include at least one of the following demographics:</w:t>
      </w:r>
      <w:r w:rsidR="00F24C95">
        <w:t xml:space="preserve"> disability category, gender, geographic location, and/or another demographic category approved through the stakeholder input process. </w:t>
      </w:r>
    </w:p>
    <w:p w14:paraId="5D1C94BB" w14:textId="13CB2664" w:rsidR="00DF5951" w:rsidRPr="006D5DC4" w:rsidRDefault="00F24C95" w:rsidP="003A4027">
      <w:pPr>
        <w:spacing w:before="0" w:after="210"/>
      </w:pPr>
      <w:r>
        <w:t>If the analysis shows that the response data are not representative of the demographics of youth who are no longer in secondary school and had IEPs in effect at the time they left school, describe the strategies that the State will use to ensure that in the future the response data are representative of those demographics. In identifying such strategies, the State should consider factors such as how the State collected the data.</w:t>
      </w:r>
    </w:p>
    <w:bookmarkEnd w:id="101"/>
    <w:p w14:paraId="3FE9961A" w14:textId="1EDBA086" w:rsidR="000301BA" w:rsidRPr="00781112" w:rsidRDefault="00172058" w:rsidP="00123D76">
      <w:pPr>
        <w:pStyle w:val="Heading2"/>
      </w:pPr>
      <w:r w:rsidRPr="00781112">
        <w:t>14 - Indicator Data</w:t>
      </w:r>
    </w:p>
    <w:bookmarkEnd w:id="100"/>
    <w:p w14:paraId="373EDCC8" w14:textId="77777777" w:rsidR="005F442C" w:rsidRPr="00781112" w:rsidRDefault="005F442C" w:rsidP="004369B2">
      <w:pPr>
        <w:rPr>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B14HISTDATA"/>
      </w:tblPr>
      <w:tblGrid>
        <w:gridCol w:w="594"/>
        <w:gridCol w:w="1256"/>
        <w:gridCol w:w="485"/>
        <w:gridCol w:w="1691"/>
        <w:gridCol w:w="1691"/>
        <w:gridCol w:w="1691"/>
        <w:gridCol w:w="1691"/>
        <w:gridCol w:w="1691"/>
      </w:tblGrid>
      <w:tr w:rsidR="005C29F8" w:rsidRPr="00781112" w14:paraId="23017209" w14:textId="77777777" w:rsidTr="00C37CAE">
        <w:trPr>
          <w:trHeight w:val="350"/>
        </w:trPr>
        <w:tc>
          <w:tcPr>
            <w:tcW w:w="190" w:type="pct"/>
            <w:tcBorders>
              <w:top w:val="single" w:sz="4" w:space="0" w:color="auto"/>
              <w:left w:val="single" w:sz="4" w:space="0" w:color="auto"/>
              <w:bottom w:val="single" w:sz="4" w:space="0" w:color="auto"/>
              <w:right w:val="single" w:sz="4" w:space="0" w:color="auto"/>
            </w:tcBorders>
            <w:shd w:val="clear" w:color="auto" w:fill="auto"/>
          </w:tcPr>
          <w:p w14:paraId="01A8BBA7" w14:textId="09A1D650" w:rsidR="005F442C" w:rsidRPr="00781112" w:rsidRDefault="004E1996" w:rsidP="008E31C4">
            <w:pPr>
              <w:spacing w:line="276" w:lineRule="auto"/>
              <w:jc w:val="center"/>
              <w:rPr>
                <w:rFonts w:cs="Arial"/>
                <w:b/>
                <w:color w:val="000000" w:themeColor="text1"/>
                <w:szCs w:val="16"/>
              </w:rPr>
            </w:pPr>
            <w:r w:rsidRPr="00781112">
              <w:rPr>
                <w:rFonts w:cs="Arial"/>
                <w:b/>
                <w:color w:val="000000" w:themeColor="text1"/>
                <w:szCs w:val="16"/>
              </w:rPr>
              <w:t>Measure</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4133A4B9" w14:textId="6C60B813" w:rsidR="005F442C" w:rsidRPr="00781112" w:rsidRDefault="005F442C" w:rsidP="008E31C4">
            <w:pPr>
              <w:spacing w:line="276" w:lineRule="auto"/>
              <w:jc w:val="center"/>
              <w:rPr>
                <w:rFonts w:cs="Arial"/>
                <w:b/>
                <w:color w:val="000000" w:themeColor="text1"/>
                <w:szCs w:val="16"/>
              </w:rPr>
            </w:pPr>
            <w:r w:rsidRPr="00781112">
              <w:rPr>
                <w:rFonts w:cs="Arial"/>
                <w:b/>
                <w:color w:val="000000" w:themeColor="text1"/>
                <w:szCs w:val="16"/>
              </w:rPr>
              <w:t xml:space="preserve">Baseline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54329BE" w14:textId="77777777" w:rsidR="005F442C" w:rsidRPr="00781112" w:rsidRDefault="005F442C" w:rsidP="008E31C4">
            <w:pPr>
              <w:spacing w:line="276" w:lineRule="auto"/>
              <w:jc w:val="center"/>
              <w:rPr>
                <w:rFonts w:cs="Arial"/>
                <w:b/>
                <w:color w:val="000000" w:themeColor="text1"/>
                <w:szCs w:val="16"/>
              </w:rPr>
            </w:pPr>
            <w:r w:rsidRPr="00781112">
              <w:rPr>
                <w:rFonts w:cs="Arial"/>
                <w:b/>
                <w:color w:val="000000" w:themeColor="text1"/>
                <w:szCs w:val="16"/>
              </w:rPr>
              <w:t>FFY</w:t>
            </w:r>
          </w:p>
        </w:tc>
        <w:tc>
          <w:tcPr>
            <w:tcW w:w="716" w:type="pct"/>
            <w:tcBorders>
              <w:top w:val="single" w:sz="4" w:space="0" w:color="auto"/>
              <w:left w:val="single" w:sz="4" w:space="0" w:color="auto"/>
              <w:bottom w:val="single" w:sz="4" w:space="0" w:color="auto"/>
              <w:right w:val="single" w:sz="4" w:space="0" w:color="auto"/>
            </w:tcBorders>
            <w:shd w:val="clear" w:color="auto" w:fill="auto"/>
            <w:hideMark/>
          </w:tcPr>
          <w:p w14:paraId="2CA54FD7" w14:textId="7E2CC703"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2017</w:t>
            </w:r>
          </w:p>
        </w:tc>
        <w:tc>
          <w:tcPr>
            <w:tcW w:w="716" w:type="pct"/>
            <w:tcBorders>
              <w:top w:val="single" w:sz="4" w:space="0" w:color="auto"/>
              <w:left w:val="single" w:sz="4" w:space="0" w:color="auto"/>
              <w:bottom w:val="single" w:sz="4" w:space="0" w:color="auto"/>
              <w:right w:val="single" w:sz="4" w:space="0" w:color="auto"/>
            </w:tcBorders>
            <w:shd w:val="clear" w:color="auto" w:fill="auto"/>
            <w:hideMark/>
          </w:tcPr>
          <w:p w14:paraId="5CF4C1A5" w14:textId="184560DA"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2018</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34B5CF47" w14:textId="3E5885FF"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2019</w:t>
            </w:r>
          </w:p>
        </w:tc>
        <w:tc>
          <w:tcPr>
            <w:tcW w:w="716" w:type="pct"/>
            <w:tcBorders>
              <w:top w:val="single" w:sz="4" w:space="0" w:color="auto"/>
              <w:left w:val="single" w:sz="4" w:space="0" w:color="auto"/>
              <w:bottom w:val="single" w:sz="4" w:space="0" w:color="auto"/>
              <w:right w:val="single" w:sz="4" w:space="0" w:color="auto"/>
            </w:tcBorders>
            <w:shd w:val="clear" w:color="auto" w:fill="auto"/>
            <w:hideMark/>
          </w:tcPr>
          <w:p w14:paraId="3DDDA5B1" w14:textId="0E359AEC"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2020</w:t>
            </w:r>
          </w:p>
        </w:tc>
        <w:tc>
          <w:tcPr>
            <w:tcW w:w="715" w:type="pct"/>
            <w:tcBorders>
              <w:top w:val="single" w:sz="4" w:space="0" w:color="auto"/>
              <w:left w:val="single" w:sz="4" w:space="0" w:color="auto"/>
              <w:bottom w:val="single" w:sz="4" w:space="0" w:color="auto"/>
              <w:right w:val="single" w:sz="4" w:space="0" w:color="auto"/>
            </w:tcBorders>
            <w:shd w:val="clear" w:color="auto" w:fill="auto"/>
            <w:hideMark/>
          </w:tcPr>
          <w:p w14:paraId="7B2A5B67" w14:textId="00166B91"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2021</w:t>
            </w:r>
          </w:p>
        </w:tc>
      </w:tr>
      <w:tr w:rsidR="005C29F8" w:rsidRPr="00781112" w14:paraId="083B463F" w14:textId="77777777" w:rsidTr="00C37CAE">
        <w:trPr>
          <w:trHeight w:val="70"/>
        </w:trPr>
        <w:tc>
          <w:tcPr>
            <w:tcW w:w="190" w:type="pct"/>
            <w:tcBorders>
              <w:top w:val="single" w:sz="4" w:space="0" w:color="auto"/>
              <w:left w:val="single" w:sz="4" w:space="0" w:color="auto"/>
              <w:right w:val="single" w:sz="4" w:space="0" w:color="auto"/>
            </w:tcBorders>
            <w:shd w:val="clear" w:color="auto" w:fill="auto"/>
            <w:vAlign w:val="center"/>
          </w:tcPr>
          <w:p w14:paraId="0980813D" w14:textId="77777777" w:rsidR="005F442C" w:rsidRPr="00781112" w:rsidRDefault="005F442C">
            <w:pPr>
              <w:spacing w:line="276" w:lineRule="auto"/>
              <w:jc w:val="center"/>
              <w:rPr>
                <w:rFonts w:cs="Arial"/>
                <w:color w:val="000000" w:themeColor="text1"/>
                <w:szCs w:val="16"/>
              </w:rPr>
            </w:pPr>
            <w:r w:rsidRPr="00781112">
              <w:rPr>
                <w:rFonts w:cs="Arial"/>
                <w:color w:val="000000" w:themeColor="text1"/>
                <w:szCs w:val="16"/>
              </w:rPr>
              <w:t>A</w:t>
            </w:r>
          </w:p>
        </w:tc>
        <w:tc>
          <w:tcPr>
            <w:tcW w:w="815" w:type="pct"/>
            <w:tcBorders>
              <w:top w:val="single" w:sz="4" w:space="0" w:color="auto"/>
              <w:left w:val="single" w:sz="4" w:space="0" w:color="auto"/>
              <w:right w:val="single" w:sz="4" w:space="0" w:color="auto"/>
            </w:tcBorders>
            <w:shd w:val="clear" w:color="auto" w:fill="auto"/>
          </w:tcPr>
          <w:p w14:paraId="21EABCF5" w14:textId="1AD6B491" w:rsidR="005F442C" w:rsidRPr="00781112" w:rsidRDefault="002B7490" w:rsidP="00A018D4">
            <w:pPr>
              <w:jc w:val="center"/>
              <w:rPr>
                <w:rFonts w:cs="Arial"/>
                <w:color w:val="000000" w:themeColor="text1"/>
                <w:szCs w:val="16"/>
              </w:rPr>
            </w:pPr>
            <w:r w:rsidRPr="00781112">
              <w:rPr>
                <w:rFonts w:cs="Arial"/>
                <w:color w:val="000000" w:themeColor="text1"/>
                <w:szCs w:val="16"/>
              </w:rPr>
              <w:t>2020</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FB488" w14:textId="55829AC6" w:rsidR="005F442C" w:rsidRPr="00781112" w:rsidRDefault="005F442C" w:rsidP="00BA3DBE">
            <w:pPr>
              <w:spacing w:line="276" w:lineRule="auto"/>
              <w:jc w:val="center"/>
              <w:rPr>
                <w:rFonts w:cs="Arial"/>
                <w:color w:val="000000" w:themeColor="text1"/>
                <w:szCs w:val="16"/>
              </w:rPr>
            </w:pPr>
            <w:r w:rsidRPr="00781112">
              <w:rPr>
                <w:rFonts w:cs="Arial"/>
                <w:color w:val="000000" w:themeColor="text1"/>
                <w:szCs w:val="16"/>
              </w:rPr>
              <w:t>Target &gt;=</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039DA1B9" w14:textId="441A6795" w:rsidR="005F442C" w:rsidRPr="00781112" w:rsidRDefault="002B7490" w:rsidP="00A018D4">
            <w:pPr>
              <w:jc w:val="center"/>
              <w:rPr>
                <w:rFonts w:cs="Arial"/>
                <w:color w:val="000000" w:themeColor="text1"/>
                <w:szCs w:val="16"/>
              </w:rPr>
            </w:pPr>
            <w:r w:rsidRPr="00781112">
              <w:rPr>
                <w:rFonts w:cs="Arial"/>
                <w:color w:val="000000" w:themeColor="text1"/>
                <w:szCs w:val="16"/>
              </w:rPr>
              <w:t>49.00%</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5151E14A" w14:textId="4DA0C6F7" w:rsidR="005F442C" w:rsidRPr="00781112" w:rsidRDefault="002B7490" w:rsidP="00A018D4">
            <w:pPr>
              <w:jc w:val="center"/>
              <w:rPr>
                <w:rFonts w:cs="Arial"/>
                <w:color w:val="000000" w:themeColor="text1"/>
                <w:szCs w:val="16"/>
              </w:rPr>
            </w:pPr>
            <w:r w:rsidRPr="00781112">
              <w:rPr>
                <w:rFonts w:cs="Arial"/>
                <w:color w:val="000000" w:themeColor="text1"/>
                <w:szCs w:val="16"/>
              </w:rPr>
              <w:t>49.00%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4D3CBEBB" w14:textId="1729C879" w:rsidR="005F442C" w:rsidRPr="00781112" w:rsidRDefault="002B7490" w:rsidP="00A018D4">
            <w:pPr>
              <w:jc w:val="center"/>
              <w:rPr>
                <w:rFonts w:cs="Arial"/>
                <w:color w:val="000000" w:themeColor="text1"/>
                <w:szCs w:val="16"/>
              </w:rPr>
            </w:pPr>
            <w:r w:rsidRPr="00781112">
              <w:rPr>
                <w:rFonts w:cs="Arial"/>
                <w:color w:val="000000" w:themeColor="text1"/>
                <w:szCs w:val="16"/>
              </w:rPr>
              <w:t>49.00%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2E6DE686" w14:textId="15B31522" w:rsidR="005F442C" w:rsidRPr="00781112" w:rsidRDefault="002B7490" w:rsidP="00A018D4">
            <w:pPr>
              <w:jc w:val="center"/>
              <w:rPr>
                <w:rFonts w:cs="Arial"/>
                <w:color w:val="000000" w:themeColor="text1"/>
                <w:szCs w:val="16"/>
              </w:rPr>
            </w:pPr>
            <w:r w:rsidRPr="00781112">
              <w:rPr>
                <w:rFonts w:cs="Arial"/>
                <w:color w:val="000000" w:themeColor="text1"/>
                <w:szCs w:val="16"/>
              </w:rPr>
              <w:t>30.28%</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49316D4F" w14:textId="0095C778" w:rsidR="005F442C" w:rsidRPr="00781112" w:rsidRDefault="002B7490" w:rsidP="00A018D4">
            <w:pPr>
              <w:jc w:val="center"/>
              <w:rPr>
                <w:rFonts w:cs="Arial"/>
                <w:color w:val="000000" w:themeColor="text1"/>
                <w:szCs w:val="16"/>
              </w:rPr>
            </w:pPr>
            <w:r w:rsidRPr="00781112">
              <w:rPr>
                <w:rFonts w:cs="Arial"/>
                <w:color w:val="000000" w:themeColor="text1"/>
                <w:szCs w:val="16"/>
              </w:rPr>
              <w:t>30.78%</w:t>
            </w:r>
          </w:p>
        </w:tc>
      </w:tr>
      <w:tr w:rsidR="005C29F8" w:rsidRPr="00781112" w14:paraId="4DFAA88C" w14:textId="77777777" w:rsidTr="00C37CAE">
        <w:trPr>
          <w:trHeight w:val="85"/>
        </w:trPr>
        <w:tc>
          <w:tcPr>
            <w:tcW w:w="190" w:type="pct"/>
            <w:tcBorders>
              <w:left w:val="single" w:sz="4" w:space="0" w:color="auto"/>
              <w:right w:val="single" w:sz="4" w:space="0" w:color="auto"/>
            </w:tcBorders>
            <w:shd w:val="clear" w:color="auto" w:fill="auto"/>
          </w:tcPr>
          <w:p w14:paraId="65028A7E" w14:textId="6CD117ED" w:rsidR="005F442C" w:rsidRPr="00781112" w:rsidRDefault="00676431" w:rsidP="00A018D4">
            <w:pPr>
              <w:spacing w:line="276" w:lineRule="auto"/>
              <w:jc w:val="center"/>
              <w:rPr>
                <w:rFonts w:cs="Arial"/>
                <w:color w:val="000000" w:themeColor="text1"/>
                <w:szCs w:val="16"/>
              </w:rPr>
            </w:pPr>
            <w:r w:rsidRPr="00781112">
              <w:rPr>
                <w:rFonts w:cs="Arial"/>
                <w:color w:val="000000" w:themeColor="text1"/>
                <w:szCs w:val="16"/>
              </w:rPr>
              <w:t>A</w:t>
            </w:r>
          </w:p>
        </w:tc>
        <w:tc>
          <w:tcPr>
            <w:tcW w:w="815" w:type="pct"/>
            <w:tcBorders>
              <w:left w:val="single" w:sz="4" w:space="0" w:color="auto"/>
              <w:right w:val="single" w:sz="4" w:space="0" w:color="auto"/>
            </w:tcBorders>
            <w:shd w:val="clear" w:color="auto" w:fill="auto"/>
          </w:tcPr>
          <w:p w14:paraId="2D87F90A" w14:textId="5AE78B73" w:rsidR="005F442C" w:rsidRPr="00781112" w:rsidRDefault="002B7490" w:rsidP="00A018D4">
            <w:pPr>
              <w:jc w:val="center"/>
              <w:rPr>
                <w:rFonts w:cs="Arial"/>
                <w:color w:val="000000" w:themeColor="text1"/>
                <w:szCs w:val="16"/>
              </w:rPr>
            </w:pPr>
            <w:r w:rsidRPr="00781112">
              <w:rPr>
                <w:rFonts w:cs="Arial"/>
                <w:color w:val="000000" w:themeColor="text1"/>
                <w:szCs w:val="16"/>
              </w:rPr>
              <w:t>30.28%</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69B25F" w14:textId="77777777" w:rsidR="005F442C" w:rsidRPr="00781112" w:rsidRDefault="005F442C" w:rsidP="00BA3DBE">
            <w:pPr>
              <w:spacing w:line="276" w:lineRule="auto"/>
              <w:jc w:val="center"/>
              <w:rPr>
                <w:rFonts w:cs="Arial"/>
                <w:color w:val="000000" w:themeColor="text1"/>
                <w:szCs w:val="16"/>
              </w:rPr>
            </w:pPr>
            <w:r w:rsidRPr="00781112">
              <w:rPr>
                <w:rFonts w:cs="Arial"/>
                <w:color w:val="000000" w:themeColor="text1"/>
                <w:szCs w:val="16"/>
              </w:rPr>
              <w:t>Data</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75ECDA20" w14:textId="748C8CB2" w:rsidR="005F442C" w:rsidRPr="00781112" w:rsidRDefault="002B7490" w:rsidP="00A018D4">
            <w:pPr>
              <w:jc w:val="center"/>
              <w:rPr>
                <w:rFonts w:cs="Arial"/>
                <w:color w:val="000000" w:themeColor="text1"/>
                <w:szCs w:val="16"/>
              </w:rPr>
            </w:pPr>
            <w:r w:rsidRPr="00781112">
              <w:rPr>
                <w:rFonts w:cs="Arial"/>
                <w:color w:val="000000" w:themeColor="text1"/>
                <w:szCs w:val="16"/>
              </w:rPr>
              <w:t>40.01%</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1A78E1E2" w14:textId="126BA5B7" w:rsidR="005F442C" w:rsidRPr="00781112" w:rsidRDefault="002B7490" w:rsidP="00A018D4">
            <w:pPr>
              <w:jc w:val="center"/>
              <w:rPr>
                <w:rFonts w:cs="Arial"/>
                <w:color w:val="000000" w:themeColor="text1"/>
                <w:szCs w:val="16"/>
              </w:rPr>
            </w:pPr>
            <w:r w:rsidRPr="00781112">
              <w:rPr>
                <w:rFonts w:cs="Arial"/>
                <w:color w:val="000000" w:themeColor="text1"/>
                <w:szCs w:val="16"/>
              </w:rPr>
              <w:t>36.80%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2A7E5014" w14:textId="76B4842F" w:rsidR="005F442C" w:rsidRPr="00781112" w:rsidRDefault="002B7490" w:rsidP="00A018D4">
            <w:pPr>
              <w:jc w:val="center"/>
              <w:rPr>
                <w:rFonts w:cs="Arial"/>
                <w:color w:val="000000" w:themeColor="text1"/>
                <w:szCs w:val="16"/>
              </w:rPr>
            </w:pPr>
            <w:r w:rsidRPr="00781112">
              <w:rPr>
                <w:rFonts w:cs="Arial"/>
                <w:color w:val="000000" w:themeColor="text1"/>
                <w:szCs w:val="16"/>
              </w:rPr>
              <w:t>35.61%</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4AD2D2DA" w14:textId="5D991656" w:rsidR="005F442C" w:rsidRPr="00781112" w:rsidRDefault="002B7490" w:rsidP="00A018D4">
            <w:pPr>
              <w:jc w:val="center"/>
              <w:rPr>
                <w:rFonts w:cs="Arial"/>
                <w:color w:val="000000" w:themeColor="text1"/>
                <w:szCs w:val="16"/>
              </w:rPr>
            </w:pPr>
            <w:r w:rsidRPr="00781112">
              <w:rPr>
                <w:rFonts w:cs="Arial"/>
                <w:color w:val="000000" w:themeColor="text1"/>
                <w:szCs w:val="16"/>
              </w:rPr>
              <w:t>30.28%</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14EFC8E5" w14:textId="36855126" w:rsidR="005F442C" w:rsidRPr="00781112" w:rsidRDefault="002B7490" w:rsidP="00A018D4">
            <w:pPr>
              <w:jc w:val="center"/>
              <w:rPr>
                <w:rFonts w:cs="Arial"/>
                <w:color w:val="000000" w:themeColor="text1"/>
                <w:szCs w:val="16"/>
              </w:rPr>
            </w:pPr>
            <w:r w:rsidRPr="00781112">
              <w:rPr>
                <w:rFonts w:cs="Arial"/>
                <w:color w:val="000000" w:themeColor="text1"/>
                <w:szCs w:val="16"/>
              </w:rPr>
              <w:t>31.95%</w:t>
            </w:r>
          </w:p>
        </w:tc>
      </w:tr>
      <w:tr w:rsidR="005C29F8" w:rsidRPr="00781112" w14:paraId="626D1DE5" w14:textId="77777777" w:rsidTr="00C37CAE">
        <w:trPr>
          <w:trHeight w:val="357"/>
        </w:trPr>
        <w:tc>
          <w:tcPr>
            <w:tcW w:w="190" w:type="pct"/>
            <w:tcBorders>
              <w:top w:val="single" w:sz="4" w:space="0" w:color="auto"/>
              <w:left w:val="single" w:sz="4" w:space="0" w:color="auto"/>
              <w:right w:val="single" w:sz="4" w:space="0" w:color="auto"/>
            </w:tcBorders>
            <w:shd w:val="clear" w:color="auto" w:fill="auto"/>
            <w:vAlign w:val="center"/>
          </w:tcPr>
          <w:p w14:paraId="2420D4E8" w14:textId="77777777" w:rsidR="005F442C" w:rsidRPr="00781112" w:rsidRDefault="005F442C">
            <w:pPr>
              <w:spacing w:line="276" w:lineRule="auto"/>
              <w:jc w:val="center"/>
              <w:rPr>
                <w:rFonts w:cs="Arial"/>
                <w:color w:val="000000" w:themeColor="text1"/>
                <w:szCs w:val="16"/>
              </w:rPr>
            </w:pPr>
            <w:r w:rsidRPr="00781112">
              <w:rPr>
                <w:rFonts w:cs="Arial"/>
                <w:color w:val="000000" w:themeColor="text1"/>
                <w:szCs w:val="16"/>
              </w:rPr>
              <w:t>B</w:t>
            </w:r>
          </w:p>
        </w:tc>
        <w:tc>
          <w:tcPr>
            <w:tcW w:w="815" w:type="pct"/>
            <w:tcBorders>
              <w:top w:val="single" w:sz="4" w:space="0" w:color="auto"/>
              <w:left w:val="single" w:sz="4" w:space="0" w:color="auto"/>
              <w:right w:val="single" w:sz="4" w:space="0" w:color="auto"/>
            </w:tcBorders>
            <w:shd w:val="clear" w:color="auto" w:fill="auto"/>
          </w:tcPr>
          <w:p w14:paraId="1A949E27" w14:textId="6BA6427F" w:rsidR="005F442C" w:rsidRPr="00781112" w:rsidRDefault="002B7490" w:rsidP="00A018D4">
            <w:pPr>
              <w:jc w:val="center"/>
              <w:rPr>
                <w:rFonts w:cs="Arial"/>
                <w:color w:val="000000" w:themeColor="text1"/>
                <w:szCs w:val="16"/>
              </w:rPr>
            </w:pPr>
            <w:r w:rsidRPr="00781112">
              <w:rPr>
                <w:rFonts w:cs="Arial"/>
                <w:color w:val="000000" w:themeColor="text1"/>
                <w:szCs w:val="16"/>
              </w:rPr>
              <w:t>2020</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83F7C9" w14:textId="0A3252A0" w:rsidR="005F442C" w:rsidRPr="00781112" w:rsidRDefault="005F442C" w:rsidP="00BA3DBE">
            <w:pPr>
              <w:spacing w:line="276" w:lineRule="auto"/>
              <w:jc w:val="center"/>
              <w:rPr>
                <w:rFonts w:cs="Arial"/>
                <w:color w:val="000000" w:themeColor="text1"/>
                <w:szCs w:val="16"/>
              </w:rPr>
            </w:pPr>
            <w:r w:rsidRPr="00781112">
              <w:rPr>
                <w:rFonts w:cs="Arial"/>
                <w:color w:val="000000" w:themeColor="text1"/>
                <w:szCs w:val="16"/>
              </w:rPr>
              <w:t>Target &gt;=</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2BC5CE03" w14:textId="44707AE5" w:rsidR="005F442C" w:rsidRPr="00781112" w:rsidRDefault="002B7490" w:rsidP="00A018D4">
            <w:pPr>
              <w:jc w:val="center"/>
              <w:rPr>
                <w:rFonts w:cs="Arial"/>
                <w:color w:val="000000" w:themeColor="text1"/>
                <w:szCs w:val="16"/>
              </w:rPr>
            </w:pPr>
            <w:r w:rsidRPr="00781112">
              <w:rPr>
                <w:rFonts w:cs="Arial"/>
                <w:color w:val="000000" w:themeColor="text1"/>
                <w:szCs w:val="16"/>
              </w:rPr>
              <w:t>76.00%</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5E7D0375" w14:textId="72BE41AE" w:rsidR="005F442C" w:rsidRPr="00781112" w:rsidRDefault="002B7490" w:rsidP="00A018D4">
            <w:pPr>
              <w:jc w:val="center"/>
              <w:rPr>
                <w:rFonts w:cs="Arial"/>
                <w:color w:val="000000" w:themeColor="text1"/>
                <w:szCs w:val="16"/>
              </w:rPr>
            </w:pPr>
            <w:r w:rsidRPr="00781112">
              <w:rPr>
                <w:rFonts w:cs="Arial"/>
                <w:color w:val="000000" w:themeColor="text1"/>
                <w:szCs w:val="16"/>
              </w:rPr>
              <w:t>76.00%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7CFA8C72" w14:textId="1DBA7AD5" w:rsidR="005F442C" w:rsidRPr="00781112" w:rsidRDefault="002B7490" w:rsidP="00A018D4">
            <w:pPr>
              <w:jc w:val="center"/>
              <w:rPr>
                <w:rFonts w:cs="Arial"/>
                <w:color w:val="000000" w:themeColor="text1"/>
                <w:szCs w:val="16"/>
              </w:rPr>
            </w:pPr>
            <w:r w:rsidRPr="00781112">
              <w:rPr>
                <w:rFonts w:cs="Arial"/>
                <w:color w:val="000000" w:themeColor="text1"/>
                <w:szCs w:val="16"/>
              </w:rPr>
              <w:t>76.00%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32EAF5AA" w14:textId="0EED287F" w:rsidR="005F442C" w:rsidRPr="00781112" w:rsidRDefault="002B7490" w:rsidP="00A018D4">
            <w:pPr>
              <w:jc w:val="center"/>
              <w:rPr>
                <w:rFonts w:cs="Arial"/>
                <w:color w:val="000000" w:themeColor="text1"/>
                <w:szCs w:val="16"/>
              </w:rPr>
            </w:pPr>
            <w:r w:rsidRPr="00781112">
              <w:rPr>
                <w:rFonts w:cs="Arial"/>
                <w:color w:val="000000" w:themeColor="text1"/>
                <w:szCs w:val="16"/>
              </w:rPr>
              <w:t>69.53%</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7ADF4529" w14:textId="5459CD21" w:rsidR="005F442C" w:rsidRPr="00781112" w:rsidRDefault="002B7490" w:rsidP="00A018D4">
            <w:pPr>
              <w:jc w:val="center"/>
              <w:rPr>
                <w:rFonts w:cs="Arial"/>
                <w:color w:val="000000" w:themeColor="text1"/>
                <w:szCs w:val="16"/>
              </w:rPr>
            </w:pPr>
            <w:r w:rsidRPr="00781112">
              <w:rPr>
                <w:rFonts w:cs="Arial"/>
                <w:color w:val="000000" w:themeColor="text1"/>
                <w:szCs w:val="16"/>
              </w:rPr>
              <w:t>80.00%</w:t>
            </w:r>
          </w:p>
        </w:tc>
      </w:tr>
      <w:tr w:rsidR="005C29F8" w:rsidRPr="00781112" w14:paraId="04BD4647" w14:textId="77777777" w:rsidTr="00C37CAE">
        <w:trPr>
          <w:trHeight w:val="85"/>
        </w:trPr>
        <w:tc>
          <w:tcPr>
            <w:tcW w:w="190" w:type="pct"/>
            <w:tcBorders>
              <w:left w:val="single" w:sz="4" w:space="0" w:color="auto"/>
              <w:right w:val="single" w:sz="4" w:space="0" w:color="auto"/>
            </w:tcBorders>
            <w:shd w:val="clear" w:color="auto" w:fill="auto"/>
          </w:tcPr>
          <w:p w14:paraId="0F20B888" w14:textId="46217DEF" w:rsidR="005F442C" w:rsidRPr="00781112" w:rsidRDefault="00676431" w:rsidP="00A018D4">
            <w:pPr>
              <w:spacing w:line="276" w:lineRule="auto"/>
              <w:jc w:val="center"/>
              <w:rPr>
                <w:rFonts w:cs="Arial"/>
                <w:color w:val="000000" w:themeColor="text1"/>
                <w:szCs w:val="16"/>
              </w:rPr>
            </w:pPr>
            <w:r w:rsidRPr="00781112">
              <w:rPr>
                <w:rFonts w:cs="Arial"/>
                <w:color w:val="000000" w:themeColor="text1"/>
                <w:szCs w:val="16"/>
              </w:rPr>
              <w:t>B</w:t>
            </w:r>
          </w:p>
        </w:tc>
        <w:tc>
          <w:tcPr>
            <w:tcW w:w="815" w:type="pct"/>
            <w:tcBorders>
              <w:left w:val="single" w:sz="4" w:space="0" w:color="auto"/>
              <w:right w:val="single" w:sz="4" w:space="0" w:color="auto"/>
            </w:tcBorders>
            <w:shd w:val="clear" w:color="auto" w:fill="auto"/>
          </w:tcPr>
          <w:p w14:paraId="7553E0D1" w14:textId="50261931" w:rsidR="005F442C" w:rsidRPr="00781112" w:rsidRDefault="002B7490" w:rsidP="00A018D4">
            <w:pPr>
              <w:jc w:val="center"/>
              <w:rPr>
                <w:rFonts w:cs="Arial"/>
                <w:color w:val="000000" w:themeColor="text1"/>
                <w:szCs w:val="16"/>
              </w:rPr>
            </w:pPr>
            <w:r w:rsidRPr="00781112">
              <w:rPr>
                <w:rFonts w:cs="Arial"/>
                <w:color w:val="000000" w:themeColor="text1"/>
                <w:szCs w:val="16"/>
              </w:rPr>
              <w:t>69.53%</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E4A099" w14:textId="77777777" w:rsidR="005F442C" w:rsidRPr="00781112" w:rsidRDefault="005F442C" w:rsidP="00BA3DBE">
            <w:pPr>
              <w:spacing w:line="276" w:lineRule="auto"/>
              <w:jc w:val="center"/>
              <w:rPr>
                <w:rFonts w:cs="Arial"/>
                <w:color w:val="000000" w:themeColor="text1"/>
                <w:szCs w:val="16"/>
              </w:rPr>
            </w:pPr>
            <w:r w:rsidRPr="00781112">
              <w:rPr>
                <w:rFonts w:cs="Arial"/>
                <w:color w:val="000000" w:themeColor="text1"/>
                <w:szCs w:val="16"/>
              </w:rPr>
              <w:t>Data</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36F1CC00" w14:textId="27BDC0A1" w:rsidR="005F442C" w:rsidRPr="00781112" w:rsidRDefault="002B7490" w:rsidP="00A018D4">
            <w:pPr>
              <w:jc w:val="center"/>
              <w:rPr>
                <w:rFonts w:cs="Arial"/>
                <w:color w:val="000000" w:themeColor="text1"/>
                <w:szCs w:val="16"/>
              </w:rPr>
            </w:pPr>
            <w:r w:rsidRPr="00781112">
              <w:rPr>
                <w:rFonts w:cs="Arial"/>
                <w:color w:val="000000" w:themeColor="text1"/>
                <w:szCs w:val="16"/>
              </w:rPr>
              <w:t>75.47%</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752BDB3D" w14:textId="7C9CDA00" w:rsidR="005F442C" w:rsidRPr="00781112" w:rsidRDefault="002B7490" w:rsidP="00A018D4">
            <w:pPr>
              <w:jc w:val="center"/>
              <w:rPr>
                <w:rFonts w:cs="Arial"/>
                <w:color w:val="000000" w:themeColor="text1"/>
                <w:szCs w:val="16"/>
              </w:rPr>
            </w:pPr>
            <w:r w:rsidRPr="00781112">
              <w:rPr>
                <w:rFonts w:cs="Arial"/>
                <w:color w:val="000000" w:themeColor="text1"/>
                <w:szCs w:val="16"/>
              </w:rPr>
              <w:t>73.08%</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2E8698B0" w14:textId="23886D70" w:rsidR="005F442C" w:rsidRPr="00781112" w:rsidRDefault="002B7490" w:rsidP="00A018D4">
            <w:pPr>
              <w:jc w:val="center"/>
              <w:rPr>
                <w:rFonts w:cs="Arial"/>
                <w:color w:val="000000" w:themeColor="text1"/>
                <w:szCs w:val="16"/>
              </w:rPr>
            </w:pPr>
            <w:r w:rsidRPr="00781112">
              <w:rPr>
                <w:rFonts w:cs="Arial"/>
                <w:color w:val="000000" w:themeColor="text1"/>
                <w:szCs w:val="16"/>
              </w:rPr>
              <w:t>74.81%</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7C9C7692" w14:textId="490F43AD" w:rsidR="005F442C" w:rsidRPr="00781112" w:rsidRDefault="002B7490" w:rsidP="00A018D4">
            <w:pPr>
              <w:jc w:val="center"/>
              <w:rPr>
                <w:rFonts w:cs="Arial"/>
                <w:color w:val="000000" w:themeColor="text1"/>
                <w:szCs w:val="16"/>
              </w:rPr>
            </w:pPr>
            <w:r w:rsidRPr="00781112">
              <w:rPr>
                <w:rFonts w:cs="Arial"/>
                <w:color w:val="000000" w:themeColor="text1"/>
                <w:szCs w:val="16"/>
              </w:rPr>
              <w:t>69.53%</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197DA8B1" w14:textId="591F0E95" w:rsidR="005F442C" w:rsidRPr="00781112" w:rsidRDefault="002B7490" w:rsidP="00A018D4">
            <w:pPr>
              <w:jc w:val="center"/>
              <w:rPr>
                <w:rFonts w:cs="Arial"/>
                <w:color w:val="000000" w:themeColor="text1"/>
                <w:szCs w:val="16"/>
              </w:rPr>
            </w:pPr>
            <w:r w:rsidRPr="00781112">
              <w:rPr>
                <w:rFonts w:cs="Arial"/>
                <w:color w:val="000000" w:themeColor="text1"/>
                <w:szCs w:val="16"/>
              </w:rPr>
              <w:t>75.11%</w:t>
            </w:r>
          </w:p>
        </w:tc>
      </w:tr>
      <w:tr w:rsidR="005C29F8" w:rsidRPr="00781112" w14:paraId="3B4797BA" w14:textId="77777777" w:rsidTr="00C37CAE">
        <w:trPr>
          <w:trHeight w:val="357"/>
        </w:trPr>
        <w:tc>
          <w:tcPr>
            <w:tcW w:w="190" w:type="pct"/>
            <w:tcBorders>
              <w:top w:val="single" w:sz="4" w:space="0" w:color="auto"/>
              <w:left w:val="single" w:sz="4" w:space="0" w:color="auto"/>
              <w:right w:val="single" w:sz="4" w:space="0" w:color="auto"/>
            </w:tcBorders>
            <w:shd w:val="clear" w:color="auto" w:fill="auto"/>
            <w:vAlign w:val="center"/>
          </w:tcPr>
          <w:p w14:paraId="6C3DB934" w14:textId="77777777" w:rsidR="005F442C" w:rsidRPr="00781112" w:rsidRDefault="005F442C">
            <w:pPr>
              <w:spacing w:line="276" w:lineRule="auto"/>
              <w:jc w:val="center"/>
              <w:rPr>
                <w:rFonts w:cs="Arial"/>
                <w:color w:val="000000" w:themeColor="text1"/>
                <w:szCs w:val="16"/>
              </w:rPr>
            </w:pPr>
            <w:r w:rsidRPr="00781112">
              <w:rPr>
                <w:rFonts w:cs="Arial"/>
                <w:color w:val="000000" w:themeColor="text1"/>
                <w:szCs w:val="16"/>
              </w:rPr>
              <w:t>C</w:t>
            </w:r>
          </w:p>
        </w:tc>
        <w:tc>
          <w:tcPr>
            <w:tcW w:w="815" w:type="pct"/>
            <w:tcBorders>
              <w:top w:val="single" w:sz="4" w:space="0" w:color="auto"/>
              <w:left w:val="single" w:sz="4" w:space="0" w:color="auto"/>
              <w:right w:val="single" w:sz="4" w:space="0" w:color="auto"/>
            </w:tcBorders>
            <w:shd w:val="clear" w:color="auto" w:fill="auto"/>
          </w:tcPr>
          <w:p w14:paraId="16F6EE90" w14:textId="5DB098B3" w:rsidR="005F442C" w:rsidRPr="00781112" w:rsidRDefault="002B7490" w:rsidP="00A018D4">
            <w:pPr>
              <w:jc w:val="center"/>
              <w:rPr>
                <w:rFonts w:cs="Arial"/>
                <w:color w:val="000000" w:themeColor="text1"/>
                <w:szCs w:val="16"/>
              </w:rPr>
            </w:pPr>
            <w:r w:rsidRPr="00781112">
              <w:rPr>
                <w:rFonts w:cs="Arial"/>
                <w:color w:val="000000" w:themeColor="text1"/>
                <w:szCs w:val="16"/>
              </w:rPr>
              <w:t>2020</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2AC8BB" w14:textId="575B1EC7" w:rsidR="005F442C" w:rsidRPr="00781112" w:rsidRDefault="005F442C" w:rsidP="00BA3DBE">
            <w:pPr>
              <w:spacing w:line="276" w:lineRule="auto"/>
              <w:jc w:val="center"/>
              <w:rPr>
                <w:rFonts w:cs="Arial"/>
                <w:color w:val="000000" w:themeColor="text1"/>
                <w:szCs w:val="16"/>
              </w:rPr>
            </w:pPr>
            <w:r w:rsidRPr="00781112">
              <w:rPr>
                <w:rFonts w:cs="Arial"/>
                <w:color w:val="000000" w:themeColor="text1"/>
                <w:szCs w:val="16"/>
              </w:rPr>
              <w:t>Target &gt;=</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76636D2C" w14:textId="048A2FD1" w:rsidR="005F442C" w:rsidRPr="00781112" w:rsidRDefault="002B7490" w:rsidP="00A018D4">
            <w:pPr>
              <w:jc w:val="center"/>
              <w:rPr>
                <w:rFonts w:cs="Arial"/>
                <w:color w:val="000000" w:themeColor="text1"/>
                <w:szCs w:val="16"/>
              </w:rPr>
            </w:pPr>
            <w:r w:rsidRPr="00781112">
              <w:rPr>
                <w:rFonts w:cs="Arial"/>
                <w:color w:val="000000" w:themeColor="text1"/>
                <w:szCs w:val="16"/>
              </w:rPr>
              <w:t>80.00%</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5F601683" w14:textId="08666F48" w:rsidR="005F442C" w:rsidRPr="00781112" w:rsidRDefault="002B7490" w:rsidP="00A018D4">
            <w:pPr>
              <w:jc w:val="center"/>
              <w:rPr>
                <w:rFonts w:cs="Arial"/>
                <w:color w:val="000000" w:themeColor="text1"/>
                <w:szCs w:val="16"/>
              </w:rPr>
            </w:pPr>
            <w:r w:rsidRPr="00781112">
              <w:rPr>
                <w:rFonts w:cs="Arial"/>
                <w:color w:val="000000" w:themeColor="text1"/>
                <w:szCs w:val="16"/>
              </w:rPr>
              <w:t>80.00%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044C7E3A" w14:textId="4B31ECC3" w:rsidR="005F442C" w:rsidRPr="00781112" w:rsidRDefault="002B7490" w:rsidP="00A018D4">
            <w:pPr>
              <w:jc w:val="center"/>
              <w:rPr>
                <w:rFonts w:cs="Arial"/>
                <w:color w:val="000000" w:themeColor="text1"/>
                <w:szCs w:val="16"/>
              </w:rPr>
            </w:pPr>
            <w:r w:rsidRPr="00781112">
              <w:rPr>
                <w:rFonts w:cs="Arial"/>
                <w:color w:val="000000" w:themeColor="text1"/>
                <w:szCs w:val="16"/>
              </w:rPr>
              <w:t>80.00%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05933A5C" w14:textId="2942912F" w:rsidR="005F442C" w:rsidRPr="00781112" w:rsidRDefault="002B7490" w:rsidP="00A018D4">
            <w:pPr>
              <w:jc w:val="center"/>
              <w:rPr>
                <w:rFonts w:cs="Arial"/>
                <w:color w:val="000000" w:themeColor="text1"/>
                <w:szCs w:val="16"/>
              </w:rPr>
            </w:pPr>
            <w:r w:rsidRPr="00781112">
              <w:rPr>
                <w:rFonts w:cs="Arial"/>
                <w:color w:val="000000" w:themeColor="text1"/>
                <w:szCs w:val="16"/>
              </w:rPr>
              <w:t>76.91%</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7C32933D" w14:textId="5E0B7F18" w:rsidR="005F442C" w:rsidRPr="00781112" w:rsidRDefault="002B7490" w:rsidP="00A018D4">
            <w:pPr>
              <w:jc w:val="center"/>
              <w:rPr>
                <w:rFonts w:cs="Arial"/>
                <w:color w:val="000000" w:themeColor="text1"/>
                <w:szCs w:val="16"/>
              </w:rPr>
            </w:pPr>
            <w:r w:rsidRPr="00781112">
              <w:rPr>
                <w:rFonts w:cs="Arial"/>
                <w:color w:val="000000" w:themeColor="text1"/>
                <w:szCs w:val="16"/>
              </w:rPr>
              <w:t>77.41%</w:t>
            </w:r>
          </w:p>
        </w:tc>
      </w:tr>
      <w:tr w:rsidR="005C29F8" w:rsidRPr="00781112" w14:paraId="6F394366" w14:textId="77777777" w:rsidTr="00C37CAE">
        <w:trPr>
          <w:trHeight w:val="85"/>
        </w:trPr>
        <w:tc>
          <w:tcPr>
            <w:tcW w:w="190" w:type="pct"/>
            <w:tcBorders>
              <w:left w:val="single" w:sz="4" w:space="0" w:color="auto"/>
              <w:right w:val="single" w:sz="4" w:space="0" w:color="auto"/>
            </w:tcBorders>
            <w:shd w:val="clear" w:color="auto" w:fill="auto"/>
          </w:tcPr>
          <w:p w14:paraId="44948B1E" w14:textId="67BC5CB9" w:rsidR="005F442C" w:rsidRPr="00781112" w:rsidRDefault="00676431" w:rsidP="00A018D4">
            <w:pPr>
              <w:spacing w:line="276" w:lineRule="auto"/>
              <w:jc w:val="center"/>
              <w:rPr>
                <w:rFonts w:cs="Arial"/>
                <w:color w:val="000000" w:themeColor="text1"/>
                <w:szCs w:val="16"/>
              </w:rPr>
            </w:pPr>
            <w:r w:rsidRPr="00781112">
              <w:rPr>
                <w:rFonts w:cs="Arial"/>
                <w:color w:val="000000" w:themeColor="text1"/>
                <w:szCs w:val="16"/>
              </w:rPr>
              <w:t>C</w:t>
            </w:r>
          </w:p>
        </w:tc>
        <w:tc>
          <w:tcPr>
            <w:tcW w:w="815" w:type="pct"/>
            <w:tcBorders>
              <w:left w:val="single" w:sz="4" w:space="0" w:color="auto"/>
              <w:right w:val="single" w:sz="4" w:space="0" w:color="auto"/>
            </w:tcBorders>
            <w:shd w:val="clear" w:color="auto" w:fill="auto"/>
          </w:tcPr>
          <w:p w14:paraId="11A9E1DB" w14:textId="6AB2315D" w:rsidR="005F442C" w:rsidRPr="00781112" w:rsidRDefault="002B7490" w:rsidP="00A018D4">
            <w:pPr>
              <w:jc w:val="center"/>
              <w:rPr>
                <w:rFonts w:cs="Arial"/>
                <w:color w:val="000000" w:themeColor="text1"/>
                <w:szCs w:val="16"/>
              </w:rPr>
            </w:pPr>
            <w:r w:rsidRPr="00781112">
              <w:rPr>
                <w:rFonts w:cs="Arial"/>
                <w:color w:val="000000" w:themeColor="text1"/>
                <w:szCs w:val="16"/>
              </w:rPr>
              <w:t>76.91%</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4A4DE0" w14:textId="77777777" w:rsidR="005F442C" w:rsidRPr="00781112" w:rsidRDefault="005F442C" w:rsidP="00BA3DBE">
            <w:pPr>
              <w:spacing w:line="276" w:lineRule="auto"/>
              <w:jc w:val="center"/>
              <w:rPr>
                <w:rFonts w:cs="Arial"/>
                <w:color w:val="000000" w:themeColor="text1"/>
                <w:szCs w:val="16"/>
              </w:rPr>
            </w:pPr>
            <w:r w:rsidRPr="00781112">
              <w:rPr>
                <w:rFonts w:cs="Arial"/>
                <w:color w:val="000000" w:themeColor="text1"/>
                <w:szCs w:val="16"/>
              </w:rPr>
              <w:t>Data</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669A5081" w14:textId="5506F90A" w:rsidR="005F442C" w:rsidRPr="00781112" w:rsidRDefault="002B7490" w:rsidP="00A018D4">
            <w:pPr>
              <w:jc w:val="center"/>
              <w:rPr>
                <w:rFonts w:cs="Arial"/>
                <w:color w:val="000000" w:themeColor="text1"/>
                <w:szCs w:val="16"/>
              </w:rPr>
            </w:pPr>
            <w:r w:rsidRPr="00781112">
              <w:rPr>
                <w:rFonts w:cs="Arial"/>
                <w:color w:val="000000" w:themeColor="text1"/>
                <w:szCs w:val="16"/>
              </w:rPr>
              <w:t>82.82%</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490F65AA" w14:textId="42AB492B" w:rsidR="005F442C" w:rsidRPr="00781112" w:rsidRDefault="002B7490" w:rsidP="00A018D4">
            <w:pPr>
              <w:jc w:val="center"/>
              <w:rPr>
                <w:rFonts w:cs="Arial"/>
                <w:color w:val="000000" w:themeColor="text1"/>
                <w:szCs w:val="16"/>
              </w:rPr>
            </w:pPr>
            <w:r w:rsidRPr="00781112">
              <w:rPr>
                <w:rFonts w:cs="Arial"/>
                <w:color w:val="000000" w:themeColor="text1"/>
                <w:szCs w:val="16"/>
              </w:rPr>
              <w:t>77.76%</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6EBC0DCF" w14:textId="12C96EDC" w:rsidR="005F442C" w:rsidRPr="00781112" w:rsidRDefault="002B7490" w:rsidP="00A018D4">
            <w:pPr>
              <w:jc w:val="center"/>
              <w:rPr>
                <w:rFonts w:cs="Arial"/>
                <w:color w:val="000000" w:themeColor="text1"/>
                <w:szCs w:val="16"/>
              </w:rPr>
            </w:pPr>
            <w:r w:rsidRPr="00781112">
              <w:rPr>
                <w:rFonts w:cs="Arial"/>
                <w:color w:val="000000" w:themeColor="text1"/>
                <w:szCs w:val="16"/>
              </w:rPr>
              <w:t>79.42%</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3F6AC359" w14:textId="4DD9908A" w:rsidR="005F442C" w:rsidRPr="00781112" w:rsidRDefault="002B7490" w:rsidP="00A018D4">
            <w:pPr>
              <w:jc w:val="center"/>
              <w:rPr>
                <w:rFonts w:cs="Arial"/>
                <w:color w:val="000000" w:themeColor="text1"/>
                <w:szCs w:val="16"/>
              </w:rPr>
            </w:pPr>
            <w:r w:rsidRPr="00781112">
              <w:rPr>
                <w:rFonts w:cs="Arial"/>
                <w:color w:val="000000" w:themeColor="text1"/>
                <w:szCs w:val="16"/>
              </w:rPr>
              <w:t>76.91%</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7DD4FEA0" w14:textId="22130008" w:rsidR="005F442C" w:rsidRPr="00781112" w:rsidRDefault="002B7490" w:rsidP="00A018D4">
            <w:pPr>
              <w:jc w:val="center"/>
              <w:rPr>
                <w:rFonts w:cs="Arial"/>
                <w:color w:val="000000" w:themeColor="text1"/>
                <w:szCs w:val="16"/>
              </w:rPr>
            </w:pPr>
            <w:r w:rsidRPr="00781112">
              <w:rPr>
                <w:rFonts w:cs="Arial"/>
                <w:color w:val="000000" w:themeColor="text1"/>
                <w:szCs w:val="16"/>
              </w:rPr>
              <w:t>82.57%</w:t>
            </w:r>
          </w:p>
        </w:tc>
      </w:tr>
    </w:tbl>
    <w:p w14:paraId="7084612B" w14:textId="77777777" w:rsidR="00E448E9" w:rsidRPr="00781112" w:rsidRDefault="00E448E9" w:rsidP="004369B2">
      <w:pPr>
        <w:rPr>
          <w:color w:val="000000" w:themeColor="text1"/>
        </w:rPr>
      </w:pPr>
    </w:p>
    <w:p w14:paraId="02DB82E4" w14:textId="3E48D02A" w:rsidR="005F442C" w:rsidRPr="00781112" w:rsidRDefault="00806C75" w:rsidP="004369B2">
      <w:pPr>
        <w:rPr>
          <w:color w:val="000000" w:themeColor="text1"/>
        </w:rPr>
      </w:pPr>
      <w:r w:rsidRPr="00781112">
        <w:rPr>
          <w:b/>
          <w:color w:val="000000" w:themeColor="text1"/>
        </w:rPr>
        <w:t>FFY 2021 Targets</w:t>
      </w:r>
    </w:p>
    <w:tbl>
      <w:tblPr>
        <w:tblW w:w="34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4TARGETS"/>
      </w:tblPr>
      <w:tblGrid>
        <w:gridCol w:w="823"/>
        <w:gridCol w:w="1664"/>
        <w:gridCol w:w="1664"/>
        <w:gridCol w:w="1662"/>
        <w:gridCol w:w="1662"/>
      </w:tblGrid>
      <w:tr w:rsidR="00B67FCE" w:rsidRPr="00781112" w14:paraId="0D5EED67" w14:textId="79D43F28" w:rsidTr="00845B9B">
        <w:trPr>
          <w:trHeight w:val="388"/>
        </w:trPr>
        <w:tc>
          <w:tcPr>
            <w:tcW w:w="550" w:type="pct"/>
            <w:tcBorders>
              <w:bottom w:val="single" w:sz="4" w:space="0" w:color="auto"/>
            </w:tcBorders>
            <w:shd w:val="clear" w:color="auto" w:fill="auto"/>
          </w:tcPr>
          <w:p w14:paraId="3A39086B" w14:textId="77777777" w:rsidR="00B67FCE" w:rsidRPr="00781112" w:rsidRDefault="00B67FCE" w:rsidP="00AF574F">
            <w:pPr>
              <w:jc w:val="center"/>
              <w:rPr>
                <w:b/>
                <w:color w:val="000000" w:themeColor="text1"/>
              </w:rPr>
            </w:pPr>
            <w:r w:rsidRPr="00781112">
              <w:rPr>
                <w:b/>
                <w:color w:val="000000" w:themeColor="text1"/>
              </w:rPr>
              <w:t>FFY</w:t>
            </w:r>
          </w:p>
        </w:tc>
        <w:tc>
          <w:tcPr>
            <w:tcW w:w="1113" w:type="pct"/>
            <w:shd w:val="clear" w:color="auto" w:fill="auto"/>
          </w:tcPr>
          <w:p w14:paraId="3904D56E" w14:textId="5A40B787" w:rsidR="00B67FCE" w:rsidRPr="00781112" w:rsidRDefault="00B67FCE" w:rsidP="00AF574F">
            <w:pPr>
              <w:jc w:val="center"/>
              <w:rPr>
                <w:b/>
                <w:color w:val="000000" w:themeColor="text1"/>
              </w:rPr>
            </w:pPr>
            <w:r w:rsidRPr="00781112">
              <w:rPr>
                <w:b/>
                <w:color w:val="000000" w:themeColor="text1"/>
              </w:rPr>
              <w:t>2022</w:t>
            </w:r>
          </w:p>
        </w:tc>
        <w:tc>
          <w:tcPr>
            <w:tcW w:w="1113" w:type="pct"/>
          </w:tcPr>
          <w:p w14:paraId="5E87DEBC" w14:textId="3C58C740" w:rsidR="00B67FCE" w:rsidRPr="00781112" w:rsidRDefault="00B67FCE" w:rsidP="00AF574F">
            <w:pPr>
              <w:jc w:val="center"/>
              <w:rPr>
                <w:b/>
                <w:color w:val="000000" w:themeColor="text1"/>
              </w:rPr>
            </w:pPr>
            <w:r w:rsidRPr="00781112">
              <w:rPr>
                <w:rFonts w:cs="Arial"/>
                <w:b/>
                <w:color w:val="000000" w:themeColor="text1"/>
                <w:szCs w:val="16"/>
              </w:rPr>
              <w:t>2023</w:t>
            </w:r>
          </w:p>
        </w:tc>
        <w:tc>
          <w:tcPr>
            <w:tcW w:w="1112" w:type="pct"/>
          </w:tcPr>
          <w:p w14:paraId="1D78C038" w14:textId="34E0A4B6" w:rsidR="00B67FCE" w:rsidRPr="00781112" w:rsidRDefault="00B67FCE" w:rsidP="00AF574F">
            <w:pPr>
              <w:jc w:val="center"/>
              <w:rPr>
                <w:b/>
                <w:color w:val="000000" w:themeColor="text1"/>
              </w:rPr>
            </w:pPr>
            <w:r w:rsidRPr="00781112">
              <w:rPr>
                <w:rFonts w:cs="Arial"/>
                <w:b/>
                <w:color w:val="000000" w:themeColor="text1"/>
                <w:szCs w:val="16"/>
              </w:rPr>
              <w:t>2024</w:t>
            </w:r>
          </w:p>
        </w:tc>
        <w:tc>
          <w:tcPr>
            <w:tcW w:w="1112" w:type="pct"/>
          </w:tcPr>
          <w:p w14:paraId="3C72E9BA" w14:textId="291BB861" w:rsidR="00B67FCE" w:rsidRPr="00781112" w:rsidRDefault="00B67FCE" w:rsidP="00AF574F">
            <w:pPr>
              <w:jc w:val="center"/>
              <w:rPr>
                <w:b/>
                <w:color w:val="000000" w:themeColor="text1"/>
              </w:rPr>
            </w:pPr>
            <w:r w:rsidRPr="00781112">
              <w:rPr>
                <w:rFonts w:cs="Arial"/>
                <w:b/>
                <w:color w:val="000000" w:themeColor="text1"/>
                <w:szCs w:val="16"/>
              </w:rPr>
              <w:t>2025</w:t>
            </w:r>
          </w:p>
        </w:tc>
      </w:tr>
      <w:tr w:rsidR="00B67FCE" w:rsidRPr="00781112" w14:paraId="7E2B073B" w14:textId="0B5C632B" w:rsidTr="00845B9B">
        <w:trPr>
          <w:trHeight w:val="396"/>
        </w:trPr>
        <w:tc>
          <w:tcPr>
            <w:tcW w:w="550" w:type="pct"/>
            <w:shd w:val="clear" w:color="auto" w:fill="auto"/>
          </w:tcPr>
          <w:p w14:paraId="0DC64663" w14:textId="2175F0A9" w:rsidR="00B67FCE" w:rsidRPr="00781112" w:rsidRDefault="00B67FCE" w:rsidP="00BA3DBE">
            <w:pPr>
              <w:jc w:val="center"/>
              <w:rPr>
                <w:rFonts w:cs="Arial"/>
                <w:color w:val="000000" w:themeColor="text1"/>
                <w:szCs w:val="16"/>
              </w:rPr>
            </w:pPr>
            <w:r w:rsidRPr="00781112">
              <w:rPr>
                <w:rFonts w:cs="Arial"/>
                <w:color w:val="000000" w:themeColor="text1"/>
                <w:szCs w:val="16"/>
              </w:rPr>
              <w:t>Target A &gt;=</w:t>
            </w:r>
          </w:p>
        </w:tc>
        <w:tc>
          <w:tcPr>
            <w:tcW w:w="1113" w:type="pct"/>
            <w:shd w:val="clear" w:color="auto" w:fill="auto"/>
            <w:vAlign w:val="center"/>
          </w:tcPr>
          <w:p w14:paraId="0A86FFC3" w14:textId="4AE9585E" w:rsidR="00B67FCE" w:rsidRPr="00781112" w:rsidRDefault="00B67FCE" w:rsidP="00AF574F">
            <w:pPr>
              <w:jc w:val="center"/>
              <w:rPr>
                <w:rFonts w:cs="Arial"/>
                <w:color w:val="000000" w:themeColor="text1"/>
                <w:szCs w:val="16"/>
              </w:rPr>
            </w:pPr>
            <w:r w:rsidRPr="00781112">
              <w:rPr>
                <w:rFonts w:cs="Arial"/>
                <w:color w:val="000000" w:themeColor="text1"/>
                <w:szCs w:val="16"/>
              </w:rPr>
              <w:t>61.56%</w:t>
            </w:r>
          </w:p>
        </w:tc>
        <w:tc>
          <w:tcPr>
            <w:tcW w:w="1113" w:type="pct"/>
          </w:tcPr>
          <w:p w14:paraId="72551055" w14:textId="7A9EF926" w:rsidR="00B67FCE" w:rsidRPr="00781112" w:rsidRDefault="00B67FCE" w:rsidP="00AF574F">
            <w:pPr>
              <w:jc w:val="center"/>
              <w:rPr>
                <w:rFonts w:cs="Arial"/>
                <w:color w:val="000000" w:themeColor="text1"/>
                <w:szCs w:val="16"/>
              </w:rPr>
            </w:pPr>
            <w:r w:rsidRPr="00781112">
              <w:rPr>
                <w:color w:val="000000" w:themeColor="text1"/>
                <w:szCs w:val="16"/>
              </w:rPr>
              <w:t>62.56%</w:t>
            </w:r>
          </w:p>
        </w:tc>
        <w:tc>
          <w:tcPr>
            <w:tcW w:w="1112" w:type="pct"/>
          </w:tcPr>
          <w:p w14:paraId="4460710F" w14:textId="653162EA" w:rsidR="00B67FCE" w:rsidRPr="00781112" w:rsidRDefault="00B67FCE" w:rsidP="00AF574F">
            <w:pPr>
              <w:jc w:val="center"/>
              <w:rPr>
                <w:rFonts w:cs="Arial"/>
                <w:color w:val="000000" w:themeColor="text1"/>
                <w:szCs w:val="16"/>
              </w:rPr>
            </w:pPr>
            <w:r w:rsidRPr="00781112">
              <w:rPr>
                <w:color w:val="000000" w:themeColor="text1"/>
                <w:szCs w:val="16"/>
              </w:rPr>
              <w:t>63.06%</w:t>
            </w:r>
          </w:p>
        </w:tc>
        <w:tc>
          <w:tcPr>
            <w:tcW w:w="1112" w:type="pct"/>
          </w:tcPr>
          <w:p w14:paraId="42DE20BE" w14:textId="660F0A38" w:rsidR="00B67FCE" w:rsidRPr="00781112" w:rsidRDefault="00B67FCE" w:rsidP="00AF574F">
            <w:pPr>
              <w:jc w:val="center"/>
              <w:rPr>
                <w:rFonts w:cs="Arial"/>
                <w:color w:val="000000" w:themeColor="text1"/>
                <w:szCs w:val="16"/>
              </w:rPr>
            </w:pPr>
            <w:r w:rsidRPr="00781112">
              <w:rPr>
                <w:color w:val="000000" w:themeColor="text1"/>
                <w:szCs w:val="16"/>
              </w:rPr>
              <w:t>65.06%</w:t>
            </w:r>
          </w:p>
        </w:tc>
      </w:tr>
      <w:tr w:rsidR="00B67FCE" w:rsidRPr="00781112" w14:paraId="0314BAE3" w14:textId="455C9C0A" w:rsidTr="00845B9B">
        <w:trPr>
          <w:trHeight w:val="396"/>
        </w:trPr>
        <w:tc>
          <w:tcPr>
            <w:tcW w:w="550" w:type="pct"/>
            <w:shd w:val="clear" w:color="auto" w:fill="auto"/>
          </w:tcPr>
          <w:p w14:paraId="53C1536D" w14:textId="615A342B" w:rsidR="00B67FCE" w:rsidRPr="00781112" w:rsidRDefault="00B67FCE" w:rsidP="00BA3DBE">
            <w:pPr>
              <w:jc w:val="center"/>
              <w:rPr>
                <w:rFonts w:cs="Arial"/>
                <w:color w:val="000000" w:themeColor="text1"/>
                <w:szCs w:val="16"/>
              </w:rPr>
            </w:pPr>
            <w:r w:rsidRPr="00781112">
              <w:rPr>
                <w:rFonts w:cs="Arial"/>
                <w:color w:val="000000" w:themeColor="text1"/>
                <w:szCs w:val="16"/>
              </w:rPr>
              <w:t>Target B &gt;=</w:t>
            </w:r>
          </w:p>
        </w:tc>
        <w:tc>
          <w:tcPr>
            <w:tcW w:w="1113" w:type="pct"/>
            <w:shd w:val="clear" w:color="auto" w:fill="auto"/>
            <w:vAlign w:val="center"/>
          </w:tcPr>
          <w:p w14:paraId="3AAA5324" w14:textId="5539646A" w:rsidR="00B67FCE" w:rsidRPr="00781112" w:rsidRDefault="00B67FCE" w:rsidP="00AF574F">
            <w:pPr>
              <w:jc w:val="center"/>
              <w:rPr>
                <w:rFonts w:cs="Arial"/>
                <w:color w:val="000000" w:themeColor="text1"/>
                <w:szCs w:val="16"/>
              </w:rPr>
            </w:pPr>
            <w:r w:rsidRPr="00781112">
              <w:rPr>
                <w:rFonts w:cs="Arial"/>
                <w:color w:val="000000" w:themeColor="text1"/>
                <w:szCs w:val="16"/>
              </w:rPr>
              <w:t>81.00%</w:t>
            </w:r>
          </w:p>
        </w:tc>
        <w:tc>
          <w:tcPr>
            <w:tcW w:w="1113" w:type="pct"/>
          </w:tcPr>
          <w:p w14:paraId="0CDB15F6" w14:textId="4F01BE13" w:rsidR="00B67FCE" w:rsidRPr="00781112" w:rsidRDefault="00B67FCE" w:rsidP="00AF574F">
            <w:pPr>
              <w:jc w:val="center"/>
              <w:rPr>
                <w:rFonts w:cs="Arial"/>
                <w:color w:val="000000" w:themeColor="text1"/>
                <w:szCs w:val="16"/>
              </w:rPr>
            </w:pPr>
            <w:r w:rsidRPr="00781112">
              <w:rPr>
                <w:color w:val="000000" w:themeColor="text1"/>
                <w:szCs w:val="16"/>
              </w:rPr>
              <w:t>82.50%</w:t>
            </w:r>
          </w:p>
        </w:tc>
        <w:tc>
          <w:tcPr>
            <w:tcW w:w="1112" w:type="pct"/>
          </w:tcPr>
          <w:p w14:paraId="4BE6282D" w14:textId="241D14B5" w:rsidR="00B67FCE" w:rsidRPr="00781112" w:rsidRDefault="00B67FCE" w:rsidP="00AF574F">
            <w:pPr>
              <w:jc w:val="center"/>
              <w:rPr>
                <w:rFonts w:cs="Arial"/>
                <w:color w:val="000000" w:themeColor="text1"/>
                <w:szCs w:val="16"/>
              </w:rPr>
            </w:pPr>
            <w:r w:rsidRPr="00781112">
              <w:rPr>
                <w:color w:val="000000" w:themeColor="text1"/>
                <w:szCs w:val="16"/>
              </w:rPr>
              <w:t>84.50%</w:t>
            </w:r>
          </w:p>
        </w:tc>
        <w:tc>
          <w:tcPr>
            <w:tcW w:w="1112" w:type="pct"/>
          </w:tcPr>
          <w:p w14:paraId="57A02DD3" w14:textId="4CEDC8B3" w:rsidR="00B67FCE" w:rsidRPr="00781112" w:rsidRDefault="00B67FCE" w:rsidP="00AF574F">
            <w:pPr>
              <w:jc w:val="center"/>
              <w:rPr>
                <w:rFonts w:cs="Arial"/>
                <w:color w:val="000000" w:themeColor="text1"/>
                <w:szCs w:val="16"/>
              </w:rPr>
            </w:pPr>
            <w:r w:rsidRPr="00781112">
              <w:rPr>
                <w:color w:val="000000" w:themeColor="text1"/>
                <w:szCs w:val="16"/>
              </w:rPr>
              <w:t>87.00%</w:t>
            </w:r>
          </w:p>
        </w:tc>
      </w:tr>
      <w:tr w:rsidR="00B67FCE" w:rsidRPr="00781112" w14:paraId="571B685C" w14:textId="45446171" w:rsidTr="00845B9B">
        <w:trPr>
          <w:trHeight w:val="396"/>
        </w:trPr>
        <w:tc>
          <w:tcPr>
            <w:tcW w:w="550" w:type="pct"/>
            <w:shd w:val="clear" w:color="auto" w:fill="auto"/>
          </w:tcPr>
          <w:p w14:paraId="4D525255" w14:textId="5D1105EA" w:rsidR="00B67FCE" w:rsidRPr="00781112" w:rsidRDefault="00B67FCE" w:rsidP="00BA3DBE">
            <w:pPr>
              <w:jc w:val="center"/>
              <w:rPr>
                <w:rFonts w:cs="Arial"/>
                <w:color w:val="000000" w:themeColor="text1"/>
                <w:szCs w:val="16"/>
              </w:rPr>
            </w:pPr>
            <w:r w:rsidRPr="00781112">
              <w:rPr>
                <w:rFonts w:cs="Arial"/>
                <w:color w:val="000000" w:themeColor="text1"/>
                <w:szCs w:val="16"/>
              </w:rPr>
              <w:t>Target C &gt;=</w:t>
            </w:r>
          </w:p>
        </w:tc>
        <w:tc>
          <w:tcPr>
            <w:tcW w:w="1113" w:type="pct"/>
            <w:shd w:val="clear" w:color="auto" w:fill="auto"/>
            <w:vAlign w:val="center"/>
          </w:tcPr>
          <w:p w14:paraId="6A2D65BD" w14:textId="1F6D3E1F" w:rsidR="00B67FCE" w:rsidRPr="00781112" w:rsidRDefault="00B67FCE" w:rsidP="00AF574F">
            <w:pPr>
              <w:jc w:val="center"/>
              <w:rPr>
                <w:rFonts w:cs="Arial"/>
                <w:color w:val="000000" w:themeColor="text1"/>
                <w:szCs w:val="16"/>
              </w:rPr>
            </w:pPr>
            <w:r w:rsidRPr="00781112">
              <w:rPr>
                <w:rFonts w:cs="Arial"/>
                <w:color w:val="000000" w:themeColor="text1"/>
                <w:szCs w:val="16"/>
              </w:rPr>
              <w:t>77.91%</w:t>
            </w:r>
          </w:p>
        </w:tc>
        <w:tc>
          <w:tcPr>
            <w:tcW w:w="1113" w:type="pct"/>
          </w:tcPr>
          <w:p w14:paraId="6B5B030A" w14:textId="41C6CE98" w:rsidR="00B67FCE" w:rsidRPr="00781112" w:rsidRDefault="00B67FCE" w:rsidP="00AF574F">
            <w:pPr>
              <w:jc w:val="center"/>
              <w:rPr>
                <w:rFonts w:cs="Arial"/>
                <w:color w:val="000000" w:themeColor="text1"/>
                <w:szCs w:val="16"/>
              </w:rPr>
            </w:pPr>
            <w:r w:rsidRPr="00781112">
              <w:rPr>
                <w:color w:val="000000" w:themeColor="text1"/>
                <w:szCs w:val="16"/>
              </w:rPr>
              <w:t>78.91%</w:t>
            </w:r>
          </w:p>
        </w:tc>
        <w:tc>
          <w:tcPr>
            <w:tcW w:w="1112" w:type="pct"/>
          </w:tcPr>
          <w:p w14:paraId="1D90926B" w14:textId="034D06FC" w:rsidR="00B67FCE" w:rsidRPr="00781112" w:rsidRDefault="00B67FCE" w:rsidP="00AF574F">
            <w:pPr>
              <w:jc w:val="center"/>
              <w:rPr>
                <w:rFonts w:cs="Arial"/>
                <w:color w:val="000000" w:themeColor="text1"/>
                <w:szCs w:val="16"/>
              </w:rPr>
            </w:pPr>
            <w:r w:rsidRPr="00781112">
              <w:rPr>
                <w:color w:val="000000" w:themeColor="text1"/>
                <w:szCs w:val="16"/>
              </w:rPr>
              <w:t>80.41%</w:t>
            </w:r>
          </w:p>
        </w:tc>
        <w:tc>
          <w:tcPr>
            <w:tcW w:w="1112" w:type="pct"/>
          </w:tcPr>
          <w:p w14:paraId="4E4DC90B" w14:textId="096AE3F3" w:rsidR="00B67FCE" w:rsidRPr="00781112" w:rsidRDefault="00B67FCE" w:rsidP="00AF574F">
            <w:pPr>
              <w:jc w:val="center"/>
              <w:rPr>
                <w:rFonts w:cs="Arial"/>
                <w:color w:val="000000" w:themeColor="text1"/>
                <w:szCs w:val="16"/>
              </w:rPr>
            </w:pPr>
            <w:r w:rsidRPr="00781112">
              <w:rPr>
                <w:color w:val="000000" w:themeColor="text1"/>
                <w:szCs w:val="16"/>
              </w:rPr>
              <w:t>82.41%</w:t>
            </w:r>
          </w:p>
        </w:tc>
      </w:tr>
    </w:tbl>
    <w:p w14:paraId="007E6F50" w14:textId="125782E4" w:rsidR="000A2C83" w:rsidRPr="00781112" w:rsidRDefault="000A2C83" w:rsidP="004369B2">
      <w:pPr>
        <w:rPr>
          <w:b/>
          <w:color w:val="000000" w:themeColor="text1"/>
        </w:rPr>
      </w:pPr>
      <w:r w:rsidRPr="00781112">
        <w:rPr>
          <w:b/>
          <w:color w:val="000000" w:themeColor="text1"/>
        </w:rPr>
        <w:t xml:space="preserve">Targets: Description of Stakeholder Input </w:t>
      </w:r>
    </w:p>
    <w:p w14:paraId="0D80EDD0" w14:textId="285AFA3B" w:rsidR="000A2C83" w:rsidRPr="00781112" w:rsidRDefault="002B7490" w:rsidP="000A2C83">
      <w:pPr>
        <w:rPr>
          <w:rFonts w:cs="Arial"/>
          <w:color w:val="000000" w:themeColor="text1"/>
          <w:szCs w:val="16"/>
        </w:rPr>
      </w:pPr>
      <w:r w:rsidRPr="00781112">
        <w:rPr>
          <w:rFonts w:cs="Arial"/>
          <w:color w:val="000000" w:themeColor="text1"/>
          <w:szCs w:val="16"/>
        </w:rPr>
        <w:lastRenderedPageBreak/>
        <w:t>Mechanism for Broad Stakeholder Input:</w:t>
        <w:br/>
        <w:t xml:space="preserve">During FFY2022, the State held stakeholder meetings as the mechanism for soliciting broad stakeholder input on the State’s targets in the SPP/APR and any subsequent revisions. The meetings were held in-person for the first time following the COVID-19 pandemic. An online option was available for stakeholders that were not able to meet in person. In the meetings, Stakeholder groups reviewed the FFY2021 data, and the baselines and targets established for FFY 2020-2025. The groups analyzed the data to determine if established baselines and targets established in the prior year, were still an accurate depiction of the state’s performance trajectory. The meetings also allowed time for stakeholders to provide input on improvement strategies and progress for the SPP/APR indicators. The State also revised its methodology for Indicators 4a and 4b in which the information was shared with stakeholders and input was sought. In addition, the State also proposed a revised LEA annual determination rubric to include target indicators. The revised rubric will be used with FFY2023 LEA annual determinations and is consistent with the information in the OSEP Question and Answer document QA 23-01. </w:t>
        <w:br/>
        <w:t/>
        <w:br/>
        <w:t xml:space="preserve">Stakeholder meeting information including meeting logistics and presentations are available on the Special Education Division (SED) website for the public and any interested individual to access. Flyers were created and LEAs were asked to disseminate the information to their staff, parents, and students. The Parent Training Centers (PTCs) were asked to share the meeting information with parents including through social media. Other groups such as tribes, IDEA panel members, the State Special Education Ombud, and other parent advocacy groups were sent invitations to each of the meetings. </w:t>
        <w:br/>
        <w:t/>
        <w:br/>
        <w:t>Any stakeholder that wanted to provide feedback but could not attend the meetings, had an opportunity to do so. On the State’s stakeholder page, individuals can click on the link and share their input with the state staff by completing an input form. The feedback received from the website is also considered when making revisions and establishing targets.</w:t>
        <w:br/>
        <w:t/>
        <w:br/>
        <w:t>Feedback Summary:</w:t>
        <w:br/>
        <w:t>For Indicators 4a and 4b, the State’s methodology was proposed to be changed to meet OSEP requirements as indicated in the FFY2021, SPP/APR OSEP Responses and Required Actions. Stakeholders were presented with the new proposed methodology in which the cell size of 10 requirement was removed, the N size was reduced to 10 and a rate ratio of 3.0 was introduced. In comparison to the previous methodology, where a cell size and N size of 10 were required as well as a risk ratio of 1 percentage point above the state rate. Stakeholders had no objections or concerns with the new methodology. The State will use the new methodology to apply to the Indicator 4 data reported in this FFY2022 State Performance Plan/Annual Performance Report (SPP/APR).</w:t>
        <w:br/>
        <w:t/>
        <w:br/>
        <w:t>Indicator 17, State Systemic Improvement Plan:</w:t>
        <w:br/>
        <w:t xml:space="preserve">1. ECLIPSE program coordinators presented data and program updates to the state IDEA Panel (members include parents, advocates, state staff, and educators) during the 2022-2023 school year. IDEA panel members were engaged in the ECLIPSE program presentation on Indicator 17 and updates. An ECLIPSE panel committee provided qualitative feedback via a Google Form survey. The panel members conveyed the program is making progress in improving literacy outcomes forward for students with disabilities. Recommendations included increasing parental involvement and increased awareness of the program's successes. </w:t>
        <w:br/>
        <w:t>2. A virtual ECLIPSE stakeholder meeting was held during the 2022-2023 school year. Stakeholders in attendance included the ECLIPSE staff, Regional Education Cooperative (REC) coordinators, Special Education Directors, and ECLIPSE school principals. Stakeholders in attendance were provided with ECLIPSE program details for the upcoming school year and verbal feedback about the ECLIPSE Program at the end of the meeting.</w:t>
        <w:br/>
        <w:t xml:space="preserve">3. Parent engagement stakeholder meetings were held in-person and through online platforms where they were provided direct literacy training via hands-on activities. If the meeting was online, materials were provided to the schools prior to the meeting. The Regional Education Cooperative (REC) contractors provided materials, activities, and training to parents in-person. The REC initiated Google Pre and Post surveys following the trainings and it indicated that the level of understanding to support reading at home increased. Parental understanding of what the predicator of reading success was increased dramatically between pre and post surveys. A summary of parent comments included that the engagement sessions provided a lot of great information, it was a fun learning experience, and they looked forward to future meetings. </w:t>
        <w:br/>
        <w:t xml:space="preserve">4. The ECLIPSE staff initiated surveys during 2022-2023 to principals and teachers through Google Forms survey. Teachers showed dramatic increases in their knowledge of the incorporation of engagement strategies with their students due to their coaches. In a pre-survey, administrators listed that professional development on literacy is one of the greatest needs of the teachers they support. They also stated that time and equitable feedback were areas of administrative need. </w:t>
        <w:br/>
        <w:t>5. An online end of year survey was sent to all ECLIPSE stakeholders as the 2022-2023 school year ended. The main consensus from the survey supported the ongoing development of the program to illustrate its impact so adjustments can be made to better inform ourselves and our stakeholders of progress.</w:t>
      </w:r>
    </w:p>
    <w:p w14:paraId="262FFC50" w14:textId="3E779EE8" w:rsidR="000A2C83" w:rsidRPr="00781112" w:rsidRDefault="002B7490" w:rsidP="000A2C83">
      <w:pPr>
        <w:rPr>
          <w:rFonts w:cs="Arial"/>
          <w:color w:val="000000" w:themeColor="text1"/>
          <w:szCs w:val="16"/>
        </w:rPr>
      </w:pPr>
      <w:r w:rsidRPr="00781112">
        <w:rPr>
          <w:rFonts w:cs="Arial"/>
          <w:color w:val="000000" w:themeColor="text1"/>
          <w:szCs w:val="16"/>
        </w:rPr>
        <w:t/>
      </w:r>
    </w:p>
    <w:p w14:paraId="4522ADD4" w14:textId="77777777" w:rsidR="00E448E9" w:rsidRPr="00781112" w:rsidRDefault="00E448E9" w:rsidP="004369B2">
      <w:pPr>
        <w:rPr>
          <w:color w:val="000000" w:themeColor="text1"/>
        </w:rPr>
      </w:pPr>
      <w:bookmarkStart w:id="102" w:name="_Toc392159337"/>
    </w:p>
    <w:bookmarkEnd w:id="102"/>
    <w:p w14:paraId="4202DC3A" w14:textId="0A66A417" w:rsidR="00A03EFA" w:rsidRPr="00781112" w:rsidRDefault="0047313F" w:rsidP="004369B2">
      <w:pPr>
        <w:rPr>
          <w:color w:val="000000" w:themeColor="text1"/>
        </w:rPr>
      </w:pPr>
      <w:r>
        <w:rPr>
          <w:b/>
          <w:color w:val="000000" w:themeColor="text1"/>
        </w:rPr>
        <w:t>FFY 2022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4CFFYAPRDATA"/>
      </w:tblPr>
      <w:tblGrid>
        <w:gridCol w:w="8155"/>
        <w:gridCol w:w="2635"/>
      </w:tblGrid>
      <w:tr w:rsidR="00090132" w:rsidRPr="00781112" w14:paraId="207EB2D1" w14:textId="77777777" w:rsidTr="00090132">
        <w:tc>
          <w:tcPr>
            <w:tcW w:w="3890" w:type="pct"/>
            <w:vAlign w:val="center"/>
          </w:tcPr>
          <w:p w14:paraId="67362B4A" w14:textId="3209EFE1" w:rsidR="00090132" w:rsidRPr="00781112" w:rsidRDefault="00090132" w:rsidP="00090132">
            <w:pPr>
              <w:keepNext/>
              <w:rPr>
                <w:rFonts w:cs="Arial"/>
                <w:color w:val="000000" w:themeColor="text1"/>
                <w:szCs w:val="16"/>
              </w:rPr>
            </w:pPr>
            <w:r>
              <w:rPr>
                <w:rFonts w:cs="Arial"/>
                <w:szCs w:val="16"/>
              </w:rPr>
              <w:t>Total</w:t>
            </w:r>
            <w:r w:rsidRPr="000B10B6">
              <w:rPr>
                <w:rFonts w:eastAsia="Times New Roman" w:cs="Arial"/>
                <w:szCs w:val="16"/>
              </w:rPr>
              <w:t xml:space="preserve"> number of targeted youth in the sample or census</w:t>
            </w:r>
          </w:p>
        </w:tc>
        <w:tc>
          <w:tcPr>
            <w:tcW w:w="1110" w:type="pct"/>
            <w:vAlign w:val="center"/>
          </w:tcPr>
          <w:p w14:paraId="2427A8AD" w14:textId="54179547" w:rsidR="00090132" w:rsidRPr="00781112" w:rsidRDefault="00090132" w:rsidP="00090132">
            <w:pPr>
              <w:jc w:val="center"/>
              <w:rPr>
                <w:rFonts w:cs="Arial"/>
                <w:color w:val="000000" w:themeColor="text1"/>
                <w:szCs w:val="16"/>
              </w:rPr>
            </w:pPr>
            <w:r>
              <w:rPr>
                <w:rFonts w:cs="Arial"/>
                <w:color w:val="000000" w:themeColor="text1"/>
                <w:szCs w:val="16"/>
              </w:rPr>
              <w:t>2,691</w:t>
            </w:r>
          </w:p>
        </w:tc>
      </w:tr>
      <w:tr w:rsidR="00090132" w:rsidRPr="00781112" w14:paraId="4BEBCF45" w14:textId="77777777" w:rsidTr="00090132">
        <w:tc>
          <w:tcPr>
            <w:tcW w:w="3890" w:type="pct"/>
            <w:vAlign w:val="center"/>
          </w:tcPr>
          <w:p w14:paraId="362898CB" w14:textId="77777777" w:rsidR="00090132" w:rsidRPr="00781112" w:rsidRDefault="00090132" w:rsidP="00090132">
            <w:pPr>
              <w:keepNext/>
              <w:rPr>
                <w:rFonts w:cs="Arial"/>
                <w:color w:val="000000" w:themeColor="text1"/>
                <w:szCs w:val="16"/>
              </w:rPr>
            </w:pPr>
            <w:r w:rsidRPr="00781112">
              <w:rPr>
                <w:rFonts w:cs="Arial"/>
                <w:color w:val="000000" w:themeColor="text1"/>
                <w:szCs w:val="16"/>
              </w:rPr>
              <w:t>Number of respondent youth who are no longer in secondary school and had IEPs in effect at the time they left school</w:t>
            </w:r>
          </w:p>
        </w:tc>
        <w:tc>
          <w:tcPr>
            <w:tcW w:w="1110" w:type="pct"/>
            <w:vAlign w:val="center"/>
          </w:tcPr>
          <w:p w14:paraId="4E7A7BCA" w14:textId="4D8CFE95" w:rsidR="00090132" w:rsidRPr="00781112" w:rsidRDefault="00090132" w:rsidP="00090132">
            <w:pPr>
              <w:jc w:val="center"/>
              <w:rPr>
                <w:rFonts w:cs="Arial"/>
                <w:color w:val="000000" w:themeColor="text1"/>
                <w:szCs w:val="16"/>
              </w:rPr>
            </w:pPr>
            <w:r w:rsidRPr="00781112">
              <w:rPr>
                <w:rFonts w:cs="Arial"/>
                <w:color w:val="000000" w:themeColor="text1"/>
                <w:szCs w:val="16"/>
              </w:rPr>
              <w:t>2,025</w:t>
            </w:r>
          </w:p>
        </w:tc>
      </w:tr>
      <w:tr w:rsidR="00090132" w:rsidRPr="00781112" w14:paraId="099154C0" w14:textId="77777777" w:rsidTr="00090132">
        <w:tc>
          <w:tcPr>
            <w:tcW w:w="3890" w:type="pct"/>
            <w:vAlign w:val="center"/>
          </w:tcPr>
          <w:p w14:paraId="5A4C399B" w14:textId="5923727A" w:rsidR="00090132" w:rsidRPr="00781112" w:rsidRDefault="00090132" w:rsidP="00090132">
            <w:pPr>
              <w:rPr>
                <w:rFonts w:cs="Arial"/>
                <w:color w:val="000000" w:themeColor="text1"/>
                <w:szCs w:val="16"/>
              </w:rPr>
            </w:pPr>
            <w:r>
              <w:rPr>
                <w:rFonts w:cs="Arial"/>
                <w:szCs w:val="16"/>
              </w:rPr>
              <w:t>Response Rate</w:t>
            </w:r>
          </w:p>
        </w:tc>
        <w:tc>
          <w:tcPr>
            <w:tcW w:w="1110" w:type="pct"/>
            <w:vAlign w:val="center"/>
          </w:tcPr>
          <w:p w14:paraId="394AE71F" w14:textId="54DFC261" w:rsidR="00090132" w:rsidRPr="00781112" w:rsidRDefault="00090132" w:rsidP="00090132">
            <w:pPr>
              <w:jc w:val="center"/>
              <w:rPr>
                <w:rFonts w:cs="Arial"/>
                <w:color w:val="000000" w:themeColor="text1"/>
                <w:szCs w:val="16"/>
              </w:rPr>
            </w:pPr>
            <w:r w:rsidRPr="00ED172B">
              <w:rPr>
                <w:rFonts w:cs="Arial"/>
                <w:color w:val="000000" w:themeColor="text1"/>
                <w:szCs w:val="16"/>
              </w:rPr>
              <w:t>75.25%</w:t>
            </w:r>
          </w:p>
        </w:tc>
      </w:tr>
      <w:tr w:rsidR="00090132" w:rsidRPr="00781112" w14:paraId="5E0C2D8D" w14:textId="77777777" w:rsidTr="00090132">
        <w:tc>
          <w:tcPr>
            <w:tcW w:w="3890" w:type="pct"/>
            <w:vAlign w:val="center"/>
          </w:tcPr>
          <w:p w14:paraId="307B7092" w14:textId="77777777" w:rsidR="00090132" w:rsidRPr="00781112" w:rsidRDefault="00090132" w:rsidP="00090132">
            <w:pPr>
              <w:rPr>
                <w:rFonts w:cs="Arial"/>
                <w:color w:val="000000" w:themeColor="text1"/>
                <w:szCs w:val="16"/>
              </w:rPr>
            </w:pPr>
            <w:r w:rsidRPr="00781112">
              <w:rPr>
                <w:rFonts w:cs="Arial"/>
                <w:color w:val="000000" w:themeColor="text1"/>
                <w:szCs w:val="16"/>
              </w:rPr>
              <w:t xml:space="preserve">1. Number of respondent youth who enrolled in higher education within one year of leaving high school </w:t>
            </w:r>
          </w:p>
        </w:tc>
        <w:tc>
          <w:tcPr>
            <w:tcW w:w="1110" w:type="pct"/>
            <w:vAlign w:val="center"/>
          </w:tcPr>
          <w:p w14:paraId="0A9A571A" w14:textId="2C7C274B" w:rsidR="00090132" w:rsidRPr="00781112" w:rsidRDefault="00090132" w:rsidP="00090132">
            <w:pPr>
              <w:jc w:val="center"/>
              <w:rPr>
                <w:rFonts w:cs="Arial"/>
                <w:color w:val="000000" w:themeColor="text1"/>
                <w:szCs w:val="16"/>
              </w:rPr>
            </w:pPr>
            <w:r w:rsidRPr="00781112">
              <w:rPr>
                <w:rFonts w:cs="Arial"/>
                <w:color w:val="000000" w:themeColor="text1"/>
                <w:szCs w:val="16"/>
              </w:rPr>
              <w:t>641</w:t>
            </w:r>
          </w:p>
        </w:tc>
      </w:tr>
      <w:tr w:rsidR="00090132" w:rsidRPr="00781112" w14:paraId="7827FDF9" w14:textId="77777777" w:rsidTr="00090132">
        <w:tc>
          <w:tcPr>
            <w:tcW w:w="3890" w:type="pct"/>
            <w:vAlign w:val="center"/>
          </w:tcPr>
          <w:p w14:paraId="143C6167" w14:textId="77777777" w:rsidR="00090132" w:rsidRPr="00781112" w:rsidRDefault="00090132" w:rsidP="00090132">
            <w:pPr>
              <w:rPr>
                <w:rFonts w:cs="Arial"/>
                <w:color w:val="000000" w:themeColor="text1"/>
                <w:szCs w:val="16"/>
              </w:rPr>
            </w:pPr>
            <w:r w:rsidRPr="00781112">
              <w:rPr>
                <w:rFonts w:cs="Arial"/>
                <w:color w:val="000000" w:themeColor="text1"/>
                <w:szCs w:val="16"/>
              </w:rPr>
              <w:t xml:space="preserve">2. Number of respondent youth who competitively employed within one year of leaving high school </w:t>
            </w:r>
          </w:p>
        </w:tc>
        <w:tc>
          <w:tcPr>
            <w:tcW w:w="1110" w:type="pct"/>
            <w:vAlign w:val="center"/>
          </w:tcPr>
          <w:p w14:paraId="6B716476" w14:textId="340D4859" w:rsidR="00090132" w:rsidRPr="00781112" w:rsidRDefault="00090132" w:rsidP="00090132">
            <w:pPr>
              <w:jc w:val="center"/>
              <w:rPr>
                <w:rFonts w:cs="Arial"/>
                <w:color w:val="000000" w:themeColor="text1"/>
                <w:szCs w:val="16"/>
              </w:rPr>
            </w:pPr>
            <w:r w:rsidRPr="00781112">
              <w:rPr>
                <w:rFonts w:cs="Arial"/>
                <w:color w:val="000000" w:themeColor="text1"/>
                <w:szCs w:val="16"/>
              </w:rPr>
              <w:t>937</w:t>
            </w:r>
          </w:p>
        </w:tc>
      </w:tr>
      <w:tr w:rsidR="00090132" w:rsidRPr="00781112" w14:paraId="5F3556EC" w14:textId="77777777" w:rsidTr="00090132">
        <w:tc>
          <w:tcPr>
            <w:tcW w:w="3890" w:type="pct"/>
            <w:vAlign w:val="center"/>
          </w:tcPr>
          <w:p w14:paraId="31472415" w14:textId="77777777" w:rsidR="00090132" w:rsidRPr="00781112" w:rsidRDefault="00090132" w:rsidP="00090132">
            <w:pPr>
              <w:rPr>
                <w:rFonts w:cs="Arial"/>
                <w:color w:val="000000" w:themeColor="text1"/>
                <w:szCs w:val="16"/>
              </w:rPr>
            </w:pPr>
            <w:r w:rsidRPr="00781112">
              <w:rPr>
                <w:rFonts w:cs="Arial"/>
                <w:color w:val="000000" w:themeColor="text1"/>
                <w:szCs w:val="16"/>
              </w:rPr>
              <w:t>3. Number of respondent youth enrolled in some other postsecondary education or training program within one year of leaving high school (but not enrolled in higher education or competitively employed)</w:t>
            </w:r>
          </w:p>
        </w:tc>
        <w:tc>
          <w:tcPr>
            <w:tcW w:w="1110" w:type="pct"/>
            <w:vAlign w:val="center"/>
          </w:tcPr>
          <w:p w14:paraId="113FFF64" w14:textId="3A694BE0" w:rsidR="00090132" w:rsidRPr="00781112" w:rsidRDefault="00090132" w:rsidP="00090132">
            <w:pPr>
              <w:jc w:val="center"/>
              <w:rPr>
                <w:rFonts w:cs="Arial"/>
                <w:color w:val="000000" w:themeColor="text1"/>
                <w:szCs w:val="16"/>
              </w:rPr>
            </w:pPr>
            <w:r w:rsidRPr="00781112">
              <w:rPr>
                <w:rFonts w:cs="Arial"/>
                <w:color w:val="000000" w:themeColor="text1"/>
                <w:szCs w:val="16"/>
              </w:rPr>
              <w:t>63</w:t>
            </w:r>
          </w:p>
        </w:tc>
      </w:tr>
      <w:tr w:rsidR="00090132" w:rsidRPr="00781112" w14:paraId="781804C6" w14:textId="77777777" w:rsidTr="00090132">
        <w:tc>
          <w:tcPr>
            <w:tcW w:w="3890" w:type="pct"/>
            <w:vAlign w:val="center"/>
          </w:tcPr>
          <w:p w14:paraId="1C549366" w14:textId="77777777" w:rsidR="00090132" w:rsidRPr="00781112" w:rsidRDefault="00090132" w:rsidP="00090132">
            <w:pPr>
              <w:rPr>
                <w:rFonts w:cs="Arial"/>
                <w:color w:val="000000" w:themeColor="text1"/>
                <w:szCs w:val="16"/>
              </w:rPr>
            </w:pPr>
            <w:r w:rsidRPr="00781112">
              <w:rPr>
                <w:rFonts w:cs="Arial"/>
                <w:color w:val="000000" w:themeColor="text1"/>
                <w:szCs w:val="16"/>
              </w:rPr>
              <w:t>4. Number of respondent youth who are in some other employment within one year of leaving high school (but not enrolled in higher education, some other postsecondary education or training program, or competitively employed).</w:t>
            </w:r>
          </w:p>
        </w:tc>
        <w:tc>
          <w:tcPr>
            <w:tcW w:w="1110" w:type="pct"/>
            <w:vAlign w:val="center"/>
          </w:tcPr>
          <w:p w14:paraId="73A7669A" w14:textId="69DC744F" w:rsidR="00090132" w:rsidRPr="00781112" w:rsidRDefault="00090132" w:rsidP="00090132">
            <w:pPr>
              <w:jc w:val="center"/>
              <w:rPr>
                <w:rFonts w:cs="Arial"/>
                <w:color w:val="000000" w:themeColor="text1"/>
                <w:szCs w:val="16"/>
              </w:rPr>
            </w:pPr>
            <w:r w:rsidRPr="00781112">
              <w:rPr>
                <w:rFonts w:cs="Arial"/>
                <w:color w:val="000000" w:themeColor="text1"/>
                <w:szCs w:val="16"/>
              </w:rPr>
              <w:t>64</w:t>
            </w:r>
          </w:p>
        </w:tc>
      </w:tr>
    </w:tbl>
    <w:p w14:paraId="4C7C103F" w14:textId="77777777" w:rsidR="00634AD8" w:rsidRPr="00781112" w:rsidRDefault="00634AD8" w:rsidP="00634AD8">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4CFFYAPRDATA1"/>
      </w:tblPr>
      <w:tblGrid>
        <w:gridCol w:w="1348"/>
        <w:gridCol w:w="1348"/>
        <w:gridCol w:w="1349"/>
        <w:gridCol w:w="1349"/>
        <w:gridCol w:w="1349"/>
        <w:gridCol w:w="1349"/>
        <w:gridCol w:w="1349"/>
        <w:gridCol w:w="1349"/>
      </w:tblGrid>
      <w:tr w:rsidR="00B1652C" w:rsidRPr="00781112" w14:paraId="5EEC1BAF" w14:textId="0A8A2949" w:rsidTr="0033429D">
        <w:trPr>
          <w:trHeight w:val="358"/>
          <w:tblHeader/>
        </w:trPr>
        <w:tc>
          <w:tcPr>
            <w:tcW w:w="625" w:type="pct"/>
            <w:shd w:val="clear" w:color="auto" w:fill="auto"/>
            <w:vAlign w:val="bottom"/>
          </w:tcPr>
          <w:p w14:paraId="4E882584" w14:textId="038C3477" w:rsidR="00B1652C" w:rsidRPr="00781112" w:rsidRDefault="00B1652C" w:rsidP="00B1652C">
            <w:pPr>
              <w:jc w:val="center"/>
              <w:rPr>
                <w:rFonts w:cs="Arial"/>
                <w:b/>
                <w:color w:val="000000" w:themeColor="text1"/>
                <w:szCs w:val="16"/>
              </w:rPr>
            </w:pPr>
            <w:r w:rsidRPr="00781112">
              <w:rPr>
                <w:rFonts w:cs="Arial"/>
                <w:b/>
                <w:color w:val="000000" w:themeColor="text1"/>
                <w:szCs w:val="16"/>
              </w:rPr>
              <w:t>Measure</w:t>
            </w:r>
          </w:p>
        </w:tc>
        <w:tc>
          <w:tcPr>
            <w:tcW w:w="625" w:type="pct"/>
            <w:shd w:val="clear" w:color="auto" w:fill="auto"/>
            <w:vAlign w:val="bottom"/>
          </w:tcPr>
          <w:p w14:paraId="5814109E"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Number of respondent youth</w:t>
            </w:r>
          </w:p>
        </w:tc>
        <w:tc>
          <w:tcPr>
            <w:tcW w:w="625" w:type="pct"/>
            <w:shd w:val="clear" w:color="auto" w:fill="auto"/>
            <w:vAlign w:val="bottom"/>
          </w:tcPr>
          <w:p w14:paraId="14CE6B2C"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Number of respondent youth who are no longer in secondary school and had IEPs in effect at the time they left school</w:t>
            </w:r>
          </w:p>
        </w:tc>
        <w:tc>
          <w:tcPr>
            <w:tcW w:w="625" w:type="pct"/>
            <w:shd w:val="clear" w:color="auto" w:fill="auto"/>
            <w:vAlign w:val="bottom"/>
          </w:tcPr>
          <w:p w14:paraId="12E02A36" w14:textId="1EB1CF1D" w:rsidR="00B1652C" w:rsidRPr="006D0A52" w:rsidRDefault="00B1652C" w:rsidP="00B1652C">
            <w:pPr>
              <w:jc w:val="center"/>
              <w:rPr>
                <w:rFonts w:cs="Arial"/>
                <w:b/>
                <w:bCs/>
                <w:color w:val="000000" w:themeColor="text1"/>
                <w:szCs w:val="16"/>
              </w:rPr>
            </w:pPr>
            <w:r w:rsidRPr="006D0A52">
              <w:rPr>
                <w:b/>
                <w:bCs/>
              </w:rPr>
              <w:t>FFY 2021 Data</w:t>
            </w:r>
          </w:p>
        </w:tc>
        <w:tc>
          <w:tcPr>
            <w:tcW w:w="625" w:type="pct"/>
            <w:shd w:val="clear" w:color="auto" w:fill="auto"/>
            <w:vAlign w:val="bottom"/>
          </w:tcPr>
          <w:p w14:paraId="5152926B" w14:textId="26634D53" w:rsidR="00B1652C" w:rsidRPr="006D0A52" w:rsidRDefault="00B1652C" w:rsidP="00B1652C">
            <w:pPr>
              <w:jc w:val="center"/>
              <w:rPr>
                <w:rFonts w:cs="Arial"/>
                <w:b/>
                <w:bCs/>
                <w:color w:val="000000" w:themeColor="text1"/>
                <w:szCs w:val="16"/>
              </w:rPr>
            </w:pPr>
            <w:r w:rsidRPr="006D0A52">
              <w:rPr>
                <w:b/>
                <w:bCs/>
              </w:rPr>
              <w:t>FFY 2022 Target</w:t>
            </w:r>
          </w:p>
        </w:tc>
        <w:tc>
          <w:tcPr>
            <w:tcW w:w="625" w:type="pct"/>
            <w:shd w:val="clear" w:color="auto" w:fill="auto"/>
            <w:vAlign w:val="bottom"/>
          </w:tcPr>
          <w:p w14:paraId="520BBB1B" w14:textId="4A9A2F0F" w:rsidR="00B1652C" w:rsidRPr="006D0A52" w:rsidRDefault="00B1652C" w:rsidP="00B1652C">
            <w:pPr>
              <w:jc w:val="center"/>
              <w:rPr>
                <w:rFonts w:cs="Arial"/>
                <w:b/>
                <w:bCs/>
                <w:color w:val="000000" w:themeColor="text1"/>
                <w:szCs w:val="16"/>
              </w:rPr>
            </w:pPr>
            <w:r w:rsidRPr="006D0A52">
              <w:rPr>
                <w:b/>
                <w:bCs/>
              </w:rPr>
              <w:t>FFY 2022 Data</w:t>
            </w:r>
          </w:p>
        </w:tc>
        <w:tc>
          <w:tcPr>
            <w:tcW w:w="625" w:type="pct"/>
            <w:shd w:val="clear" w:color="auto" w:fill="auto"/>
            <w:vAlign w:val="bottom"/>
          </w:tcPr>
          <w:p w14:paraId="4E9CD96E" w14:textId="648B12FE" w:rsidR="00B1652C" w:rsidRPr="00781112" w:rsidRDefault="00B1652C" w:rsidP="00B1652C">
            <w:pPr>
              <w:jc w:val="center"/>
              <w:rPr>
                <w:rFonts w:cs="Arial"/>
                <w:b/>
                <w:color w:val="000000" w:themeColor="text1"/>
                <w:szCs w:val="16"/>
              </w:rPr>
            </w:pPr>
            <w:r w:rsidRPr="00781112">
              <w:rPr>
                <w:rFonts w:cs="Arial"/>
                <w:b/>
                <w:color w:val="000000" w:themeColor="text1"/>
                <w:szCs w:val="16"/>
              </w:rPr>
              <w:t>Status</w:t>
            </w:r>
          </w:p>
        </w:tc>
        <w:tc>
          <w:tcPr>
            <w:tcW w:w="625" w:type="pct"/>
            <w:shd w:val="clear" w:color="auto" w:fill="auto"/>
            <w:vAlign w:val="bottom"/>
          </w:tcPr>
          <w:p w14:paraId="715E8BB1" w14:textId="2FE9D03B" w:rsidR="00B1652C" w:rsidRPr="00781112" w:rsidRDefault="00B1652C" w:rsidP="00B1652C">
            <w:pPr>
              <w:jc w:val="center"/>
              <w:rPr>
                <w:rFonts w:cs="Arial"/>
                <w:b/>
                <w:color w:val="000000" w:themeColor="text1"/>
                <w:szCs w:val="16"/>
              </w:rPr>
            </w:pPr>
            <w:r w:rsidRPr="00781112">
              <w:rPr>
                <w:rFonts w:cs="Arial"/>
                <w:b/>
                <w:color w:val="000000" w:themeColor="text1"/>
                <w:szCs w:val="16"/>
              </w:rPr>
              <w:t>Slippage</w:t>
            </w:r>
          </w:p>
        </w:tc>
      </w:tr>
      <w:tr w:rsidR="005C29F8" w:rsidRPr="00781112" w14:paraId="2526E003" w14:textId="5321EBA7" w:rsidTr="0033429D">
        <w:trPr>
          <w:trHeight w:val="365"/>
        </w:trPr>
        <w:tc>
          <w:tcPr>
            <w:tcW w:w="625" w:type="pct"/>
            <w:shd w:val="clear" w:color="auto" w:fill="auto"/>
            <w:vAlign w:val="center"/>
          </w:tcPr>
          <w:p w14:paraId="4322DAA7" w14:textId="775B971A" w:rsidR="00C66181" w:rsidRPr="00781112" w:rsidRDefault="00C66181" w:rsidP="00C66181">
            <w:pPr>
              <w:rPr>
                <w:rFonts w:cs="Arial"/>
                <w:color w:val="000000" w:themeColor="text1"/>
                <w:szCs w:val="16"/>
              </w:rPr>
            </w:pPr>
            <w:r w:rsidRPr="00781112">
              <w:rPr>
                <w:rFonts w:cs="Arial"/>
                <w:color w:val="000000" w:themeColor="text1"/>
                <w:szCs w:val="16"/>
              </w:rPr>
              <w:t>A. Enrolled in higher education (1)</w:t>
            </w:r>
          </w:p>
        </w:tc>
        <w:tc>
          <w:tcPr>
            <w:tcW w:w="625" w:type="pct"/>
            <w:shd w:val="clear" w:color="auto" w:fill="auto"/>
            <w:vAlign w:val="center"/>
          </w:tcPr>
          <w:p w14:paraId="2B2B0998" w14:textId="349D0F93" w:rsidR="00C66181" w:rsidRPr="00781112" w:rsidRDefault="002B7490" w:rsidP="00A018D4">
            <w:pPr>
              <w:jc w:val="center"/>
              <w:rPr>
                <w:rFonts w:cs="Arial"/>
                <w:color w:val="000000" w:themeColor="text1"/>
                <w:szCs w:val="16"/>
              </w:rPr>
            </w:pPr>
            <w:r w:rsidRPr="00781112">
              <w:rPr>
                <w:rFonts w:cs="Arial"/>
                <w:color w:val="000000" w:themeColor="text1"/>
                <w:szCs w:val="16"/>
              </w:rPr>
              <w:t>641</w:t>
            </w:r>
          </w:p>
        </w:tc>
        <w:tc>
          <w:tcPr>
            <w:tcW w:w="625" w:type="pct"/>
            <w:shd w:val="clear" w:color="auto" w:fill="auto"/>
            <w:vAlign w:val="center"/>
          </w:tcPr>
          <w:p w14:paraId="2D1BC64A" w14:textId="15C5A024" w:rsidR="00C66181" w:rsidRPr="00781112" w:rsidRDefault="002B7490" w:rsidP="00A018D4">
            <w:pPr>
              <w:jc w:val="center"/>
              <w:rPr>
                <w:rFonts w:cs="Arial"/>
                <w:color w:val="000000" w:themeColor="text1"/>
                <w:szCs w:val="16"/>
              </w:rPr>
            </w:pPr>
            <w:r w:rsidRPr="00781112">
              <w:rPr>
                <w:rFonts w:cs="Arial"/>
                <w:color w:val="000000" w:themeColor="text1"/>
                <w:szCs w:val="16"/>
              </w:rPr>
              <w:t>2,025</w:t>
            </w:r>
          </w:p>
        </w:tc>
        <w:tc>
          <w:tcPr>
            <w:tcW w:w="625" w:type="pct"/>
            <w:shd w:val="clear" w:color="auto" w:fill="auto"/>
            <w:vAlign w:val="center"/>
          </w:tcPr>
          <w:p w14:paraId="3243FB0B" w14:textId="028EEEBB" w:rsidR="00C66181" w:rsidRPr="00781112" w:rsidRDefault="002B7490" w:rsidP="00A018D4">
            <w:pPr>
              <w:jc w:val="center"/>
              <w:rPr>
                <w:rFonts w:cs="Arial"/>
                <w:color w:val="000000" w:themeColor="text1"/>
                <w:szCs w:val="16"/>
              </w:rPr>
            </w:pPr>
            <w:r w:rsidRPr="00781112">
              <w:rPr>
                <w:rFonts w:cs="Arial"/>
                <w:color w:val="000000" w:themeColor="text1"/>
                <w:szCs w:val="16"/>
              </w:rPr>
              <w:t>31.95%</w:t>
            </w:r>
          </w:p>
        </w:tc>
        <w:tc>
          <w:tcPr>
            <w:tcW w:w="625" w:type="pct"/>
            <w:shd w:val="clear" w:color="auto" w:fill="auto"/>
            <w:vAlign w:val="center"/>
          </w:tcPr>
          <w:p w14:paraId="7BCB140B" w14:textId="02D0AFDC" w:rsidR="00C66181" w:rsidRPr="00781112" w:rsidRDefault="002B7490" w:rsidP="00A018D4">
            <w:pPr>
              <w:jc w:val="center"/>
              <w:rPr>
                <w:rFonts w:cs="Arial"/>
                <w:color w:val="000000" w:themeColor="text1"/>
                <w:szCs w:val="16"/>
              </w:rPr>
            </w:pPr>
            <w:r w:rsidRPr="00781112">
              <w:rPr>
                <w:rFonts w:cs="Arial"/>
                <w:color w:val="000000" w:themeColor="text1"/>
                <w:szCs w:val="16"/>
              </w:rPr>
              <w:t>61.56%</w:t>
            </w:r>
          </w:p>
        </w:tc>
        <w:tc>
          <w:tcPr>
            <w:tcW w:w="625" w:type="pct"/>
            <w:shd w:val="clear" w:color="auto" w:fill="auto"/>
            <w:vAlign w:val="center"/>
          </w:tcPr>
          <w:p w14:paraId="0D6600A4" w14:textId="4E0FD8C8" w:rsidR="00C66181" w:rsidRPr="00781112" w:rsidRDefault="002B7490" w:rsidP="00A018D4">
            <w:pPr>
              <w:jc w:val="center"/>
              <w:rPr>
                <w:rFonts w:cs="Arial"/>
                <w:color w:val="000000" w:themeColor="text1"/>
                <w:szCs w:val="16"/>
              </w:rPr>
            </w:pPr>
            <w:r w:rsidRPr="00781112">
              <w:rPr>
                <w:rFonts w:cs="Arial"/>
                <w:color w:val="000000" w:themeColor="text1"/>
                <w:szCs w:val="16"/>
              </w:rPr>
              <w:t>31.65%</w:t>
            </w:r>
          </w:p>
        </w:tc>
        <w:tc>
          <w:tcPr>
            <w:tcW w:w="625" w:type="pct"/>
            <w:shd w:val="clear" w:color="auto" w:fill="auto"/>
            <w:vAlign w:val="center"/>
          </w:tcPr>
          <w:p w14:paraId="3C766484" w14:textId="7B272BC5" w:rsidR="00C66181"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25" w:type="pct"/>
            <w:shd w:val="clear" w:color="auto" w:fill="auto"/>
            <w:vAlign w:val="center"/>
          </w:tcPr>
          <w:p w14:paraId="575A444D" w14:textId="78F1C14C" w:rsidR="00C66181"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5C29F8" w:rsidRPr="00781112" w14:paraId="490D8194" w14:textId="3CFB279F" w:rsidTr="0033429D">
        <w:trPr>
          <w:trHeight w:val="365"/>
        </w:trPr>
        <w:tc>
          <w:tcPr>
            <w:tcW w:w="625" w:type="pct"/>
            <w:shd w:val="clear" w:color="auto" w:fill="auto"/>
            <w:vAlign w:val="center"/>
          </w:tcPr>
          <w:p w14:paraId="64A6757D" w14:textId="0FC0A9B9" w:rsidR="00C66181" w:rsidRPr="00781112" w:rsidRDefault="00C66181" w:rsidP="00C66181">
            <w:pPr>
              <w:rPr>
                <w:rFonts w:cs="Arial"/>
                <w:color w:val="000000" w:themeColor="text1"/>
                <w:szCs w:val="16"/>
              </w:rPr>
            </w:pPr>
            <w:r w:rsidRPr="00781112">
              <w:rPr>
                <w:rFonts w:cs="Arial"/>
                <w:color w:val="000000" w:themeColor="text1"/>
                <w:szCs w:val="16"/>
              </w:rPr>
              <w:t>B. Enrolled in higher education or competitively employed within one year of leaving high school (1 +2)</w:t>
            </w:r>
          </w:p>
        </w:tc>
        <w:tc>
          <w:tcPr>
            <w:tcW w:w="625" w:type="pct"/>
            <w:shd w:val="clear" w:color="auto" w:fill="auto"/>
            <w:vAlign w:val="center"/>
          </w:tcPr>
          <w:p w14:paraId="60F6248F" w14:textId="7EC302DD" w:rsidR="00C66181" w:rsidRPr="00781112" w:rsidRDefault="002B7490" w:rsidP="00A018D4">
            <w:pPr>
              <w:jc w:val="center"/>
              <w:rPr>
                <w:rFonts w:cs="Arial"/>
                <w:color w:val="000000" w:themeColor="text1"/>
                <w:szCs w:val="16"/>
              </w:rPr>
            </w:pPr>
            <w:r w:rsidRPr="00781112">
              <w:rPr>
                <w:rFonts w:cs="Arial"/>
                <w:color w:val="000000" w:themeColor="text1"/>
                <w:szCs w:val="16"/>
              </w:rPr>
              <w:t>1,578</w:t>
            </w:r>
          </w:p>
        </w:tc>
        <w:tc>
          <w:tcPr>
            <w:tcW w:w="625" w:type="pct"/>
            <w:shd w:val="clear" w:color="auto" w:fill="auto"/>
            <w:vAlign w:val="center"/>
          </w:tcPr>
          <w:p w14:paraId="5DE56E38" w14:textId="525AF49A" w:rsidR="00C66181" w:rsidRPr="00781112" w:rsidRDefault="002B7490" w:rsidP="00A018D4">
            <w:pPr>
              <w:jc w:val="center"/>
              <w:rPr>
                <w:rFonts w:cs="Arial"/>
                <w:color w:val="000000" w:themeColor="text1"/>
                <w:szCs w:val="16"/>
              </w:rPr>
            </w:pPr>
            <w:r w:rsidRPr="00781112">
              <w:rPr>
                <w:rFonts w:cs="Arial"/>
                <w:color w:val="000000" w:themeColor="text1"/>
                <w:szCs w:val="16"/>
              </w:rPr>
              <w:t>2,025</w:t>
            </w:r>
          </w:p>
        </w:tc>
        <w:tc>
          <w:tcPr>
            <w:tcW w:w="625" w:type="pct"/>
            <w:shd w:val="clear" w:color="auto" w:fill="auto"/>
            <w:vAlign w:val="center"/>
          </w:tcPr>
          <w:p w14:paraId="7FF1FC54" w14:textId="2A5DA1E3" w:rsidR="00C66181" w:rsidRPr="00781112" w:rsidRDefault="002B7490" w:rsidP="00A018D4">
            <w:pPr>
              <w:jc w:val="center"/>
              <w:rPr>
                <w:rFonts w:cs="Arial"/>
                <w:color w:val="000000" w:themeColor="text1"/>
                <w:szCs w:val="16"/>
              </w:rPr>
            </w:pPr>
            <w:r w:rsidRPr="00781112">
              <w:rPr>
                <w:rFonts w:cs="Arial"/>
                <w:color w:val="000000" w:themeColor="text1"/>
                <w:szCs w:val="16"/>
              </w:rPr>
              <w:t>75.11%</w:t>
            </w:r>
          </w:p>
        </w:tc>
        <w:tc>
          <w:tcPr>
            <w:tcW w:w="625" w:type="pct"/>
            <w:shd w:val="clear" w:color="auto" w:fill="auto"/>
            <w:vAlign w:val="center"/>
          </w:tcPr>
          <w:p w14:paraId="296C6AD3" w14:textId="560D60D3" w:rsidR="00C66181" w:rsidRPr="00781112" w:rsidRDefault="002B7490" w:rsidP="00A018D4">
            <w:pPr>
              <w:jc w:val="center"/>
              <w:rPr>
                <w:rFonts w:cs="Arial"/>
                <w:color w:val="000000" w:themeColor="text1"/>
                <w:szCs w:val="16"/>
              </w:rPr>
            </w:pPr>
            <w:r w:rsidRPr="00781112">
              <w:rPr>
                <w:rFonts w:cs="Arial"/>
                <w:color w:val="000000" w:themeColor="text1"/>
                <w:szCs w:val="16"/>
              </w:rPr>
              <w:t>81.00%</w:t>
            </w:r>
          </w:p>
        </w:tc>
        <w:tc>
          <w:tcPr>
            <w:tcW w:w="625" w:type="pct"/>
            <w:shd w:val="clear" w:color="auto" w:fill="auto"/>
            <w:vAlign w:val="center"/>
          </w:tcPr>
          <w:p w14:paraId="54BDC44C" w14:textId="0AE0B920" w:rsidR="00C66181" w:rsidRPr="00781112" w:rsidRDefault="002B7490" w:rsidP="00A018D4">
            <w:pPr>
              <w:jc w:val="center"/>
              <w:rPr>
                <w:rFonts w:cs="Arial"/>
                <w:color w:val="000000" w:themeColor="text1"/>
                <w:szCs w:val="16"/>
              </w:rPr>
            </w:pPr>
            <w:r w:rsidRPr="00781112">
              <w:rPr>
                <w:rFonts w:cs="Arial"/>
                <w:color w:val="000000" w:themeColor="text1"/>
                <w:szCs w:val="16"/>
              </w:rPr>
              <w:t>77.93%</w:t>
            </w:r>
          </w:p>
        </w:tc>
        <w:tc>
          <w:tcPr>
            <w:tcW w:w="625" w:type="pct"/>
            <w:shd w:val="clear" w:color="auto" w:fill="auto"/>
            <w:vAlign w:val="center"/>
          </w:tcPr>
          <w:p w14:paraId="48B49570" w14:textId="038E3826" w:rsidR="00C66181"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25" w:type="pct"/>
            <w:shd w:val="clear" w:color="auto" w:fill="auto"/>
            <w:vAlign w:val="center"/>
          </w:tcPr>
          <w:p w14:paraId="0A2BDCF3" w14:textId="3B0044C6" w:rsidR="00C66181"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5C29F8" w:rsidRPr="00781112" w14:paraId="493DA09A" w14:textId="4FC8161E" w:rsidTr="0033429D">
        <w:trPr>
          <w:trHeight w:val="365"/>
        </w:trPr>
        <w:tc>
          <w:tcPr>
            <w:tcW w:w="625" w:type="pct"/>
            <w:shd w:val="clear" w:color="auto" w:fill="auto"/>
            <w:vAlign w:val="center"/>
          </w:tcPr>
          <w:p w14:paraId="3D517963" w14:textId="6D3BD99F" w:rsidR="00C66181" w:rsidRPr="00781112" w:rsidRDefault="00C66181" w:rsidP="00C66181">
            <w:pPr>
              <w:rPr>
                <w:rFonts w:cs="Arial"/>
                <w:color w:val="000000" w:themeColor="text1"/>
                <w:szCs w:val="16"/>
              </w:rPr>
            </w:pPr>
            <w:r w:rsidRPr="00781112">
              <w:rPr>
                <w:rFonts w:cs="Arial"/>
                <w:color w:val="000000" w:themeColor="text1"/>
                <w:szCs w:val="16"/>
              </w:rPr>
              <w:t>C. Enrolled in higher education, or in some other postsecondary education or training program; or competitively employed or in some other employment (1+2+3+4)</w:t>
            </w:r>
          </w:p>
        </w:tc>
        <w:tc>
          <w:tcPr>
            <w:tcW w:w="625" w:type="pct"/>
            <w:shd w:val="clear" w:color="auto" w:fill="auto"/>
            <w:vAlign w:val="center"/>
          </w:tcPr>
          <w:p w14:paraId="79AA91FE" w14:textId="0803E2EE" w:rsidR="00C66181" w:rsidRPr="00781112" w:rsidRDefault="002B7490" w:rsidP="00A018D4">
            <w:pPr>
              <w:jc w:val="center"/>
              <w:rPr>
                <w:rFonts w:cs="Arial"/>
                <w:color w:val="000000" w:themeColor="text1"/>
                <w:szCs w:val="16"/>
              </w:rPr>
            </w:pPr>
            <w:r w:rsidRPr="00781112">
              <w:rPr>
                <w:rFonts w:cs="Arial"/>
                <w:color w:val="000000" w:themeColor="text1"/>
                <w:szCs w:val="16"/>
              </w:rPr>
              <w:t>1,705</w:t>
            </w:r>
          </w:p>
        </w:tc>
        <w:tc>
          <w:tcPr>
            <w:tcW w:w="625" w:type="pct"/>
            <w:shd w:val="clear" w:color="auto" w:fill="auto"/>
            <w:vAlign w:val="center"/>
          </w:tcPr>
          <w:p w14:paraId="1FAFC4F9" w14:textId="70DE7F33" w:rsidR="00C66181" w:rsidRPr="00781112" w:rsidRDefault="002B7490" w:rsidP="00A018D4">
            <w:pPr>
              <w:jc w:val="center"/>
              <w:rPr>
                <w:rFonts w:cs="Arial"/>
                <w:color w:val="000000" w:themeColor="text1"/>
                <w:szCs w:val="16"/>
              </w:rPr>
            </w:pPr>
            <w:r w:rsidRPr="00781112">
              <w:rPr>
                <w:rFonts w:cs="Arial"/>
                <w:color w:val="000000" w:themeColor="text1"/>
                <w:szCs w:val="16"/>
              </w:rPr>
              <w:t>2,025</w:t>
            </w:r>
          </w:p>
        </w:tc>
        <w:tc>
          <w:tcPr>
            <w:tcW w:w="625" w:type="pct"/>
            <w:shd w:val="clear" w:color="auto" w:fill="auto"/>
            <w:vAlign w:val="center"/>
          </w:tcPr>
          <w:p w14:paraId="5FB73F1B" w14:textId="26275AAA" w:rsidR="00C66181" w:rsidRPr="00781112" w:rsidRDefault="002B7490" w:rsidP="00A018D4">
            <w:pPr>
              <w:jc w:val="center"/>
              <w:rPr>
                <w:rFonts w:cs="Arial"/>
                <w:color w:val="000000" w:themeColor="text1"/>
                <w:szCs w:val="16"/>
              </w:rPr>
            </w:pPr>
            <w:r w:rsidRPr="00781112">
              <w:rPr>
                <w:rFonts w:cs="Arial"/>
                <w:color w:val="000000" w:themeColor="text1"/>
                <w:szCs w:val="16"/>
              </w:rPr>
              <w:t>82.57%</w:t>
            </w:r>
          </w:p>
        </w:tc>
        <w:tc>
          <w:tcPr>
            <w:tcW w:w="625" w:type="pct"/>
            <w:shd w:val="clear" w:color="auto" w:fill="auto"/>
            <w:vAlign w:val="center"/>
          </w:tcPr>
          <w:p w14:paraId="3A75A593" w14:textId="74B21849" w:rsidR="00C66181" w:rsidRPr="00781112" w:rsidRDefault="002B7490" w:rsidP="00A018D4">
            <w:pPr>
              <w:jc w:val="center"/>
              <w:rPr>
                <w:rFonts w:cs="Arial"/>
                <w:color w:val="000000" w:themeColor="text1"/>
                <w:szCs w:val="16"/>
              </w:rPr>
            </w:pPr>
            <w:r w:rsidRPr="00781112">
              <w:rPr>
                <w:rFonts w:cs="Arial"/>
                <w:color w:val="000000" w:themeColor="text1"/>
                <w:szCs w:val="16"/>
              </w:rPr>
              <w:t>77.91%</w:t>
            </w:r>
          </w:p>
        </w:tc>
        <w:tc>
          <w:tcPr>
            <w:tcW w:w="625" w:type="pct"/>
            <w:shd w:val="clear" w:color="auto" w:fill="auto"/>
            <w:vAlign w:val="center"/>
          </w:tcPr>
          <w:p w14:paraId="6D78DA3F" w14:textId="61DB3CB1" w:rsidR="00C66181" w:rsidRPr="00781112" w:rsidRDefault="002B7490" w:rsidP="00A018D4">
            <w:pPr>
              <w:jc w:val="center"/>
              <w:rPr>
                <w:rFonts w:cs="Arial"/>
                <w:color w:val="000000" w:themeColor="text1"/>
                <w:szCs w:val="16"/>
              </w:rPr>
            </w:pPr>
            <w:r w:rsidRPr="00781112">
              <w:rPr>
                <w:rFonts w:cs="Arial"/>
                <w:color w:val="000000" w:themeColor="text1"/>
                <w:szCs w:val="16"/>
              </w:rPr>
              <w:t>84.20%</w:t>
            </w:r>
          </w:p>
        </w:tc>
        <w:tc>
          <w:tcPr>
            <w:tcW w:w="625" w:type="pct"/>
            <w:shd w:val="clear" w:color="auto" w:fill="auto"/>
            <w:vAlign w:val="center"/>
          </w:tcPr>
          <w:p w14:paraId="6E5BDC78" w14:textId="48EDE622" w:rsidR="00C66181"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625" w:type="pct"/>
            <w:shd w:val="clear" w:color="auto" w:fill="auto"/>
            <w:vAlign w:val="center"/>
          </w:tcPr>
          <w:p w14:paraId="4A054D72" w14:textId="19B24E43" w:rsidR="00C66181"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4A5381A2" w14:textId="3787227C" w:rsidR="001773E7" w:rsidRPr="00781112" w:rsidRDefault="001773E7" w:rsidP="00C66181">
      <w:pPr>
        <w:rPr>
          <w:rFonts w:cs="Arial"/>
          <w:i/>
          <w:color w:val="000000" w:themeColor="text1"/>
          <w:szCs w:val="16"/>
        </w:rPr>
      </w:pPr>
    </w:p>
    <w:p w14:paraId="2B9D1101" w14:textId="12285E81" w:rsidR="00C95094" w:rsidRPr="00781112" w:rsidRDefault="0077712B" w:rsidP="00C66181">
      <w:pPr>
        <w:rPr>
          <w:rFonts w:cs="Arial"/>
          <w:b/>
          <w:color w:val="000000" w:themeColor="text1"/>
          <w:szCs w:val="16"/>
        </w:rPr>
      </w:pPr>
      <w:r w:rsidRPr="00781112">
        <w:rPr>
          <w:rFonts w:cs="Arial"/>
          <w:b/>
          <w:color w:val="000000" w:themeColor="text1"/>
          <w:szCs w:val="16"/>
        </w:rPr>
        <w:t xml:space="preserve">Please select the reporting option your State is using: </w:t>
      </w:r>
    </w:p>
    <w:p w14:paraId="5C46FD26" w14:textId="5673980D" w:rsidR="000070D5" w:rsidRPr="00781112" w:rsidRDefault="002B7490" w:rsidP="00C66181">
      <w:pPr>
        <w:rPr>
          <w:rFonts w:cs="Arial"/>
          <w:color w:val="000000" w:themeColor="text1"/>
          <w:szCs w:val="16"/>
        </w:rPr>
      </w:pPr>
      <w:r w:rsidRPr="00781112">
        <w:rPr>
          <w:rFonts w:cs="Arial"/>
          <w:color w:val="000000" w:themeColor="text1"/>
          <w:szCs w:val="16"/>
        </w:rPr>
        <w:t>Option 1: Use the same definition as used to report in the FFY 2015 SPP/APR, i.e., competitive employment means that youth have worked for pay at or above the minimum wage in a setting with others who are nondisabled for a period of 20 hours a week for at least 90 days at any time in the year since leaving high school. This includes military employment.</w:t>
      </w:r>
    </w:p>
    <w:p w14:paraId="6A816945" w14:textId="687D218F" w:rsidR="00090132" w:rsidRDefault="00090132" w:rsidP="00C66181">
      <w:pPr>
        <w:rPr>
          <w:rFonts w:cs="Arial"/>
          <w:color w:val="000000" w:themeColor="text1"/>
          <w:szCs w:val="16"/>
        </w:rPr>
      </w:pPr>
    </w:p>
    <w:p w14:paraId="18E71DFF" w14:textId="77777777" w:rsidR="00090132" w:rsidRPr="00E578E2" w:rsidRDefault="00090132" w:rsidP="00090132">
      <w:pPr>
        <w:rPr>
          <w:rFonts w:cs="Arial"/>
          <w:b/>
          <w:bCs/>
          <w:szCs w:val="16"/>
        </w:rPr>
      </w:pPr>
      <w:r w:rsidRPr="00E578E2">
        <w:rPr>
          <w:rFonts w:cs="Arial"/>
          <w:b/>
          <w:bCs/>
          <w:szCs w:val="16"/>
        </w:rPr>
        <w:t>Response Rate</w:t>
      </w:r>
    </w:p>
    <w:tbl>
      <w:tblPr>
        <w:tblStyle w:val="TableGrid"/>
        <w:tblW w:w="0" w:type="auto"/>
        <w:tblLook w:val="04A0" w:firstRow="1" w:lastRow="0" w:firstColumn="1" w:lastColumn="0" w:noHBand="0" w:noVBand="1"/>
        <w:tblCaption w:val="B14CFFYRSPRTE"/>
      </w:tblPr>
      <w:tblGrid>
        <w:gridCol w:w="1885"/>
        <w:gridCol w:w="2805"/>
        <w:gridCol w:w="2635"/>
      </w:tblGrid>
      <w:tr w:rsidR="00090132" w:rsidRPr="00353E62" w14:paraId="5280416F" w14:textId="77777777" w:rsidTr="00DF5DC9">
        <w:tc>
          <w:tcPr>
            <w:tcW w:w="1885" w:type="dxa"/>
            <w:shd w:val="clear" w:color="auto" w:fill="auto"/>
          </w:tcPr>
          <w:p w14:paraId="7576786E" w14:textId="77777777" w:rsidR="00090132" w:rsidRPr="008D51F2" w:rsidRDefault="00090132" w:rsidP="00DF5DC9">
            <w:pPr>
              <w:jc w:val="center"/>
              <w:rPr>
                <w:rFonts w:cs="Arial"/>
                <w:b/>
                <w:szCs w:val="16"/>
              </w:rPr>
            </w:pPr>
            <w:r w:rsidRPr="008D51F2">
              <w:rPr>
                <w:rFonts w:cs="Arial"/>
                <w:b/>
                <w:szCs w:val="16"/>
              </w:rPr>
              <w:t>FFY</w:t>
            </w:r>
          </w:p>
        </w:tc>
        <w:tc>
          <w:tcPr>
            <w:tcW w:w="1453" w:type="dxa"/>
            <w:shd w:val="clear" w:color="auto" w:fill="auto"/>
            <w:vAlign w:val="center"/>
          </w:tcPr>
          <w:p w14:paraId="5CF70806" w14:textId="77777777" w:rsidR="00090132" w:rsidRPr="008D51F2" w:rsidRDefault="00090132" w:rsidP="00DF5DC9">
            <w:pPr>
              <w:jc w:val="center"/>
              <w:rPr>
                <w:rFonts w:cs="Arial"/>
                <w:b/>
                <w:szCs w:val="16"/>
              </w:rPr>
            </w:pPr>
            <w:r w:rsidRPr="008D51F2">
              <w:rPr>
                <w:rFonts w:cs="Arial"/>
                <w:b/>
                <w:color w:val="000000" w:themeColor="text1"/>
                <w:szCs w:val="16"/>
              </w:rPr>
              <w:t>2021</w:t>
            </w:r>
          </w:p>
        </w:tc>
        <w:tc>
          <w:tcPr>
            <w:tcW w:w="1284" w:type="dxa"/>
            <w:shd w:val="clear" w:color="auto" w:fill="auto"/>
          </w:tcPr>
          <w:p w14:paraId="0BFBB5F5" w14:textId="77777777" w:rsidR="00090132" w:rsidRPr="008D51F2" w:rsidRDefault="00090132" w:rsidP="00DF5DC9">
            <w:pPr>
              <w:jc w:val="center"/>
              <w:rPr>
                <w:rFonts w:cs="Arial"/>
                <w:b/>
                <w:szCs w:val="16"/>
              </w:rPr>
            </w:pPr>
            <w:r w:rsidRPr="008D51F2">
              <w:rPr>
                <w:rFonts w:cs="Arial"/>
                <w:b/>
                <w:color w:val="000000" w:themeColor="text1"/>
                <w:szCs w:val="16"/>
              </w:rPr>
              <w:t>2022</w:t>
            </w:r>
          </w:p>
        </w:tc>
      </w:tr>
      <w:tr w:rsidR="00090132" w14:paraId="576CCA3B" w14:textId="77777777" w:rsidTr="00DF5DC9">
        <w:tc>
          <w:tcPr>
            <w:tcW w:w="1885" w:type="dxa"/>
            <w:shd w:val="clear" w:color="auto" w:fill="auto"/>
          </w:tcPr>
          <w:p w14:paraId="1D5B1977" w14:textId="77777777" w:rsidR="00090132" w:rsidRPr="008D51F2" w:rsidRDefault="00090132" w:rsidP="00DF5DC9">
            <w:pPr>
              <w:rPr>
                <w:rFonts w:cs="Arial"/>
                <w:szCs w:val="16"/>
              </w:rPr>
            </w:pPr>
            <w:r w:rsidRPr="008D51F2">
              <w:rPr>
                <w:rFonts w:cs="Arial"/>
                <w:szCs w:val="16"/>
              </w:rPr>
              <w:t xml:space="preserve">Response Rate </w:t>
            </w:r>
          </w:p>
        </w:tc>
        <w:tc>
          <w:tcPr>
            <w:tcW w:w="1453" w:type="dxa"/>
            <w:shd w:val="clear" w:color="auto" w:fill="auto"/>
            <w:vAlign w:val="center"/>
          </w:tcPr>
          <w:p w14:paraId="4AECB169" w14:textId="3ECBE4F7" w:rsidR="00090132" w:rsidRPr="008D51F2" w:rsidRDefault="00090132" w:rsidP="00DF5DC9">
            <w:pPr>
              <w:jc w:val="center"/>
              <w:rPr>
                <w:rFonts w:cs="Arial"/>
                <w:szCs w:val="16"/>
              </w:rPr>
            </w:pPr>
            <w:r w:rsidRPr="008D51F2">
              <w:rPr>
                <w:color w:val="000000" w:themeColor="text1"/>
              </w:rPr>
              <w:t>76.51%</w:t>
            </w:r>
          </w:p>
        </w:tc>
        <w:tc>
          <w:tcPr>
            <w:tcW w:w="1284" w:type="dxa"/>
            <w:shd w:val="clear" w:color="auto" w:fill="auto"/>
            <w:vAlign w:val="center"/>
          </w:tcPr>
          <w:p w14:paraId="755EF869" w14:textId="2F1BA7D5" w:rsidR="00090132" w:rsidRPr="008D51F2" w:rsidRDefault="00090132" w:rsidP="00DF5DC9">
            <w:pPr>
              <w:jc w:val="center"/>
              <w:rPr>
                <w:rFonts w:cs="Arial"/>
                <w:szCs w:val="16"/>
              </w:rPr>
            </w:pPr>
            <w:r w:rsidRPr="008D51F2">
              <w:rPr>
                <w:rFonts w:cs="Arial"/>
                <w:color w:val="000000" w:themeColor="text1"/>
                <w:szCs w:val="16"/>
              </w:rPr>
              <w:t>75.25%</w:t>
            </w:r>
          </w:p>
        </w:tc>
      </w:tr>
    </w:tbl>
    <w:p w14:paraId="03971D78" w14:textId="77777777" w:rsidR="00090132" w:rsidRDefault="00090132" w:rsidP="00090132">
      <w:pPr>
        <w:pStyle w:val="Header"/>
        <w:tabs>
          <w:tab w:val="clear" w:pos="4320"/>
          <w:tab w:val="clear" w:pos="8640"/>
        </w:tabs>
        <w:spacing w:before="0"/>
        <w:rPr>
          <w:rFonts w:ascii="Arial" w:hAnsi="Arial" w:cs="Arial"/>
          <w:bCs/>
          <w:sz w:val="16"/>
          <w:szCs w:val="16"/>
          <w:highlight w:val="yellow"/>
        </w:rPr>
      </w:pPr>
    </w:p>
    <w:p w14:paraId="5820FDED" w14:textId="77777777" w:rsidR="00156FDD" w:rsidRPr="005C202C" w:rsidRDefault="00156FDD" w:rsidP="00156FDD">
      <w:pPr>
        <w:rPr>
          <w:b/>
          <w:bCs/>
        </w:rPr>
      </w:pPr>
      <w:r w:rsidRPr="005C202C">
        <w:rPr>
          <w:b/>
          <w:bCs/>
        </w:rPr>
        <w:t>Describe the metric used to determine representativeness (e.g., +/- 3% discrepancy in the proportion of responders compared to target group).</w:t>
      </w:r>
    </w:p>
    <w:p w14:paraId="04BA4870" w14:textId="77777777" w:rsidR="00156FDD" w:rsidRDefault="00156FDD" w:rsidP="00156FDD">
      <w:pPr>
        <w:pStyle w:val="Subhed"/>
        <w:rPr>
          <w:b w:val="0"/>
        </w:rPr>
      </w:pPr>
      <w:r w:rsidRPr="008D51F2">
        <w:rPr>
          <w:b w:val="0"/>
        </w:rPr>
        <w:t>The metric used to determine representativeness is +/- 5% discrepancy in the proportion of responders compared to the target group.</w:t>
      </w:r>
    </w:p>
    <w:p w14:paraId="06AC8AE1" w14:textId="77777777" w:rsidR="00156FDD" w:rsidRDefault="00156FDD" w:rsidP="00090132">
      <w:pPr>
        <w:rPr>
          <w:b/>
          <w:bCs/>
        </w:rPr>
      </w:pPr>
    </w:p>
    <w:p w14:paraId="16C9E9FA" w14:textId="77777777" w:rsidR="00156FDD" w:rsidRPr="00F03088" w:rsidRDefault="00156FDD" w:rsidP="00156FDD">
      <w:pPr>
        <w:spacing w:before="0"/>
        <w:rPr>
          <w:rFonts w:eastAsia="Times New Roman" w:cs="Arial"/>
          <w:b/>
          <w:bCs/>
          <w:szCs w:val="16"/>
        </w:rPr>
      </w:pPr>
      <w:r w:rsidRPr="00F03088">
        <w:rPr>
          <w:b/>
          <w:bCs/>
        </w:rPr>
        <w:t>Include the State’s analyses of the extent to which the response data are representative of the demographics of youth who are no longer in secondary school and had IEPs in effect at the time they left school.</w:t>
      </w:r>
      <w:r w:rsidRPr="00F03088">
        <w:rPr>
          <w:rFonts w:eastAsia="Times New Roman" w:cs="Arial"/>
          <w:b/>
          <w:bCs/>
          <w:szCs w:val="16"/>
        </w:rPr>
        <w:t xml:space="preserve"> States must include race/ethnicity in its analysis. In addition, the State’s analysis must include at least one of the following demographics: disability category, gender, geographic location, and/or another demographic category approved through the stakeholder input process.</w:t>
      </w:r>
    </w:p>
    <w:p w14:paraId="73A0DF3C" w14:textId="77777777" w:rsidR="00156FDD" w:rsidRPr="00560FEE" w:rsidRDefault="00156FDD" w:rsidP="00156FDD">
      <w:r w:rsidRPr="008D51F2">
        <w:t xml:space="preserve">In the State's analyses of the representativeness of demographics of youth who are no longer in secondary school and had IEPs in effect at the time they left school, data was analyzed by race/ethnicity, disability category as well as gender. </w:t>
        <w:br/>
        <w:t>Race/Ethnicity:</w:t>
        <w:br/>
        <w:t>The analysis revealed the data was representative, using the +/- 5% discrepancy, for the youth in the following racial/ethnic categories:</w:t>
        <w:br/>
        <w:t>Asian - 0.1% discrepancy</w:t>
        <w:br/>
        <w:t>African American - 0.3% discrepancy</w:t>
        <w:br/>
        <w:t>Caucasian - 2.8% discrepancy</w:t>
        <w:br/>
        <w:t>Native American - 3.7% discrepancy</w:t>
        <w:br/>
        <w:t>Multi-Racial - 2.0% discrepancy</w:t>
        <w:br/>
        <w:t/>
        <w:br/>
        <w:t>The only racial/ethnic category that did not meet the +/-5% discrepancy are the youth who are Hispanic. The discrepancy for the Hispanic racial/ethnic group was 8.4%; therefore, the response data was not representative of the demographics of youth who are not longer in school and had IEPs in effect at the time they left school.</w:t>
        <w:br/>
        <w:t/>
        <w:br/>
        <w:t>Disability Category:</w:t>
        <w:br/>
        <w:t>The analysis revealed the data was representative, using the +/- 5% discrepancy, for each of the disability categories:</w:t>
        <w:br/>
        <w:t>Autism - 0.7% discrepancy</w:t>
        <w:br/>
        <w:t>Deaf/Bling - .02% discrepancy</w:t>
        <w:br/>
        <w:t>Intellectual Disability - 1.0% discrepancy</w:t>
        <w:br/>
        <w:t>Emotional Disturbance - 0.9% discrepancy</w:t>
        <w:br/>
        <w:t>Other Health Impairment - 0.2% discrepancy</w:t>
        <w:br/>
        <w:t>Specific Learning Disability - 4.1% discrepancy</w:t>
        <w:br/>
        <w:t>Speech Language - 2.3% discrepancy</w:t>
        <w:br/>
        <w:t>Multiple Disabilities - 0.5% discrepancy</w:t>
        <w:br/>
        <w:t>Hearing Impaired - 0.0% discrepancy</w:t>
        <w:br/>
        <w:t>Visually Impaired - 0.3% discrepancy</w:t>
        <w:br/>
        <w:t>Orthopedic Impaired - 3.0% discrepancy</w:t>
        <w:br/>
        <w:t>Traumatic Brain Injury - 0.2% discrepancy</w:t>
        <w:br/>
        <w:t/>
        <w:br/>
        <w:t>Gender:</w:t>
        <w:br/>
        <w:t>The analysis revealed the data was representative, using the +/- 5% discrepancy, by gender:</w:t>
        <w:br/>
        <w:t>Female - 2.1% discrepancy</w:t>
        <w:br/>
        <w:t>Male - 2.1% discrepancy</w:t>
      </w:r>
    </w:p>
    <w:p w14:paraId="2E51EAA1" w14:textId="77777777" w:rsidR="00156FDD" w:rsidRPr="005C202C" w:rsidRDefault="00156FDD" w:rsidP="00156FDD">
      <w:pPr>
        <w:rPr>
          <w:b/>
          <w:bCs/>
        </w:rPr>
      </w:pPr>
      <w:r w:rsidRPr="005C202C">
        <w:rPr>
          <w:b/>
          <w:bCs/>
        </w:rPr>
        <w:t>The response data is representative of the demographics of youth who are no longer in school and had IEPs in effect at the time they left school. (yes/no)</w:t>
      </w:r>
    </w:p>
    <w:p w14:paraId="2390BBAE" w14:textId="77777777" w:rsidR="00156FDD" w:rsidRPr="00560FEE" w:rsidRDefault="00156FDD" w:rsidP="00156FDD">
      <w:pPr>
        <w:pStyle w:val="Subhed"/>
        <w:rPr>
          <w:b w:val="0"/>
          <w:bCs/>
        </w:rPr>
      </w:pPr>
      <w:r w:rsidRPr="008D51F2">
        <w:rPr>
          <w:b w:val="0"/>
          <w:bCs/>
        </w:rPr>
        <w:t>NO</w:t>
      </w:r>
    </w:p>
    <w:p w14:paraId="027CD8C2" w14:textId="77777777" w:rsidR="00156FDD" w:rsidRPr="005C202C" w:rsidRDefault="00156FDD" w:rsidP="00156FDD">
      <w:pPr>
        <w:rPr>
          <w:b/>
          <w:bCs/>
        </w:rPr>
      </w:pPr>
      <w:r w:rsidRPr="005C202C">
        <w:rPr>
          <w:b/>
          <w:bCs/>
        </w:rPr>
        <w:t>If no, describe the strategies that the State will use to ensure that in the future the response data are representative of those demographics.</w:t>
      </w:r>
    </w:p>
    <w:p w14:paraId="0A943617" w14:textId="77777777" w:rsidR="00156FDD" w:rsidRPr="00560FEE" w:rsidRDefault="00156FDD" w:rsidP="00156FDD">
      <w:pPr>
        <w:pStyle w:val="Subhed"/>
        <w:rPr>
          <w:b w:val="0"/>
        </w:rPr>
      </w:pPr>
      <w:r w:rsidRPr="008D51F2">
        <w:rPr>
          <w:b w:val="0"/>
        </w:rPr>
        <w:t>The data was not representative when analyzed by all racial/ethnic categories for the Hispanic group of students.  The State will implement the following strategies to ensure that in the future the response data are responsive for Hispanic youth who are no longer in secondary school and had IEPs in effect at the time they left school:</w:t>
        <w:br/>
        <w:t>- Make the survey available in the Spanish language.</w:t>
        <w:br/>
        <w:t>- Have a support line available for Spanish speakers.</w:t>
        <w:br/>
        <w:t xml:space="preserve">- Collaborate with the Division of Vocational Rehabilitation (DVR) to support the collection of this data if students are receiving DVR services. </w:t>
        <w:br/>
        <w:t>- Collaborate with the Parent Training Centers to provide assistance in collecting the data.</w:t>
        <w:br/>
        <w:t>- Collaborate with the Hispanic Learning Division on ideas for improving the administration of the survey.</w:t>
      </w:r>
    </w:p>
    <w:p w14:paraId="5B213212" w14:textId="77777777" w:rsidR="00156FDD" w:rsidRDefault="00156FDD" w:rsidP="00090132">
      <w:pPr>
        <w:rPr>
          <w:b/>
          <w:bCs/>
        </w:rPr>
      </w:pPr>
    </w:p>
    <w:p w14:paraId="57522483" w14:textId="26E9319E" w:rsidR="00090132" w:rsidRPr="00002B33" w:rsidRDefault="00090132" w:rsidP="00090132">
      <w:pPr>
        <w:rPr>
          <w:b/>
          <w:bCs/>
        </w:rPr>
      </w:pPr>
      <w:r w:rsidRPr="00002B33">
        <w:rPr>
          <w:b/>
          <w:bCs/>
        </w:rPr>
        <w:t>Describe strategies that will be implemented which are expected to increase the response rate year over year, particularly for those groups that are underrepresented.</w:t>
      </w:r>
    </w:p>
    <w:p w14:paraId="054F9DF8" w14:textId="77777777" w:rsidR="00090132" w:rsidRPr="00B551F2" w:rsidRDefault="00090132" w:rsidP="00090132">
      <w:r w:rsidRPr="00B551F2">
        <w:t>To increase the response rate year over year, the State will implement the following strategies to increase the overall response rate:</w:t>
        <w:br/>
        <w:t xml:space="preserve">- Improve communication between LEAs and the State on expectations for collecting post-school outcome data. </w:t>
        <w:br/>
        <w:t>- Consider changing the data collection methodology to include a mailing of surveys which has not been done.</w:t>
        <w:br/>
        <w:t>- Create a toolkit for LEAs to inform students before they leave high school, LEAs will be following in a year.</w:t>
        <w:br/>
        <w:t>- Partner with Higher Education, special education programs, to seek out students who may be attending these programs.</w:t>
        <w:br/>
        <w:t>- Increase awareness in communities to include newspapers, radio, television and social media advertisements.</w:t>
        <w:br/>
        <w:t/>
        <w:br/>
        <w:t>Strategies for improving outcomes for the Hispanic group which were not representative are described in the previous section.</w:t>
      </w:r>
    </w:p>
    <w:p w14:paraId="5A6BE78B" w14:textId="77777777" w:rsidR="00090132" w:rsidRPr="00002B33" w:rsidRDefault="00090132" w:rsidP="00090132">
      <w:pPr>
        <w:rPr>
          <w:b/>
          <w:bCs/>
        </w:rPr>
      </w:pPr>
      <w:r w:rsidRPr="00002B33">
        <w:rPr>
          <w:b/>
          <w:bCs/>
        </w:rPr>
        <w:t>Describe the analysis of the response rate including any nonresponse bias that was identified, and the steps taken to reduce any identified bias and promote response from a broad cross section of youth who are no longer in secondary school and had IEPs in effect at the time they left school.</w:t>
      </w:r>
    </w:p>
    <w:p w14:paraId="789E9F07" w14:textId="77777777" w:rsidR="00090132" w:rsidRPr="00B551F2" w:rsidRDefault="00090132" w:rsidP="00090132">
      <w:r w:rsidRPr="00B551F2">
        <w:t xml:space="preserve">After reviewing the data, possible non-response bias has been identified. The first possible bias is the survey was only available in English and in no other languages. Second, there were no identified supports for Spanish speaking youth who may have required assistance Spanish. Third, the State has a highly mobile population; therefore, LEAs reported that they could not get in touch with students due to changes in contact information they did not have access to. Students which could not be contacted did not have an opportunity to respond. </w:t>
        <w:br/>
        <w:t/>
        <w:br/>
        <w:t>Steps taken to reduce bias and promote responses from a broad cross section of youth who are no longer in secondary school and had IEPs in effect the time they left school are:</w:t>
        <w:br/>
        <w:t xml:space="preserve">- Make survey available in Spanish and other languages. </w:t>
        <w:br/>
        <w:t>- Make survey available in various media including paper and read aloud.</w:t>
        <w:br/>
        <w:t>- Have a support hotline available in Spanish and other languages.</w:t>
        <w:br/>
        <w:t>- Increase outreach and establish partnerships with post-secondary institutions and support services to collect the data.</w:t>
      </w:r>
    </w:p>
    <w:p w14:paraId="72EBB8E4" w14:textId="77777777" w:rsidR="00090132" w:rsidRPr="00560FEE" w:rsidRDefault="00090132" w:rsidP="00090132">
      <w:pPr>
        <w:pStyle w:val="Subhed"/>
        <w:rPr>
          <w:b w:val="0"/>
        </w:rPr>
      </w:pPr>
    </w:p>
    <w:p w14:paraId="237D4C5C" w14:textId="77777777" w:rsidR="00090132" w:rsidRPr="00781112" w:rsidRDefault="00090132" w:rsidP="00C66181">
      <w:pPr>
        <w:rPr>
          <w:rFonts w:cs="Arial"/>
          <w:color w:val="000000" w:themeColor="text1"/>
          <w:szCs w:val="16"/>
        </w:rPr>
      </w:pPr>
    </w:p>
    <w:tbl>
      <w:tblPr>
        <w:tblStyle w:val="TableGrid"/>
        <w:tblW w:w="0" w:type="auto"/>
        <w:tblLook w:val="04A0" w:firstRow="1" w:lastRow="0" w:firstColumn="1" w:lastColumn="0" w:noHBand="0" w:noVBand="1"/>
        <w:tblCaption w:val="B14SAMPLEUSED"/>
      </w:tblPr>
      <w:tblGrid>
        <w:gridCol w:w="8305"/>
        <w:gridCol w:w="2485"/>
      </w:tblGrid>
      <w:tr w:rsidR="005C29F8" w:rsidRPr="00781112" w14:paraId="10AC36E3" w14:textId="77777777" w:rsidTr="0033429D">
        <w:trPr>
          <w:tblHeader/>
        </w:trPr>
        <w:tc>
          <w:tcPr>
            <w:tcW w:w="8310" w:type="dxa"/>
            <w:tcBorders>
              <w:top w:val="single" w:sz="4" w:space="0" w:color="auto"/>
              <w:left w:val="single" w:sz="4" w:space="0" w:color="auto"/>
            </w:tcBorders>
            <w:shd w:val="clear" w:color="auto" w:fill="auto"/>
          </w:tcPr>
          <w:p w14:paraId="01371920" w14:textId="2568990B" w:rsidR="00763780" w:rsidRPr="00781112" w:rsidRDefault="00CC2002" w:rsidP="00BA3DBE">
            <w:pPr>
              <w:jc w:val="center"/>
              <w:rPr>
                <w:rFonts w:cs="Arial"/>
                <w:b/>
                <w:bCs/>
                <w:color w:val="000000" w:themeColor="text1"/>
                <w:szCs w:val="16"/>
              </w:rPr>
            </w:pPr>
            <w:r w:rsidRPr="00781112">
              <w:rPr>
                <w:rFonts w:cs="Arial"/>
                <w:b/>
                <w:bCs/>
                <w:color w:val="000000" w:themeColor="text1"/>
                <w:szCs w:val="16"/>
              </w:rPr>
              <w:t>Sampling Question</w:t>
            </w:r>
          </w:p>
        </w:tc>
        <w:tc>
          <w:tcPr>
            <w:tcW w:w="2485" w:type="dxa"/>
            <w:tcBorders>
              <w:top w:val="single" w:sz="4" w:space="0" w:color="auto"/>
            </w:tcBorders>
            <w:shd w:val="clear" w:color="auto" w:fill="auto"/>
          </w:tcPr>
          <w:p w14:paraId="39CB8232" w14:textId="5BE196A9" w:rsidR="00763780" w:rsidRPr="00781112" w:rsidRDefault="00763780"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408903DE" w14:textId="1FE95128" w:rsidTr="0033429D">
        <w:tc>
          <w:tcPr>
            <w:tcW w:w="8310" w:type="dxa"/>
            <w:shd w:val="clear" w:color="auto" w:fill="auto"/>
          </w:tcPr>
          <w:p w14:paraId="0472BB53" w14:textId="55673E5F" w:rsidR="00763780" w:rsidRPr="00781112" w:rsidRDefault="00763780" w:rsidP="008E31C4">
            <w:pPr>
              <w:rPr>
                <w:rFonts w:cs="Arial"/>
                <w:color w:val="000000" w:themeColor="text1"/>
                <w:szCs w:val="16"/>
              </w:rPr>
            </w:pPr>
            <w:r w:rsidRPr="00781112">
              <w:rPr>
                <w:rFonts w:cs="Arial"/>
                <w:color w:val="000000" w:themeColor="text1"/>
                <w:szCs w:val="16"/>
              </w:rPr>
              <w:t xml:space="preserve">Was sampling used? </w:t>
            </w:r>
          </w:p>
        </w:tc>
        <w:tc>
          <w:tcPr>
            <w:tcW w:w="2485" w:type="dxa"/>
            <w:shd w:val="clear" w:color="auto" w:fill="auto"/>
          </w:tcPr>
          <w:p w14:paraId="0BA01DE6" w14:textId="013EE38E" w:rsidR="00763780" w:rsidRPr="00781112" w:rsidRDefault="002B7490" w:rsidP="00A018D4">
            <w:pPr>
              <w:jc w:val="center"/>
              <w:rPr>
                <w:rFonts w:cs="Arial"/>
                <w:color w:val="000000" w:themeColor="text1"/>
                <w:szCs w:val="16"/>
              </w:rPr>
            </w:pPr>
            <w:r w:rsidRPr="00781112">
              <w:rPr>
                <w:rFonts w:cs="Arial"/>
                <w:color w:val="000000" w:themeColor="text1"/>
                <w:szCs w:val="16"/>
              </w:rPr>
              <w:t>NO</w:t>
            </w:r>
          </w:p>
        </w:tc>
      </w:tr>
    </w:tbl>
    <w:tbl>
      <w:tblPr>
        <w:tblStyle w:val="TableGrid"/>
        <w:tblW w:w="5000" w:type="pct"/>
        <w:tblLook w:val="04A0" w:firstRow="1" w:lastRow="0" w:firstColumn="1" w:lastColumn="0" w:noHBand="0" w:noVBand="1"/>
        <w:tblCaption w:val="B14SURVEYUSED"/>
      </w:tblPr>
      <w:tblGrid>
        <w:gridCol w:w="8306"/>
        <w:gridCol w:w="2484"/>
      </w:tblGrid>
      <w:tr w:rsidR="005C29F8" w:rsidRPr="00781112" w14:paraId="0E2BC2A3" w14:textId="77777777" w:rsidTr="0033429D">
        <w:trPr>
          <w:tblHeader/>
        </w:trPr>
        <w:tc>
          <w:tcPr>
            <w:tcW w:w="3849" w:type="pct"/>
            <w:tcBorders>
              <w:top w:val="single" w:sz="4" w:space="0" w:color="auto"/>
              <w:left w:val="single" w:sz="4" w:space="0" w:color="auto"/>
            </w:tcBorders>
            <w:shd w:val="clear" w:color="auto" w:fill="auto"/>
          </w:tcPr>
          <w:p w14:paraId="2EA51A3E" w14:textId="6A33A9D8" w:rsidR="00BC4655" w:rsidRPr="00781112" w:rsidRDefault="00CC2002" w:rsidP="00BA3DBE">
            <w:pPr>
              <w:jc w:val="center"/>
              <w:rPr>
                <w:rFonts w:cs="Arial"/>
                <w:b/>
                <w:bCs/>
                <w:color w:val="000000" w:themeColor="text1"/>
                <w:szCs w:val="16"/>
              </w:rPr>
            </w:pPr>
            <w:r w:rsidRPr="00781112">
              <w:rPr>
                <w:rFonts w:cs="Arial"/>
                <w:b/>
                <w:bCs/>
                <w:color w:val="000000" w:themeColor="text1"/>
                <w:szCs w:val="16"/>
              </w:rPr>
              <w:t>Survey Question</w:t>
            </w:r>
          </w:p>
        </w:tc>
        <w:tc>
          <w:tcPr>
            <w:tcW w:w="1151" w:type="pct"/>
            <w:tcBorders>
              <w:top w:val="single" w:sz="4" w:space="0" w:color="auto"/>
            </w:tcBorders>
            <w:shd w:val="clear" w:color="auto" w:fill="auto"/>
          </w:tcPr>
          <w:p w14:paraId="0EEC81FC" w14:textId="73C14A3F" w:rsidR="00BC4655" w:rsidRPr="00781112" w:rsidRDefault="00BC4655"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6901B015" w14:textId="2CE4C417" w:rsidTr="0033429D">
        <w:tc>
          <w:tcPr>
            <w:tcW w:w="3849" w:type="pct"/>
            <w:shd w:val="clear" w:color="auto" w:fill="auto"/>
          </w:tcPr>
          <w:p w14:paraId="0856121E" w14:textId="5B1AD843" w:rsidR="00BC4655" w:rsidRPr="00781112" w:rsidRDefault="00BC4655" w:rsidP="008E31C4">
            <w:pPr>
              <w:rPr>
                <w:rFonts w:cs="Arial"/>
                <w:color w:val="000000" w:themeColor="text1"/>
                <w:szCs w:val="16"/>
              </w:rPr>
            </w:pPr>
            <w:r w:rsidRPr="00781112">
              <w:rPr>
                <w:rFonts w:cs="Arial"/>
                <w:color w:val="000000" w:themeColor="text1"/>
                <w:szCs w:val="16"/>
              </w:rPr>
              <w:t xml:space="preserve">Was a survey used? </w:t>
            </w:r>
          </w:p>
        </w:tc>
        <w:tc>
          <w:tcPr>
            <w:tcW w:w="1151" w:type="pct"/>
            <w:shd w:val="clear" w:color="auto" w:fill="auto"/>
          </w:tcPr>
          <w:p w14:paraId="47AE85B8" w14:textId="2FE77A74" w:rsidR="00BC4655"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649D8839" w14:textId="3AAB3A92" w:rsidTr="0033429D">
        <w:tc>
          <w:tcPr>
            <w:tcW w:w="3849" w:type="pct"/>
            <w:shd w:val="clear" w:color="auto" w:fill="auto"/>
          </w:tcPr>
          <w:p w14:paraId="56C87E2E" w14:textId="1890EBD8" w:rsidR="00BC4655" w:rsidRPr="00781112" w:rsidRDefault="003805D3" w:rsidP="008E31C4">
            <w:pPr>
              <w:rPr>
                <w:rFonts w:cs="Arial"/>
                <w:color w:val="000000" w:themeColor="text1"/>
                <w:szCs w:val="16"/>
              </w:rPr>
            </w:pPr>
            <w:r w:rsidRPr="00781112">
              <w:rPr>
                <w:rFonts w:cs="Arial"/>
                <w:color w:val="000000" w:themeColor="text1"/>
                <w:szCs w:val="16"/>
              </w:rPr>
              <w:t>If yes, is it a new or revised survey?</w:t>
            </w:r>
          </w:p>
        </w:tc>
        <w:tc>
          <w:tcPr>
            <w:tcW w:w="1151" w:type="pct"/>
            <w:shd w:val="clear" w:color="auto" w:fill="auto"/>
          </w:tcPr>
          <w:p w14:paraId="53803AF8" w14:textId="54EB33AD" w:rsidR="00BC4655" w:rsidRPr="00781112" w:rsidRDefault="002B7490" w:rsidP="00A018D4">
            <w:pPr>
              <w:jc w:val="center"/>
              <w:rPr>
                <w:rFonts w:cs="Arial"/>
                <w:color w:val="000000" w:themeColor="text1"/>
                <w:szCs w:val="16"/>
              </w:rPr>
            </w:pPr>
            <w:r w:rsidRPr="00781112">
              <w:rPr>
                <w:rFonts w:cs="Arial"/>
                <w:color w:val="000000" w:themeColor="text1"/>
                <w:szCs w:val="16"/>
              </w:rPr>
              <w:t>NO</w:t>
            </w:r>
          </w:p>
        </w:tc>
      </w:tr>
    </w:tbl>
    <w:p w14:paraId="62361D73" w14:textId="77777777" w:rsidR="00644AC8" w:rsidRPr="00781112" w:rsidRDefault="00644AC8" w:rsidP="00644AC8">
      <w:pPr>
        <w:rPr>
          <w:rFonts w:cs="Arial"/>
          <w:b/>
          <w:color w:val="000000" w:themeColor="text1"/>
          <w:szCs w:val="16"/>
        </w:rPr>
      </w:pPr>
      <w:bookmarkStart w:id="103" w:name="_Toc382082390"/>
      <w:bookmarkStart w:id="104" w:name="_Toc392159339"/>
      <w:r w:rsidRPr="00781112">
        <w:rPr>
          <w:rFonts w:cs="Arial"/>
          <w:b/>
          <w:color w:val="000000" w:themeColor="text1"/>
          <w:szCs w:val="16"/>
        </w:rPr>
        <w:t>Provide additional information about this indicator (optional)</w:t>
      </w:r>
    </w:p>
    <w:p w14:paraId="30BD41D2" w14:textId="40D58B63" w:rsidR="00293C7E" w:rsidRPr="00781112" w:rsidRDefault="002B7490" w:rsidP="007D435F">
      <w:pPr>
        <w:rPr>
          <w:rFonts w:cs="Arial"/>
          <w:color w:val="000000" w:themeColor="text1"/>
          <w:szCs w:val="16"/>
        </w:rPr>
      </w:pPr>
      <w:r w:rsidRPr="00781112">
        <w:rPr>
          <w:rFonts w:cs="Arial"/>
          <w:color w:val="000000" w:themeColor="text1"/>
          <w:szCs w:val="16"/>
        </w:rPr>
        <w:t/>
      </w:r>
    </w:p>
    <w:p w14:paraId="7B9DDAF2" w14:textId="6AA9F8CA" w:rsidR="000A2C83" w:rsidRPr="00781112" w:rsidRDefault="00172058" w:rsidP="00123D76">
      <w:pPr>
        <w:pStyle w:val="Heading2"/>
      </w:pPr>
      <w:r w:rsidRPr="00781112">
        <w:lastRenderedPageBreak/>
        <w:t>14</w:t>
      </w:r>
      <w:r w:rsidR="001D508D" w:rsidRPr="00781112">
        <w:t xml:space="preserve"> </w:t>
      </w:r>
      <w:r w:rsidRPr="00781112">
        <w:t xml:space="preserve">- </w:t>
      </w:r>
      <w:r w:rsidR="000A2C83" w:rsidRPr="00781112">
        <w:t>Prior FFY Required Actions</w:t>
      </w:r>
    </w:p>
    <w:p w14:paraId="3812AD37" w14:textId="58CBF83D" w:rsidR="009F69E7" w:rsidRPr="00781112" w:rsidRDefault="002B7490" w:rsidP="000A2C83">
      <w:pPr>
        <w:rPr>
          <w:rFonts w:cs="Arial"/>
          <w:color w:val="000000" w:themeColor="text1"/>
          <w:szCs w:val="16"/>
        </w:rPr>
      </w:pPr>
      <w:r w:rsidRPr="00781112">
        <w:rPr>
          <w:rFonts w:cs="Arial"/>
          <w:color w:val="000000" w:themeColor="text1"/>
          <w:szCs w:val="16"/>
        </w:rPr>
        <w:t xml:space="preserve">In the FFY 2022 SPP/APR, the State must report whether the FFY 2022 data are representative of the demographics of youth who are no longer in secondary school and had IEPs in effect at the time they left school, and, if not, the actions the State is taking to address this issue. The State must also include its analysis of the extent to which the response data are representative of the demographics of youth who are no longer in secondary school and had IEPs in effect at the time they left school. </w:t>
      </w:r>
    </w:p>
    <w:p w14:paraId="09927E6D" w14:textId="77161AD6" w:rsidR="000A2C83" w:rsidRPr="00781112" w:rsidRDefault="007639D7" w:rsidP="004369B2">
      <w:pPr>
        <w:rPr>
          <w:b/>
          <w:color w:val="000000" w:themeColor="text1"/>
        </w:rPr>
      </w:pPr>
      <w:r>
        <w:rPr>
          <w:b/>
          <w:color w:val="000000" w:themeColor="text1"/>
        </w:rPr>
        <w:t>Response to actions required in FFY 2021 SPP/APR</w:t>
      </w:r>
    </w:p>
    <w:p w14:paraId="31BF0B33" w14:textId="77777777" w:rsidR="009F69E7" w:rsidRPr="00781112" w:rsidRDefault="002B7490" w:rsidP="000A2C83">
      <w:pPr>
        <w:rPr>
          <w:rFonts w:cs="Arial"/>
          <w:color w:val="000000" w:themeColor="text1"/>
          <w:szCs w:val="16"/>
        </w:rPr>
      </w:pPr>
      <w:r w:rsidRPr="00781112">
        <w:rPr>
          <w:rFonts w:cs="Arial"/>
          <w:color w:val="000000" w:themeColor="text1"/>
          <w:szCs w:val="16"/>
        </w:rPr>
        <w:t xml:space="preserve">The State has reported in this FFY 2022 that data are representative of the demographics of youth who are no longer in secondary school and had IEPs in effect at the time they left school,   The State has also included its analysis of the extent to which the response data are representative of the demographics of youth who are no longer in secondary school and had IEPs in effect at the time they left school. </w:t>
      </w:r>
    </w:p>
    <w:p w14:paraId="5408D9B6" w14:textId="3CB80FFF" w:rsidR="000A2C83" w:rsidRPr="00781112" w:rsidRDefault="000A2C83" w:rsidP="000A2C83">
      <w:pPr>
        <w:rPr>
          <w:rFonts w:cs="Arial"/>
          <w:color w:val="000000" w:themeColor="text1"/>
          <w:szCs w:val="16"/>
        </w:rPr>
      </w:pPr>
      <w:r w:rsidRPr="00781112">
        <w:rPr>
          <w:rFonts w:cs="Arial"/>
          <w:color w:val="000000" w:themeColor="text1"/>
          <w:szCs w:val="16"/>
        </w:rPr>
        <w:t xml:space="preserve"> </w:t>
      </w:r>
    </w:p>
    <w:p w14:paraId="59CF3C2B" w14:textId="15BA3B7F" w:rsidR="00644AC8" w:rsidRPr="00781112" w:rsidRDefault="00172058" w:rsidP="00123D76">
      <w:pPr>
        <w:pStyle w:val="Heading2"/>
      </w:pPr>
      <w:r w:rsidRPr="00781112">
        <w:t>14 - OSEP Response</w:t>
      </w:r>
    </w:p>
    <w:p w14:paraId="29D70E23" w14:textId="165DA616" w:rsidR="00293C7E" w:rsidRPr="00781112" w:rsidRDefault="002B7490" w:rsidP="001F692C">
      <w:pPr>
        <w:rPr>
          <w:rFonts w:cs="Arial"/>
          <w:color w:val="000000" w:themeColor="text1"/>
          <w:szCs w:val="16"/>
        </w:rPr>
      </w:pPr>
      <w:r w:rsidRPr="00781112">
        <w:rPr>
          <w:rFonts w:cs="Arial"/>
          <w:color w:val="000000" w:themeColor="text1"/>
          <w:szCs w:val="16"/>
        </w:rPr>
        <w:t xml:space="preserve"> The State reported that the response data for this indicator were not representative of the demographics of youth who are no longer in secondary school and had IEPs in effect at the time they left school. In its narrative, the State reported, "The only racial/ethnic category that did not meet the +/-5% discrepancy are the youth who are Hispanic." However, in its response to actions required in FFY 2021 SPP/APR narrative, the State reported "The State has reported in this FFY 2022 that data are representative of the demographics of youth who are no longer in secondary school and had IEPs in effect at the time they left school." Therefore, it is unclear whether the response data was representative.</w:t>
      </w:r>
    </w:p>
    <w:p w14:paraId="18F151E0" w14:textId="24893002" w:rsidR="00644AC8" w:rsidRPr="00781112" w:rsidRDefault="00172058" w:rsidP="00123D76">
      <w:pPr>
        <w:pStyle w:val="Heading2"/>
      </w:pPr>
      <w:r w:rsidRPr="00781112">
        <w:t>14 - Required Actions</w:t>
      </w:r>
    </w:p>
    <w:p w14:paraId="623F356B" w14:textId="668EB2DD" w:rsidR="00293C7E" w:rsidRPr="00781112" w:rsidRDefault="002B7490" w:rsidP="001F692C">
      <w:pPr>
        <w:rPr>
          <w:rFonts w:cs="Arial"/>
          <w:color w:val="000000" w:themeColor="text1"/>
          <w:szCs w:val="16"/>
        </w:rPr>
      </w:pPr>
      <w:r w:rsidRPr="00781112">
        <w:rPr>
          <w:rFonts w:cs="Arial"/>
          <w:color w:val="000000" w:themeColor="text1"/>
          <w:szCs w:val="16"/>
        </w:rPr>
        <w:t xml:space="preserve">In the FFY 2023 SPP/APR, the State must report whether the FFY 2023 data are representative of the demographics of youth who are no longer in secondary school and had IEPs in effect at the time they left school, and, if not, the actions the State is taking to address this issue. The State must also include its analysis of the extent to which the response data are representative of the demographics of youth who are no longer in secondary school and had IEPs in effect at the time they left school. </w:t>
      </w:r>
    </w:p>
    <w:p w14:paraId="1ADD288B"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7E15DEAF" w14:textId="72984127" w:rsidR="00B3462E" w:rsidRPr="00781112" w:rsidRDefault="00B3462E" w:rsidP="000444E2">
      <w:pPr>
        <w:pStyle w:val="Heading1"/>
        <w:rPr>
          <w:color w:val="000000" w:themeColor="text1"/>
          <w:sz w:val="22"/>
        </w:rPr>
      </w:pPr>
      <w:r w:rsidRPr="00781112">
        <w:rPr>
          <w:color w:val="000000" w:themeColor="text1"/>
          <w:sz w:val="22"/>
        </w:rPr>
        <w:lastRenderedPageBreak/>
        <w:t>Indicator 15: Resolution Sessions</w:t>
      </w:r>
      <w:bookmarkEnd w:id="103"/>
      <w:bookmarkEnd w:id="104"/>
    </w:p>
    <w:p w14:paraId="7EA31497" w14:textId="77777777" w:rsidR="005B0B58" w:rsidRPr="00781112" w:rsidRDefault="005B0B58" w:rsidP="00A018D4">
      <w:pPr>
        <w:rPr>
          <w:color w:val="000000" w:themeColor="text1"/>
          <w:szCs w:val="20"/>
        </w:rPr>
      </w:pPr>
      <w:bookmarkStart w:id="105" w:name="_Toc381786822"/>
      <w:bookmarkStart w:id="106" w:name="_Toc382731911"/>
      <w:bookmarkStart w:id="107" w:name="_Toc382731912"/>
      <w:bookmarkStart w:id="108" w:name="_Toc392159340"/>
      <w:bookmarkEnd w:id="105"/>
      <w:bookmarkEnd w:id="106"/>
      <w:r w:rsidRPr="00781112">
        <w:rPr>
          <w:b/>
          <w:color w:val="000000" w:themeColor="text1"/>
          <w:sz w:val="20"/>
          <w:szCs w:val="20"/>
        </w:rPr>
        <w:t>Instructions and Measurement</w:t>
      </w:r>
    </w:p>
    <w:p w14:paraId="280CD956" w14:textId="60A4C66A" w:rsidR="009B6586" w:rsidRPr="00781112" w:rsidRDefault="009B6586" w:rsidP="00206890">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General Supervision</w:t>
      </w:r>
    </w:p>
    <w:p w14:paraId="676E98EE" w14:textId="77777777" w:rsidR="00692B95" w:rsidRPr="00781112" w:rsidRDefault="009B6586" w:rsidP="00206890">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Percent of hearing requests that went to resolution sessions that were resolved through resolution session settlement agreements.</w:t>
      </w:r>
    </w:p>
    <w:p w14:paraId="0FFA722A" w14:textId="6CF0A81F" w:rsidR="009B6586" w:rsidRPr="00781112" w:rsidRDefault="009B6586" w:rsidP="00206890">
      <w:pPr>
        <w:rPr>
          <w:rFonts w:cs="Arial"/>
          <w:color w:val="000000" w:themeColor="text1"/>
          <w:szCs w:val="16"/>
        </w:rPr>
      </w:pPr>
      <w:r w:rsidRPr="00781112">
        <w:rPr>
          <w:rFonts w:cs="Arial"/>
          <w:color w:val="000000" w:themeColor="text1"/>
          <w:szCs w:val="16"/>
        </w:rPr>
        <w:t xml:space="preserve"> (20 U.S.C. 1416(a)(3)(B))</w:t>
      </w:r>
    </w:p>
    <w:p w14:paraId="40DC2407" w14:textId="77777777" w:rsidR="00B14746" w:rsidRPr="00781112" w:rsidRDefault="00B14746" w:rsidP="004369B2">
      <w:pPr>
        <w:rPr>
          <w:color w:val="000000" w:themeColor="text1"/>
        </w:rPr>
      </w:pPr>
      <w:r w:rsidRPr="00781112">
        <w:rPr>
          <w:b/>
          <w:color w:val="000000" w:themeColor="text1"/>
        </w:rPr>
        <w:t>Data Source</w:t>
      </w:r>
    </w:p>
    <w:p w14:paraId="585EF86F" w14:textId="2E239104" w:rsidR="00B14746" w:rsidRPr="00781112" w:rsidRDefault="00B14746" w:rsidP="00206890">
      <w:pPr>
        <w:rPr>
          <w:rFonts w:cs="Arial"/>
          <w:color w:val="000000" w:themeColor="text1"/>
          <w:szCs w:val="16"/>
        </w:rPr>
      </w:pPr>
      <w:r w:rsidRPr="00781112">
        <w:rPr>
          <w:rFonts w:cs="Arial"/>
          <w:color w:val="000000" w:themeColor="text1"/>
          <w:szCs w:val="16"/>
        </w:rPr>
        <w:t xml:space="preserve">Data collected under section 618 of the IDEA (IDEA Part B Dispute Resolution Survey in the </w:t>
      </w:r>
      <w:proofErr w:type="spellStart"/>
      <w:r w:rsidRPr="00781112">
        <w:rPr>
          <w:rFonts w:cs="Arial"/>
          <w:color w:val="000000" w:themeColor="text1"/>
          <w:szCs w:val="16"/>
        </w:rPr>
        <w:t>ED</w:t>
      </w:r>
      <w:r w:rsidRPr="00BA3DBE">
        <w:rPr>
          <w:rFonts w:cs="Arial"/>
          <w:i/>
          <w:iCs/>
          <w:color w:val="000000" w:themeColor="text1"/>
          <w:szCs w:val="16"/>
        </w:rPr>
        <w:t>Facts</w:t>
      </w:r>
      <w:proofErr w:type="spellEnd"/>
      <w:r w:rsidRPr="00781112">
        <w:rPr>
          <w:rFonts w:cs="Arial"/>
          <w:color w:val="000000" w:themeColor="text1"/>
          <w:szCs w:val="16"/>
        </w:rPr>
        <w:t xml:space="preserve"> Metadata and Process System (E</w:t>
      </w:r>
      <w:r w:rsidR="00E65E32" w:rsidRPr="00781112">
        <w:rPr>
          <w:rFonts w:cs="Arial"/>
          <w:i/>
          <w:color w:val="000000" w:themeColor="text1"/>
          <w:szCs w:val="16"/>
        </w:rPr>
        <w:t>MAPS</w:t>
      </w:r>
      <w:r w:rsidRPr="00781112">
        <w:rPr>
          <w:rFonts w:cs="Arial"/>
          <w:color w:val="000000" w:themeColor="text1"/>
          <w:szCs w:val="16"/>
        </w:rPr>
        <w:t>)).</w:t>
      </w:r>
    </w:p>
    <w:p w14:paraId="4E6D96A3" w14:textId="77777777" w:rsidR="00B14746" w:rsidRPr="00781112" w:rsidRDefault="00B14746" w:rsidP="004369B2">
      <w:pPr>
        <w:rPr>
          <w:color w:val="000000" w:themeColor="text1"/>
        </w:rPr>
      </w:pPr>
      <w:r w:rsidRPr="00781112">
        <w:rPr>
          <w:b/>
          <w:color w:val="000000" w:themeColor="text1"/>
        </w:rPr>
        <w:t>Measurement</w:t>
      </w:r>
    </w:p>
    <w:p w14:paraId="64AA8A3E" w14:textId="743F9348" w:rsidR="00B14746" w:rsidRPr="00781112" w:rsidRDefault="00B14746" w:rsidP="00206890">
      <w:pPr>
        <w:rPr>
          <w:rFonts w:cs="Arial"/>
          <w:color w:val="000000" w:themeColor="text1"/>
          <w:szCs w:val="16"/>
        </w:rPr>
      </w:pPr>
      <w:r w:rsidRPr="00781112">
        <w:rPr>
          <w:rFonts w:cs="Arial"/>
          <w:color w:val="000000" w:themeColor="text1"/>
          <w:szCs w:val="16"/>
        </w:rPr>
        <w:t>Percent = (3.1(a) divided by 3.1) times 100.</w:t>
      </w:r>
    </w:p>
    <w:p w14:paraId="7D86471C" w14:textId="77777777" w:rsidR="00B14746" w:rsidRPr="00781112" w:rsidRDefault="00B14746" w:rsidP="004369B2">
      <w:pPr>
        <w:rPr>
          <w:color w:val="000000" w:themeColor="text1"/>
        </w:rPr>
      </w:pPr>
      <w:r w:rsidRPr="00781112">
        <w:rPr>
          <w:b/>
          <w:color w:val="000000" w:themeColor="text1"/>
        </w:rPr>
        <w:t>Instructions</w:t>
      </w:r>
    </w:p>
    <w:p w14:paraId="7F1341EF" w14:textId="77777777" w:rsidR="00B14746" w:rsidRPr="00781112" w:rsidRDefault="00B14746" w:rsidP="00286BDF">
      <w:pPr>
        <w:rPr>
          <w:rFonts w:cs="Arial"/>
          <w:i/>
          <w:iCs/>
          <w:color w:val="000000" w:themeColor="text1"/>
          <w:szCs w:val="16"/>
        </w:rPr>
      </w:pPr>
      <w:r w:rsidRPr="00781112">
        <w:rPr>
          <w:rFonts w:cs="Arial"/>
          <w:i/>
          <w:iCs/>
          <w:color w:val="000000" w:themeColor="text1"/>
          <w:szCs w:val="16"/>
        </w:rPr>
        <w:t>Sampling is not allowed.</w:t>
      </w:r>
    </w:p>
    <w:p w14:paraId="20D56B7B" w14:textId="77777777" w:rsidR="00B14746" w:rsidRPr="00781112" w:rsidRDefault="00B14746" w:rsidP="00286BDF">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368918B0" w14:textId="755A746B" w:rsidR="00B14746" w:rsidRPr="00781112" w:rsidRDefault="00B14746" w:rsidP="00286BDF">
      <w:pPr>
        <w:rPr>
          <w:rFonts w:cs="Arial"/>
          <w:color w:val="000000" w:themeColor="text1"/>
          <w:szCs w:val="16"/>
        </w:rPr>
      </w:pPr>
      <w:r w:rsidRPr="00781112">
        <w:rPr>
          <w:rFonts w:cs="Arial"/>
          <w:color w:val="000000" w:themeColor="text1"/>
          <w:szCs w:val="16"/>
        </w:rPr>
        <w:t>States are not required to establish baseline or targets if the number of resolution sessions is less than 10. In a reporting period when the number of resolution sessions reaches 10 or greater, develop baseline and targets and report on them in the corresponding SPP/APR.</w:t>
      </w:r>
    </w:p>
    <w:p w14:paraId="4484EAF5" w14:textId="77777777" w:rsidR="00B14746" w:rsidRPr="00781112" w:rsidRDefault="00B14746" w:rsidP="00286BDF">
      <w:pPr>
        <w:rPr>
          <w:rFonts w:cs="Arial"/>
          <w:color w:val="000000" w:themeColor="text1"/>
          <w:szCs w:val="16"/>
        </w:rPr>
      </w:pPr>
      <w:r w:rsidRPr="00781112">
        <w:rPr>
          <w:rFonts w:cs="Arial"/>
          <w:color w:val="000000" w:themeColor="text1"/>
          <w:szCs w:val="16"/>
        </w:rPr>
        <w:t>States may express their targets in a range (e.g., 75-85%).</w:t>
      </w:r>
    </w:p>
    <w:p w14:paraId="3A369CBC" w14:textId="77777777" w:rsidR="00B14746" w:rsidRPr="00781112" w:rsidRDefault="00B14746" w:rsidP="00286BDF">
      <w:pPr>
        <w:rPr>
          <w:rFonts w:cs="Arial"/>
          <w:color w:val="000000" w:themeColor="text1"/>
          <w:szCs w:val="16"/>
        </w:rPr>
      </w:pPr>
      <w:r w:rsidRPr="00781112">
        <w:rPr>
          <w:rFonts w:cs="Arial"/>
          <w:color w:val="000000" w:themeColor="text1"/>
          <w:szCs w:val="16"/>
        </w:rPr>
        <w:t>If the data reported in this indicator are not the same as the State’s data under IDEA section 618, explain.</w:t>
      </w:r>
    </w:p>
    <w:p w14:paraId="5C27A911" w14:textId="0F93F55A" w:rsidR="00B14746" w:rsidRPr="00781112" w:rsidRDefault="00B14746" w:rsidP="00286BDF">
      <w:pPr>
        <w:rPr>
          <w:rFonts w:cs="Arial"/>
          <w:color w:val="000000" w:themeColor="text1"/>
          <w:szCs w:val="16"/>
        </w:rPr>
      </w:pPr>
      <w:r w:rsidRPr="00781112">
        <w:rPr>
          <w:rFonts w:cs="Arial"/>
          <w:color w:val="000000" w:themeColor="text1"/>
          <w:szCs w:val="16"/>
        </w:rPr>
        <w:t>States are not required to report data at the LEA level.</w:t>
      </w:r>
    </w:p>
    <w:p w14:paraId="64F7E7AF" w14:textId="3E039165" w:rsidR="00575F02" w:rsidRPr="00781112" w:rsidRDefault="00DF2D3A" w:rsidP="00123D76">
      <w:pPr>
        <w:pStyle w:val="Heading2"/>
      </w:pPr>
      <w:r w:rsidRPr="00781112">
        <w:t>15</w:t>
      </w:r>
      <w:r w:rsidR="001D508D" w:rsidRPr="00781112">
        <w:t xml:space="preserve"> </w:t>
      </w:r>
      <w:r w:rsidRPr="00781112">
        <w:t xml:space="preserve">- </w:t>
      </w:r>
      <w:r w:rsidR="00575F02" w:rsidRPr="00781112">
        <w:t>Indicator Data</w:t>
      </w:r>
    </w:p>
    <w:p w14:paraId="787F4BF1" w14:textId="4407EA15" w:rsidR="004A33CD" w:rsidRPr="00781112" w:rsidRDefault="00E31E29" w:rsidP="004A33CD">
      <w:pPr>
        <w:rPr>
          <w:rFonts w:cs="Arial"/>
          <w:color w:val="000000" w:themeColor="text1"/>
          <w:szCs w:val="16"/>
        </w:rPr>
      </w:pPr>
      <w:r w:rsidRPr="00781112">
        <w:rPr>
          <w:rFonts w:cs="Arial"/>
          <w:color w:val="000000" w:themeColor="text1"/>
          <w:szCs w:val="16"/>
        </w:rPr>
        <w:t>Select yes to use target ranges</w:t>
      </w:r>
    </w:p>
    <w:p w14:paraId="28345E9C" w14:textId="1A461958" w:rsidR="004A33CD" w:rsidRPr="00781112" w:rsidRDefault="004A33CD" w:rsidP="004369B2">
      <w:pPr>
        <w:rPr>
          <w:color w:val="000000" w:themeColor="text1"/>
        </w:rPr>
      </w:pPr>
      <w:r w:rsidRPr="00781112">
        <w:rPr>
          <w:rFonts w:cs="Arial"/>
          <w:color w:val="000000" w:themeColor="text1"/>
          <w:szCs w:val="16"/>
        </w:rPr>
        <w:t>Target Range is used</w:t>
      </w:r>
    </w:p>
    <w:bookmarkEnd w:id="107"/>
    <w:bookmarkEnd w:id="108"/>
    <w:p w14:paraId="2C183615" w14:textId="77777777" w:rsidR="00CE0C68" w:rsidRPr="00781112" w:rsidRDefault="00CE0C68" w:rsidP="004369B2">
      <w:pPr>
        <w:rPr>
          <w:color w:val="000000" w:themeColor="text1"/>
        </w:rPr>
      </w:pPr>
    </w:p>
    <w:p w14:paraId="23EC0320" w14:textId="2C5AA27C" w:rsidR="00372DF8" w:rsidRPr="00781112" w:rsidRDefault="00372DF8" w:rsidP="004369B2">
      <w:pPr>
        <w:rPr>
          <w:color w:val="000000" w:themeColor="text1"/>
        </w:rPr>
      </w:pPr>
      <w:r w:rsidRPr="00781112">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B15PREPOPDATA"/>
      </w:tblPr>
      <w:tblGrid>
        <w:gridCol w:w="2605"/>
        <w:gridCol w:w="2700"/>
        <w:gridCol w:w="3571"/>
        <w:gridCol w:w="1914"/>
      </w:tblGrid>
      <w:tr w:rsidR="005C29F8" w:rsidRPr="00781112" w14:paraId="6639EAF6" w14:textId="77777777" w:rsidTr="00AB0D6A">
        <w:trPr>
          <w:trHeight w:val="372"/>
          <w:tblHeader/>
        </w:trPr>
        <w:tc>
          <w:tcPr>
            <w:tcW w:w="1207" w:type="pct"/>
            <w:shd w:val="clear" w:color="auto" w:fill="auto"/>
          </w:tcPr>
          <w:p w14:paraId="3040A217" w14:textId="77777777" w:rsidR="00372DF8" w:rsidRPr="00781112" w:rsidRDefault="00372DF8" w:rsidP="008E31C4">
            <w:pPr>
              <w:spacing w:after="0"/>
              <w:jc w:val="center"/>
              <w:rPr>
                <w:rFonts w:cs="Arial"/>
                <w:b/>
                <w:color w:val="000000" w:themeColor="text1"/>
                <w:szCs w:val="16"/>
              </w:rPr>
            </w:pPr>
            <w:r w:rsidRPr="00781112">
              <w:rPr>
                <w:rFonts w:cs="Arial"/>
                <w:b/>
                <w:color w:val="000000" w:themeColor="text1"/>
                <w:szCs w:val="16"/>
              </w:rPr>
              <w:t>Source</w:t>
            </w:r>
          </w:p>
        </w:tc>
        <w:tc>
          <w:tcPr>
            <w:tcW w:w="1251" w:type="pct"/>
            <w:shd w:val="clear" w:color="auto" w:fill="auto"/>
          </w:tcPr>
          <w:p w14:paraId="3A97206D" w14:textId="77777777" w:rsidR="00372DF8" w:rsidRPr="00781112" w:rsidRDefault="00372DF8" w:rsidP="008E31C4">
            <w:pPr>
              <w:spacing w:after="0"/>
              <w:jc w:val="center"/>
              <w:rPr>
                <w:rFonts w:cs="Arial"/>
                <w:b/>
                <w:color w:val="000000" w:themeColor="text1"/>
                <w:szCs w:val="16"/>
              </w:rPr>
            </w:pPr>
            <w:r w:rsidRPr="00781112">
              <w:rPr>
                <w:rFonts w:cs="Arial"/>
                <w:b/>
                <w:color w:val="000000" w:themeColor="text1"/>
                <w:szCs w:val="16"/>
              </w:rPr>
              <w:t>Date</w:t>
            </w:r>
          </w:p>
        </w:tc>
        <w:tc>
          <w:tcPr>
            <w:tcW w:w="1655" w:type="pct"/>
            <w:shd w:val="clear" w:color="auto" w:fill="auto"/>
          </w:tcPr>
          <w:p w14:paraId="52C3C7CB" w14:textId="77777777" w:rsidR="00372DF8" w:rsidRPr="00781112" w:rsidRDefault="00372DF8" w:rsidP="008E31C4">
            <w:pPr>
              <w:spacing w:after="0"/>
              <w:jc w:val="center"/>
              <w:rPr>
                <w:rFonts w:cs="Arial"/>
                <w:b/>
                <w:color w:val="000000" w:themeColor="text1"/>
                <w:szCs w:val="16"/>
              </w:rPr>
            </w:pPr>
            <w:r w:rsidRPr="00781112">
              <w:rPr>
                <w:rFonts w:cs="Arial"/>
                <w:b/>
                <w:color w:val="000000" w:themeColor="text1"/>
                <w:szCs w:val="16"/>
              </w:rPr>
              <w:t>Description</w:t>
            </w:r>
          </w:p>
        </w:tc>
        <w:tc>
          <w:tcPr>
            <w:tcW w:w="887" w:type="pct"/>
            <w:shd w:val="clear" w:color="auto" w:fill="auto"/>
          </w:tcPr>
          <w:p w14:paraId="3BD49A8D" w14:textId="77777777" w:rsidR="00372DF8" w:rsidRPr="00781112" w:rsidRDefault="00372DF8" w:rsidP="008E31C4">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50C4DB70" w14:textId="77777777" w:rsidTr="00AB0D6A">
        <w:trPr>
          <w:trHeight w:val="380"/>
        </w:trPr>
        <w:tc>
          <w:tcPr>
            <w:tcW w:w="1207" w:type="pct"/>
            <w:shd w:val="clear" w:color="auto" w:fill="auto"/>
          </w:tcPr>
          <w:p w14:paraId="56F7D41B" w14:textId="55A36B40" w:rsidR="001126C3" w:rsidRPr="00781112" w:rsidRDefault="002B7490" w:rsidP="001126C3">
            <w:pPr>
              <w:jc w:val="center"/>
              <w:rPr>
                <w:rFonts w:cs="Arial"/>
                <w:color w:val="000000" w:themeColor="text1"/>
                <w:szCs w:val="16"/>
              </w:rPr>
            </w:pPr>
            <w:r w:rsidRPr="00781112">
              <w:rPr>
                <w:rFonts w:cs="Arial"/>
                <w:color w:val="000000" w:themeColor="text1"/>
                <w:szCs w:val="16"/>
              </w:rPr>
              <w:t>SY 2022-23 EMAPS IDEA Part B Dispute Resolution Survey; Section C: Due Process Complaints</w:t>
            </w:r>
          </w:p>
        </w:tc>
        <w:tc>
          <w:tcPr>
            <w:tcW w:w="1251" w:type="pct"/>
            <w:shd w:val="clear" w:color="auto" w:fill="auto"/>
          </w:tcPr>
          <w:p w14:paraId="7C90E97F" w14:textId="79564898" w:rsidR="001126C3" w:rsidRPr="00781112" w:rsidRDefault="008174C3" w:rsidP="001126C3">
            <w:pPr>
              <w:jc w:val="center"/>
              <w:rPr>
                <w:rFonts w:cs="Arial"/>
                <w:color w:val="000000" w:themeColor="text1"/>
                <w:szCs w:val="16"/>
              </w:rPr>
            </w:pPr>
            <w:r w:rsidRPr="00781112">
              <w:rPr>
                <w:rFonts w:cs="Arial"/>
                <w:color w:val="000000" w:themeColor="text1"/>
                <w:szCs w:val="16"/>
              </w:rPr>
              <w:t>11/15/2023</w:t>
            </w:r>
          </w:p>
        </w:tc>
        <w:tc>
          <w:tcPr>
            <w:tcW w:w="1655" w:type="pct"/>
            <w:shd w:val="clear" w:color="auto" w:fill="auto"/>
          </w:tcPr>
          <w:p w14:paraId="5E5A973C" w14:textId="77777777" w:rsidR="001126C3" w:rsidRPr="00781112" w:rsidRDefault="001126C3" w:rsidP="001126C3">
            <w:pPr>
              <w:rPr>
                <w:rFonts w:cs="Arial"/>
                <w:color w:val="000000" w:themeColor="text1"/>
                <w:szCs w:val="16"/>
              </w:rPr>
            </w:pPr>
            <w:r w:rsidRPr="00781112">
              <w:rPr>
                <w:rFonts w:cs="Arial"/>
                <w:color w:val="000000" w:themeColor="text1"/>
                <w:szCs w:val="16"/>
              </w:rPr>
              <w:t>3.1 Number of resolution sessions</w:t>
            </w:r>
          </w:p>
        </w:tc>
        <w:tc>
          <w:tcPr>
            <w:tcW w:w="887" w:type="pct"/>
            <w:shd w:val="clear" w:color="auto" w:fill="auto"/>
          </w:tcPr>
          <w:p w14:paraId="5468BA6D" w14:textId="1A6A859B" w:rsidR="001126C3" w:rsidRPr="00781112" w:rsidRDefault="002B7490" w:rsidP="00A018D4">
            <w:pPr>
              <w:jc w:val="center"/>
              <w:rPr>
                <w:rFonts w:cs="Arial"/>
                <w:color w:val="000000" w:themeColor="text1"/>
                <w:szCs w:val="16"/>
              </w:rPr>
            </w:pPr>
            <w:r w:rsidRPr="00781112">
              <w:rPr>
                <w:rFonts w:cs="Arial"/>
                <w:color w:val="000000" w:themeColor="text1"/>
                <w:szCs w:val="16"/>
              </w:rPr>
              <w:t>1</w:t>
            </w:r>
          </w:p>
        </w:tc>
      </w:tr>
      <w:tr w:rsidR="005C29F8" w:rsidRPr="00781112" w14:paraId="2E50DA19" w14:textId="77777777" w:rsidTr="00AB0D6A">
        <w:trPr>
          <w:trHeight w:val="380"/>
        </w:trPr>
        <w:tc>
          <w:tcPr>
            <w:tcW w:w="1207" w:type="pct"/>
            <w:shd w:val="clear" w:color="auto" w:fill="auto"/>
          </w:tcPr>
          <w:p w14:paraId="2B232A7C" w14:textId="7E2BE0F5" w:rsidR="001126C3" w:rsidRPr="00781112" w:rsidRDefault="008174C3" w:rsidP="001126C3">
            <w:pPr>
              <w:jc w:val="center"/>
              <w:rPr>
                <w:rFonts w:cs="Arial"/>
                <w:color w:val="000000" w:themeColor="text1"/>
                <w:szCs w:val="16"/>
              </w:rPr>
            </w:pPr>
            <w:r w:rsidRPr="00781112">
              <w:rPr>
                <w:rFonts w:cs="Arial"/>
                <w:color w:val="000000" w:themeColor="text1"/>
                <w:szCs w:val="16"/>
              </w:rPr>
              <w:t>SY 2022-23 EMAPS IDEA Part B Dispute Resolution Survey; Section C: Due Process Complaints</w:t>
            </w:r>
          </w:p>
        </w:tc>
        <w:tc>
          <w:tcPr>
            <w:tcW w:w="1251" w:type="pct"/>
            <w:shd w:val="clear" w:color="auto" w:fill="auto"/>
          </w:tcPr>
          <w:p w14:paraId="7F21A5DE" w14:textId="74620D03" w:rsidR="001126C3" w:rsidRPr="00781112" w:rsidRDefault="008174C3" w:rsidP="001126C3">
            <w:pPr>
              <w:jc w:val="center"/>
              <w:rPr>
                <w:rFonts w:cs="Arial"/>
                <w:color w:val="000000" w:themeColor="text1"/>
                <w:szCs w:val="16"/>
              </w:rPr>
            </w:pPr>
            <w:r w:rsidRPr="00781112">
              <w:rPr>
                <w:rFonts w:cs="Arial"/>
                <w:color w:val="000000" w:themeColor="text1"/>
                <w:szCs w:val="16"/>
              </w:rPr>
              <w:t>11/15/2023</w:t>
            </w:r>
          </w:p>
        </w:tc>
        <w:tc>
          <w:tcPr>
            <w:tcW w:w="1655" w:type="pct"/>
            <w:shd w:val="clear" w:color="auto" w:fill="auto"/>
          </w:tcPr>
          <w:p w14:paraId="48E53926" w14:textId="77777777" w:rsidR="001126C3" w:rsidRPr="00781112" w:rsidRDefault="001126C3" w:rsidP="001126C3">
            <w:pPr>
              <w:rPr>
                <w:rFonts w:cs="Arial"/>
                <w:color w:val="000000" w:themeColor="text1"/>
                <w:szCs w:val="16"/>
              </w:rPr>
            </w:pPr>
            <w:r w:rsidRPr="00781112">
              <w:rPr>
                <w:rFonts w:cs="Arial"/>
                <w:color w:val="000000" w:themeColor="text1"/>
                <w:szCs w:val="16"/>
              </w:rPr>
              <w:t>3.1(a) Number resolution sessions resolved through settlement agreements</w:t>
            </w:r>
          </w:p>
        </w:tc>
        <w:tc>
          <w:tcPr>
            <w:tcW w:w="887" w:type="pct"/>
            <w:shd w:val="clear" w:color="auto" w:fill="auto"/>
          </w:tcPr>
          <w:p w14:paraId="1CCE3841" w14:textId="455ECD7A" w:rsidR="001126C3" w:rsidRPr="00781112" w:rsidRDefault="002B7490" w:rsidP="00A018D4">
            <w:pPr>
              <w:jc w:val="center"/>
              <w:rPr>
                <w:rFonts w:cs="Arial"/>
                <w:color w:val="000000" w:themeColor="text1"/>
                <w:szCs w:val="16"/>
              </w:rPr>
            </w:pPr>
            <w:r w:rsidRPr="00781112">
              <w:rPr>
                <w:rFonts w:cs="Arial"/>
                <w:color w:val="000000" w:themeColor="text1"/>
                <w:szCs w:val="16"/>
              </w:rPr>
              <w:t>1</w:t>
            </w:r>
          </w:p>
        </w:tc>
      </w:tr>
    </w:tbl>
    <w:p w14:paraId="162CEFB3" w14:textId="55A4ED3A" w:rsidR="004A33CD" w:rsidRPr="00781112" w:rsidRDefault="00E31E29">
      <w:pPr>
        <w:rPr>
          <w:b/>
          <w:color w:val="000000" w:themeColor="text1"/>
        </w:rPr>
      </w:pPr>
      <w:bookmarkStart w:id="109" w:name="_Toc382731913"/>
      <w:bookmarkStart w:id="110" w:name="_Toc392159341"/>
      <w:r w:rsidRPr="00781112">
        <w:rPr>
          <w:b/>
          <w:color w:val="000000" w:themeColor="text1"/>
        </w:rPr>
        <w:t>Select yes if the data reported in this indicator are not the same as the State’s data reported under section 618 of the IDEA.</w:t>
      </w:r>
    </w:p>
    <w:p w14:paraId="619A5AA7" w14:textId="55E9BEAB" w:rsidR="004A33CD" w:rsidRPr="00781112" w:rsidRDefault="004A33CD">
      <w:pPr>
        <w:rPr>
          <w:color w:val="000000" w:themeColor="text1"/>
        </w:rPr>
      </w:pPr>
      <w:r w:rsidRPr="00781112">
        <w:rPr>
          <w:color w:val="000000" w:themeColor="text1"/>
        </w:rPr>
        <w:t>NO</w:t>
      </w:r>
    </w:p>
    <w:bookmarkEnd w:id="111"/>
    <w:p w14:paraId="25CD6A7B" w14:textId="77777777" w:rsidR="000657A8" w:rsidRPr="00781112" w:rsidRDefault="000657A8" w:rsidP="004369B2">
      <w:pPr>
        <w:rPr>
          <w:color w:val="000000" w:themeColor="text1"/>
        </w:rPr>
      </w:pPr>
    </w:p>
    <w:p w14:paraId="2AFA559A" w14:textId="46CC9076" w:rsidR="000A2C83" w:rsidRPr="00781112" w:rsidRDefault="000A2C83" w:rsidP="004369B2">
      <w:pPr>
        <w:rPr>
          <w:b/>
          <w:color w:val="000000" w:themeColor="text1"/>
        </w:rPr>
      </w:pPr>
      <w:r w:rsidRPr="00781112">
        <w:rPr>
          <w:b/>
          <w:color w:val="000000" w:themeColor="text1"/>
        </w:rPr>
        <w:t xml:space="preserve">Targets: Description of Stakeholder Input </w:t>
      </w:r>
    </w:p>
    <w:p w14:paraId="60B2BAB4" w14:textId="6EAE1CD9" w:rsidR="000A2C83" w:rsidRPr="00781112" w:rsidRDefault="002B7490" w:rsidP="000A2C83">
      <w:pPr>
        <w:rPr>
          <w:rFonts w:cs="Arial"/>
          <w:color w:val="000000" w:themeColor="text1"/>
          <w:szCs w:val="16"/>
        </w:rPr>
      </w:pPr>
      <w:r w:rsidRPr="00781112">
        <w:rPr>
          <w:rFonts w:cs="Arial"/>
          <w:color w:val="000000" w:themeColor="text1"/>
          <w:szCs w:val="16"/>
        </w:rPr>
        <w:t>Mechanism for Broad Stakeholder Input:</w:t>
        <w:br/>
        <w:t xml:space="preserve">During FFY2022, the State held stakeholder meetings as the mechanism for soliciting broad stakeholder input on the State’s targets in the SPP/APR and any subsequent revisions. The meetings were held in-person for the first time following the COVID-19 pandemic. An online option was available for stakeholders that were not able to meet in person. In the meetings, Stakeholder groups reviewed the FFY2021 data, and the baselines and targets established for FFY 2020-2025. The groups analyzed the data to determine if established baselines and targets established in the prior year, were still an accurate depiction of the state’s performance trajectory. The meetings also allowed time for stakeholders to provide input on improvement strategies and progress for the SPP/APR indicators. The State also revised its methodology for Indicators 4a and 4b in which the information was shared with stakeholders and input was sought. In addition, the State also proposed a revised LEA annual determination rubric to include target indicators. The revised rubric will be used with FFY2023 LEA annual determinations and is consistent with the information in the OSEP Question and Answer document QA 23-01. </w:t>
        <w:br/>
        <w:t/>
        <w:br/>
        <w:t xml:space="preserve">Stakeholder meeting information including meeting logistics and presentations are available on the Special Education Division (SED) website for the public and any interested individual to access. Flyers were created and LEAs were asked to disseminate the information to their staff, parents, and students. The Parent Training Centers (PTCs) were asked to share the meeting information with parents including through social media. Other groups such as tribes, IDEA panel members, the State Special Education Ombud, and other parent advocacy groups were sent invitations to each of the meetings. </w:t>
        <w:br/>
        <w:t/>
        <w:br/>
        <w:t>Any stakeholder that wanted to provide feedback but could not attend the meetings, had an opportunity to do so. On the State’s stakeholder page, individuals can click on the link and share their input with the state staff by completing an input form. The feedback received from the website is also considered when making revisions and establishing targets.</w:t>
        <w:br/>
        <w:t/>
        <w:br/>
        <w:t>Feedback Summary:</w:t>
        <w:br/>
        <w:t>For Indicators 4a and 4b, the State’s methodology was proposed to be changed to meet OSEP requirements as indicated in the FFY2021, SPP/APR OSEP Responses and Required Actions. Stakeholders were presented with the new proposed methodology in which the cell size of 10 requirement was removed, the N size was reduced to 10 and a rate ratio of 3.0 was introduced. In comparison to the previous methodology, where a cell size and N size of 10 were required as well as a risk ratio of 1 percentage point above the state rate. Stakeholders had no objections or concerns with the new methodology. The State will use the new methodology to apply to the Indicator 4 data reported in this FFY2022 State Performance Plan/Annual Performance Report (SPP/APR).</w:t>
        <w:br/>
        <w:t/>
        <w:br/>
        <w:t>Indicator 17, State Systemic Improvement Plan:</w:t>
        <w:br/>
        <w:t xml:space="preserve">1. ECLIPSE program coordinators presented data and program updates to the state IDEA Panel (members include parents, advocates, state staff, and educators) during the 2022-2023 school year. IDEA panel members were engaged in the ECLIPSE program presentation on Indicator 17 and updates. An ECLIPSE panel committee provided qualitative feedback via a Google Form survey. The panel members conveyed the program is making progress in improving literacy outcomes forward for students with disabilities. Recommendations included increasing parental involvement and increased awareness of the program's successes. </w:t>
        <w:br/>
        <w:t>2. A virtual ECLIPSE stakeholder meeting was held during the 2022-2023 school year. Stakeholders in attendance included the ECLIPSE staff, Regional Education Cooperative (REC) coordinators, Special Education Directors, and ECLIPSE school principals. Stakeholders in attendance were provided with ECLIPSE program details for the upcoming school year and verbal feedback about the ECLIPSE Program at the end of the meeting.</w:t>
        <w:br/>
        <w:t xml:space="preserve">3. Parent engagement stakeholder meetings were held in-person and through online platforms where they were provided direct literacy training via hands-on activities. If the meeting was online, materials were provided to the schools prior to the meeting. The Regional Education Cooperative (REC) contractors provided materials, activities, and training to parents in-person. The REC initiated Google Pre and Post surveys following the trainings and it indicated that the level of understanding to support reading at home increased. Parental understanding of what the predicator of reading success was increased dramatically between pre and post surveys. A summary of parent comments included that the engagement sessions provided a lot of great information, it was a fun learning experience, and they looked forward to future meetings. </w:t>
        <w:br/>
        <w:t xml:space="preserve">4. The ECLIPSE staff initiated surveys during 2022-2023 to principals and teachers through Google Forms survey. Teachers showed dramatic increases in their knowledge of the incorporation of engagement strategies with their students due to their coaches. In a pre-survey, administrators listed that professional development on literacy is one of the greatest needs of the teachers they support. They also stated that time and equitable feedback were areas of administrative need. </w:t>
        <w:br/>
        <w:t>5. An online end of year survey was sent to all ECLIPSE stakeholders as the 2022-2023 school year ended. The main consensus from the survey supported the ongoing development of the program to illustrate its impact so adjustments can be made to better inform ourselves and our stakeholders of progress.</w:t>
      </w:r>
    </w:p>
    <w:p w14:paraId="43B1695A" w14:textId="2970A905" w:rsidR="000A2C83" w:rsidRPr="00781112" w:rsidRDefault="002B7490" w:rsidP="000A2C83">
      <w:pPr>
        <w:rPr>
          <w:rFonts w:cs="Arial"/>
          <w:color w:val="000000" w:themeColor="text1"/>
          <w:szCs w:val="16"/>
        </w:rPr>
      </w:pPr>
      <w:r w:rsidRPr="00781112">
        <w:rPr>
          <w:rFonts w:cs="Arial"/>
          <w:color w:val="000000" w:themeColor="text1"/>
          <w:szCs w:val="16"/>
        </w:rPr>
        <w:t/>
      </w:r>
    </w:p>
    <w:bookmarkEnd w:id="109"/>
    <w:bookmarkEnd w:id="110"/>
    <w:p w14:paraId="3A708A87" w14:textId="77777777" w:rsidR="00CE0C68" w:rsidRPr="00781112" w:rsidRDefault="00CE0C68" w:rsidP="00127006">
      <w:pPr>
        <w:pStyle w:val="Bold"/>
        <w:rPr>
          <w:color w:val="000000" w:themeColor="text1"/>
        </w:rPr>
      </w:pPr>
    </w:p>
    <w:p w14:paraId="4E8407A2" w14:textId="6977F9EE" w:rsidR="00EC46E4" w:rsidRPr="00781112" w:rsidRDefault="00EC46E4"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5BASELINEDATA"/>
      </w:tblPr>
      <w:tblGrid>
        <w:gridCol w:w="1797"/>
        <w:gridCol w:w="1798"/>
      </w:tblGrid>
      <w:tr w:rsidR="00956DFE" w:rsidRPr="00781112" w14:paraId="4BC2AEC0" w14:textId="77777777" w:rsidTr="00123D76">
        <w:trPr>
          <w:trHeight w:val="311"/>
          <w:tblHeader/>
        </w:trPr>
        <w:tc>
          <w:tcPr>
            <w:tcW w:w="1797" w:type="dxa"/>
          </w:tcPr>
          <w:p w14:paraId="5C965FC2" w14:textId="77777777" w:rsidR="00956DFE" w:rsidRPr="00781112" w:rsidRDefault="00956DFE" w:rsidP="00123D76">
            <w:pPr>
              <w:jc w:val="center"/>
              <w:rPr>
                <w:b/>
                <w:color w:val="000000" w:themeColor="text1"/>
              </w:rPr>
            </w:pPr>
            <w:r w:rsidRPr="00781112">
              <w:rPr>
                <w:rFonts w:cs="Arial"/>
                <w:b/>
                <w:color w:val="000000" w:themeColor="text1"/>
                <w:szCs w:val="16"/>
              </w:rPr>
              <w:t>Baseline Year</w:t>
            </w:r>
          </w:p>
        </w:tc>
        <w:tc>
          <w:tcPr>
            <w:tcW w:w="1798" w:type="dxa"/>
          </w:tcPr>
          <w:p w14:paraId="0FE47E01" w14:textId="77777777" w:rsidR="00956DFE" w:rsidRPr="00781112" w:rsidRDefault="00956DFE" w:rsidP="00123D76">
            <w:pPr>
              <w:jc w:val="center"/>
              <w:rPr>
                <w:b/>
                <w:color w:val="000000" w:themeColor="text1"/>
              </w:rPr>
            </w:pPr>
            <w:r w:rsidRPr="00781112">
              <w:rPr>
                <w:b/>
                <w:color w:val="000000" w:themeColor="text1"/>
              </w:rPr>
              <w:t>Baseline Data</w:t>
            </w:r>
          </w:p>
        </w:tc>
      </w:tr>
      <w:tr w:rsidR="00956DFE" w:rsidRPr="00781112" w14:paraId="4061AB26" w14:textId="77777777" w:rsidTr="00123D76">
        <w:trPr>
          <w:trHeight w:val="311"/>
        </w:trPr>
        <w:tc>
          <w:tcPr>
            <w:tcW w:w="1797" w:type="dxa"/>
            <w:vAlign w:val="center"/>
          </w:tcPr>
          <w:p w14:paraId="06B6D30C" w14:textId="2AF9B55C" w:rsidR="00956DFE" w:rsidRPr="00781112" w:rsidRDefault="00956DFE" w:rsidP="00123D76">
            <w:pPr>
              <w:jc w:val="center"/>
              <w:rPr>
                <w:bCs/>
                <w:color w:val="000000" w:themeColor="text1"/>
              </w:rPr>
            </w:pPr>
            <w:r w:rsidRPr="00781112">
              <w:rPr>
                <w:bCs/>
                <w:color w:val="000000" w:themeColor="text1"/>
              </w:rPr>
              <w:t>2005</w:t>
            </w:r>
          </w:p>
        </w:tc>
        <w:tc>
          <w:tcPr>
            <w:tcW w:w="1798" w:type="dxa"/>
            <w:vAlign w:val="center"/>
          </w:tcPr>
          <w:p w14:paraId="2ECB17ED" w14:textId="53ECEEAF" w:rsidR="00956DFE" w:rsidRPr="00781112" w:rsidRDefault="00956DFE" w:rsidP="00123D76">
            <w:pPr>
              <w:jc w:val="center"/>
              <w:rPr>
                <w:bCs/>
                <w:color w:val="000000" w:themeColor="text1"/>
              </w:rPr>
            </w:pPr>
            <w:r w:rsidRPr="00781112">
              <w:rPr>
                <w:bCs/>
                <w:color w:val="000000" w:themeColor="text1"/>
              </w:rPr>
              <w:t>100.00%</w:t>
            </w:r>
          </w:p>
        </w:tc>
      </w:tr>
    </w:tbl>
    <w:p w14:paraId="3ABC15A0" w14:textId="77777777" w:rsidR="00956DFE" w:rsidRPr="00781112" w:rsidRDefault="00956DFE"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5HISTDATA"/>
      </w:tblPr>
      <w:tblGrid>
        <w:gridCol w:w="1798"/>
        <w:gridCol w:w="1798"/>
        <w:gridCol w:w="1798"/>
        <w:gridCol w:w="1798"/>
        <w:gridCol w:w="1798"/>
        <w:gridCol w:w="1800"/>
      </w:tblGrid>
      <w:tr w:rsidR="005C29F8" w:rsidRPr="00781112" w14:paraId="4E412341" w14:textId="77777777" w:rsidTr="004B2960">
        <w:trPr>
          <w:trHeight w:val="350"/>
        </w:trPr>
        <w:tc>
          <w:tcPr>
            <w:tcW w:w="833" w:type="pct"/>
            <w:tcBorders>
              <w:bottom w:val="single" w:sz="4" w:space="0" w:color="auto"/>
            </w:tcBorders>
            <w:shd w:val="clear" w:color="auto" w:fill="auto"/>
          </w:tcPr>
          <w:p w14:paraId="3BCF53D4" w14:textId="77777777" w:rsidR="00206890" w:rsidRPr="00781112" w:rsidRDefault="00206890"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1BCFC70E" w14:textId="1BB5B5A8" w:rsidR="00206890" w:rsidRPr="00781112" w:rsidRDefault="002B7490" w:rsidP="008E31C4">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0D14322A" w14:textId="6BD4D2D0" w:rsidR="00206890" w:rsidRPr="00781112" w:rsidRDefault="002B7490" w:rsidP="008E31C4">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5AD53313" w14:textId="5FC8C632" w:rsidR="00206890" w:rsidRPr="00781112" w:rsidRDefault="002B7490" w:rsidP="008E31C4">
            <w:pPr>
              <w:jc w:val="center"/>
              <w:rPr>
                <w:rFonts w:cs="Arial"/>
                <w:b/>
                <w:color w:val="000000" w:themeColor="text1"/>
                <w:szCs w:val="16"/>
              </w:rPr>
            </w:pPr>
            <w:r w:rsidRPr="00781112">
              <w:rPr>
                <w:rFonts w:cs="Arial"/>
                <w:b/>
                <w:color w:val="000000" w:themeColor="text1"/>
                <w:szCs w:val="16"/>
              </w:rPr>
              <w:t>2019</w:t>
            </w:r>
          </w:p>
        </w:tc>
        <w:tc>
          <w:tcPr>
            <w:tcW w:w="833" w:type="pct"/>
            <w:shd w:val="clear" w:color="auto" w:fill="auto"/>
          </w:tcPr>
          <w:p w14:paraId="4015341F" w14:textId="703AE838" w:rsidR="00206890" w:rsidRPr="00781112" w:rsidRDefault="002B7490" w:rsidP="008E31C4">
            <w:pPr>
              <w:jc w:val="center"/>
              <w:rPr>
                <w:rFonts w:cs="Arial"/>
                <w:b/>
                <w:color w:val="000000" w:themeColor="text1"/>
                <w:szCs w:val="16"/>
              </w:rPr>
            </w:pPr>
            <w:r w:rsidRPr="00781112">
              <w:rPr>
                <w:rFonts w:cs="Arial"/>
                <w:b/>
                <w:color w:val="000000" w:themeColor="text1"/>
                <w:szCs w:val="16"/>
              </w:rPr>
              <w:t>2020</w:t>
            </w:r>
          </w:p>
        </w:tc>
        <w:tc>
          <w:tcPr>
            <w:tcW w:w="834" w:type="pct"/>
            <w:shd w:val="clear" w:color="auto" w:fill="auto"/>
          </w:tcPr>
          <w:p w14:paraId="087D6966" w14:textId="6C948B8E" w:rsidR="00206890" w:rsidRPr="00781112" w:rsidRDefault="002B7490" w:rsidP="008E31C4">
            <w:pPr>
              <w:jc w:val="center"/>
              <w:rPr>
                <w:rFonts w:cs="Arial"/>
                <w:b/>
                <w:color w:val="000000" w:themeColor="text1"/>
                <w:szCs w:val="16"/>
              </w:rPr>
            </w:pPr>
            <w:r w:rsidRPr="00781112">
              <w:rPr>
                <w:rFonts w:cs="Arial"/>
                <w:b/>
                <w:color w:val="000000" w:themeColor="text1"/>
                <w:szCs w:val="16"/>
              </w:rPr>
              <w:t>2021</w:t>
            </w:r>
          </w:p>
        </w:tc>
      </w:tr>
      <w:tr w:rsidR="005C29F8" w:rsidRPr="00781112" w14:paraId="2C55BF13" w14:textId="77777777" w:rsidTr="004B2960">
        <w:trPr>
          <w:trHeight w:val="357"/>
        </w:trPr>
        <w:tc>
          <w:tcPr>
            <w:tcW w:w="833" w:type="pct"/>
            <w:shd w:val="clear" w:color="auto" w:fill="auto"/>
          </w:tcPr>
          <w:p w14:paraId="33F24D1B" w14:textId="209B7194" w:rsidR="00206890" w:rsidRPr="00781112" w:rsidRDefault="00206890" w:rsidP="00BA3DBE">
            <w:pPr>
              <w:jc w:val="center"/>
              <w:rPr>
                <w:rFonts w:cs="Arial"/>
                <w:color w:val="000000" w:themeColor="text1"/>
                <w:szCs w:val="16"/>
              </w:rPr>
            </w:pPr>
            <w:r w:rsidRPr="00781112">
              <w:rPr>
                <w:rFonts w:cs="Arial"/>
                <w:color w:val="000000" w:themeColor="text1"/>
                <w:szCs w:val="16"/>
              </w:rPr>
              <w:t>Target &gt;=</w:t>
            </w:r>
          </w:p>
        </w:tc>
        <w:tc>
          <w:tcPr>
            <w:tcW w:w="833" w:type="pct"/>
            <w:shd w:val="clear" w:color="auto" w:fill="auto"/>
          </w:tcPr>
          <w:p w14:paraId="7184CC23" w14:textId="0660F716" w:rsidR="00206890" w:rsidRPr="00781112" w:rsidRDefault="002B7490" w:rsidP="00A018D4">
            <w:pPr>
              <w:jc w:val="center"/>
              <w:rPr>
                <w:rFonts w:cs="Arial"/>
                <w:color w:val="000000" w:themeColor="text1"/>
                <w:szCs w:val="16"/>
              </w:rPr>
            </w:pPr>
            <w:r w:rsidRPr="00781112">
              <w:rPr>
                <w:rFonts w:cs="Arial"/>
                <w:color w:val="000000" w:themeColor="text1"/>
                <w:szCs w:val="16"/>
              </w:rPr>
              <w:t>55.00% - 70.00%</w:t>
            </w:r>
          </w:p>
        </w:tc>
        <w:tc>
          <w:tcPr>
            <w:tcW w:w="833" w:type="pct"/>
            <w:shd w:val="clear" w:color="auto" w:fill="auto"/>
          </w:tcPr>
          <w:p w14:paraId="0E9857EC" w14:textId="50F3C2EF" w:rsidR="00206890" w:rsidRPr="00781112" w:rsidRDefault="002B7490" w:rsidP="00A018D4">
            <w:pPr>
              <w:jc w:val="center"/>
              <w:rPr>
                <w:rFonts w:cs="Arial"/>
                <w:color w:val="000000" w:themeColor="text1"/>
                <w:szCs w:val="16"/>
              </w:rPr>
            </w:pPr>
            <w:r w:rsidRPr="00781112">
              <w:rPr>
                <w:rFonts w:cs="Arial"/>
                <w:color w:val="000000" w:themeColor="text1"/>
                <w:szCs w:val="16"/>
              </w:rPr>
              <w:t>55.00% - 70.00%</w:t>
            </w:r>
          </w:p>
        </w:tc>
        <w:tc>
          <w:tcPr>
            <w:tcW w:w="833" w:type="pct"/>
            <w:shd w:val="clear" w:color="auto" w:fill="auto"/>
            <w:vAlign w:val="center"/>
          </w:tcPr>
          <w:p w14:paraId="0571C04B" w14:textId="328A30A7" w:rsidR="00206890" w:rsidRPr="00781112" w:rsidRDefault="002B7490" w:rsidP="00A018D4">
            <w:pPr>
              <w:jc w:val="center"/>
              <w:rPr>
                <w:rFonts w:cs="Arial"/>
                <w:color w:val="000000" w:themeColor="text1"/>
                <w:szCs w:val="16"/>
              </w:rPr>
            </w:pPr>
            <w:r w:rsidRPr="00781112">
              <w:rPr>
                <w:rFonts w:cs="Arial"/>
                <w:color w:val="000000" w:themeColor="text1"/>
                <w:szCs w:val="16"/>
              </w:rPr>
              <w:t>55.00%-70.00%</w:t>
            </w:r>
          </w:p>
        </w:tc>
        <w:tc>
          <w:tcPr>
            <w:tcW w:w="833" w:type="pct"/>
            <w:shd w:val="clear" w:color="auto" w:fill="auto"/>
            <w:vAlign w:val="center"/>
          </w:tcPr>
          <w:p w14:paraId="77EAC2A0" w14:textId="7A794ABC" w:rsidR="00206890" w:rsidRPr="00781112" w:rsidRDefault="002B7490" w:rsidP="00A018D4">
            <w:pPr>
              <w:jc w:val="center"/>
              <w:rPr>
                <w:rFonts w:cs="Arial"/>
                <w:color w:val="000000" w:themeColor="text1"/>
                <w:szCs w:val="16"/>
              </w:rPr>
            </w:pPr>
            <w:r w:rsidRPr="00781112">
              <w:rPr>
                <w:rFonts w:cs="Arial"/>
                <w:color w:val="000000" w:themeColor="text1"/>
                <w:szCs w:val="16"/>
              </w:rPr>
              <w:t>55.00%-70.00%</w:t>
            </w:r>
          </w:p>
        </w:tc>
        <w:tc>
          <w:tcPr>
            <w:tcW w:w="834" w:type="pct"/>
            <w:shd w:val="clear" w:color="auto" w:fill="auto"/>
            <w:vAlign w:val="center"/>
          </w:tcPr>
          <w:p w14:paraId="04397BF9" w14:textId="1A3506DC" w:rsidR="00206890" w:rsidRPr="00781112" w:rsidRDefault="002B7490" w:rsidP="00A018D4">
            <w:pPr>
              <w:jc w:val="center"/>
              <w:rPr>
                <w:rFonts w:cs="Arial"/>
                <w:color w:val="000000" w:themeColor="text1"/>
                <w:szCs w:val="16"/>
              </w:rPr>
            </w:pPr>
            <w:r w:rsidRPr="00781112">
              <w:rPr>
                <w:rFonts w:cs="Arial"/>
                <w:color w:val="000000" w:themeColor="text1"/>
                <w:szCs w:val="16"/>
              </w:rPr>
              <w:t>55.00%-70.00%</w:t>
            </w:r>
          </w:p>
        </w:tc>
      </w:tr>
      <w:tr w:rsidR="005C29F8" w:rsidRPr="00781112" w14:paraId="10C8B4B5" w14:textId="77777777" w:rsidTr="004B2960">
        <w:trPr>
          <w:trHeight w:val="85"/>
        </w:trPr>
        <w:tc>
          <w:tcPr>
            <w:tcW w:w="833" w:type="pct"/>
            <w:shd w:val="clear" w:color="auto" w:fill="auto"/>
          </w:tcPr>
          <w:p w14:paraId="708FF78B" w14:textId="77777777" w:rsidR="00206890" w:rsidRPr="00781112" w:rsidRDefault="00206890"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5E187FD0" w14:textId="3237A264" w:rsidR="00206890" w:rsidRPr="00781112" w:rsidRDefault="002B7490" w:rsidP="00A018D4">
            <w:pPr>
              <w:jc w:val="center"/>
              <w:rPr>
                <w:rFonts w:cs="Arial"/>
                <w:color w:val="000000" w:themeColor="text1"/>
                <w:szCs w:val="16"/>
              </w:rPr>
            </w:pPr>
            <w:r w:rsidRPr="00781112">
              <w:rPr>
                <w:rFonts w:cs="Arial"/>
                <w:color w:val="000000" w:themeColor="text1"/>
                <w:szCs w:val="16"/>
              </w:rPr>
              <w:t/>
            </w:r>
          </w:p>
        </w:tc>
        <w:tc>
          <w:tcPr>
            <w:tcW w:w="833" w:type="pct"/>
            <w:shd w:val="clear" w:color="auto" w:fill="auto"/>
          </w:tcPr>
          <w:p w14:paraId="6CEC3330" w14:textId="5E8A3E06" w:rsidR="00206890" w:rsidRPr="00781112" w:rsidRDefault="002B7490" w:rsidP="00A018D4">
            <w:pPr>
              <w:jc w:val="center"/>
              <w:rPr>
                <w:rFonts w:cs="Arial"/>
                <w:color w:val="000000" w:themeColor="text1"/>
                <w:szCs w:val="16"/>
              </w:rPr>
            </w:pPr>
            <w:r w:rsidRPr="00781112">
              <w:rPr>
                <w:rFonts w:cs="Arial"/>
                <w:color w:val="000000" w:themeColor="text1"/>
                <w:szCs w:val="16"/>
              </w:rPr>
              <w:t>100.00%</w:t>
            </w:r>
          </w:p>
        </w:tc>
        <w:tc>
          <w:tcPr>
            <w:tcW w:w="833" w:type="pct"/>
            <w:tcBorders>
              <w:bottom w:val="single" w:sz="4" w:space="0" w:color="auto"/>
            </w:tcBorders>
            <w:shd w:val="clear" w:color="auto" w:fill="auto"/>
            <w:vAlign w:val="center"/>
          </w:tcPr>
          <w:p w14:paraId="3C74B678" w14:textId="22746FF8" w:rsidR="00206890" w:rsidRPr="00781112" w:rsidRDefault="002B7490" w:rsidP="00A018D4">
            <w:pPr>
              <w:jc w:val="center"/>
              <w:rPr>
                <w:rFonts w:cs="Arial"/>
                <w:color w:val="000000" w:themeColor="text1"/>
                <w:szCs w:val="16"/>
              </w:rPr>
            </w:pPr>
            <w:r w:rsidRPr="00781112">
              <w:rPr>
                <w:rFonts w:cs="Arial"/>
                <w:color w:val="000000" w:themeColor="text1"/>
                <w:szCs w:val="16"/>
              </w:rPr>
              <w:t>100.00%</w:t>
            </w:r>
          </w:p>
        </w:tc>
        <w:tc>
          <w:tcPr>
            <w:tcW w:w="833" w:type="pct"/>
            <w:tcBorders>
              <w:bottom w:val="single" w:sz="4" w:space="0" w:color="auto"/>
            </w:tcBorders>
            <w:shd w:val="clear" w:color="auto" w:fill="auto"/>
            <w:vAlign w:val="center"/>
          </w:tcPr>
          <w:p w14:paraId="6488E126" w14:textId="74B63322" w:rsidR="00206890" w:rsidRPr="00781112" w:rsidRDefault="002B7490" w:rsidP="00A018D4">
            <w:pPr>
              <w:jc w:val="center"/>
              <w:rPr>
                <w:rFonts w:cs="Arial"/>
                <w:color w:val="000000" w:themeColor="text1"/>
                <w:szCs w:val="16"/>
              </w:rPr>
            </w:pPr>
            <w:r w:rsidRPr="00781112">
              <w:rPr>
                <w:rFonts w:cs="Arial"/>
                <w:color w:val="000000" w:themeColor="text1"/>
                <w:szCs w:val="16"/>
              </w:rPr>
              <w:t/>
            </w:r>
          </w:p>
        </w:tc>
        <w:tc>
          <w:tcPr>
            <w:tcW w:w="834" w:type="pct"/>
            <w:tcBorders>
              <w:bottom w:val="single" w:sz="4" w:space="0" w:color="auto"/>
            </w:tcBorders>
            <w:shd w:val="clear" w:color="auto" w:fill="auto"/>
            <w:vAlign w:val="center"/>
          </w:tcPr>
          <w:p w14:paraId="72325A8D" w14:textId="79CE876D" w:rsidR="00206890" w:rsidRPr="00781112" w:rsidRDefault="002B7490" w:rsidP="00A018D4">
            <w:pPr>
              <w:jc w:val="center"/>
              <w:rPr>
                <w:rFonts w:cs="Arial"/>
                <w:color w:val="000000" w:themeColor="text1"/>
                <w:szCs w:val="16"/>
              </w:rPr>
            </w:pPr>
            <w:r w:rsidRPr="00781112">
              <w:rPr>
                <w:rFonts w:cs="Arial"/>
                <w:color w:val="000000" w:themeColor="text1"/>
                <w:szCs w:val="16"/>
              </w:rPr>
              <w:t>33.33%</w:t>
            </w:r>
          </w:p>
        </w:tc>
      </w:tr>
    </w:tbl>
    <w:p w14:paraId="49D45707" w14:textId="4136C190" w:rsidR="00CE0C68" w:rsidRPr="00781112" w:rsidRDefault="00CE0C68">
      <w:pPr>
        <w:rPr>
          <w:color w:val="000000" w:themeColor="text1"/>
        </w:rPr>
      </w:pPr>
    </w:p>
    <w:p w14:paraId="161341C1" w14:textId="77777777" w:rsidR="00CE0C68" w:rsidRPr="00781112" w:rsidRDefault="00CE0C68" w:rsidP="004369B2">
      <w:pPr>
        <w:rPr>
          <w:color w:val="000000" w:themeColor="text1"/>
        </w:rPr>
      </w:pPr>
    </w:p>
    <w:p w14:paraId="3D302901" w14:textId="39ABFCEF" w:rsidR="008E31C4" w:rsidRPr="00781112" w:rsidRDefault="008E31C4" w:rsidP="004369B2">
      <w:pPr>
        <w:rPr>
          <w:color w:val="000000" w:themeColor="text1"/>
        </w:rPr>
      </w:pPr>
      <w:r w:rsidRPr="00781112">
        <w:rPr>
          <w:b/>
          <w:color w:val="000000" w:themeColor="text1"/>
        </w:rPr>
        <w:t>Targets</w:t>
      </w:r>
    </w:p>
    <w:tbl>
      <w:tblPr>
        <w:tblW w:w="3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5TARGETSOPT2"/>
      </w:tblPr>
      <w:tblGrid>
        <w:gridCol w:w="987"/>
        <w:gridCol w:w="817"/>
        <w:gridCol w:w="817"/>
        <w:gridCol w:w="817"/>
        <w:gridCol w:w="817"/>
        <w:gridCol w:w="817"/>
        <w:gridCol w:w="817"/>
        <w:gridCol w:w="817"/>
        <w:gridCol w:w="817"/>
      </w:tblGrid>
      <w:tr w:rsidR="00B67FCE" w:rsidRPr="00781112" w14:paraId="644B64CC" w14:textId="054608F6" w:rsidTr="00845B9B">
        <w:trPr>
          <w:trHeight w:val="365"/>
          <w:tblHeader/>
        </w:trPr>
        <w:tc>
          <w:tcPr>
            <w:tcW w:w="655" w:type="pct"/>
            <w:tcBorders>
              <w:bottom w:val="single" w:sz="4" w:space="0" w:color="auto"/>
            </w:tcBorders>
            <w:shd w:val="clear" w:color="auto" w:fill="auto"/>
          </w:tcPr>
          <w:p w14:paraId="7BA1EAE5" w14:textId="77777777" w:rsidR="00B67FCE" w:rsidRPr="00781112" w:rsidRDefault="00B67FCE" w:rsidP="00B21923">
            <w:pPr>
              <w:jc w:val="center"/>
              <w:rPr>
                <w:b/>
                <w:color w:val="000000" w:themeColor="text1"/>
              </w:rPr>
            </w:pPr>
            <w:r w:rsidRPr="00781112">
              <w:rPr>
                <w:b/>
                <w:color w:val="000000" w:themeColor="text1"/>
              </w:rPr>
              <w:t>FFY</w:t>
            </w:r>
          </w:p>
        </w:tc>
        <w:tc>
          <w:tcPr>
            <w:tcW w:w="543" w:type="pct"/>
            <w:shd w:val="clear" w:color="auto" w:fill="auto"/>
            <w:vAlign w:val="center"/>
          </w:tcPr>
          <w:p w14:paraId="23DAA64E" w14:textId="5FAB23E7" w:rsidR="00B67FCE" w:rsidRPr="00781112" w:rsidRDefault="00B67FCE" w:rsidP="006D0A52">
            <w:pPr>
              <w:pStyle w:val="TableHead"/>
              <w:rPr>
                <w:b w:val="0"/>
                <w:color w:val="000000" w:themeColor="text1"/>
              </w:rPr>
            </w:pPr>
            <w:r>
              <w:t>2022 (low)</w:t>
            </w:r>
          </w:p>
        </w:tc>
        <w:tc>
          <w:tcPr>
            <w:tcW w:w="543" w:type="pct"/>
            <w:shd w:val="clear" w:color="auto" w:fill="auto"/>
            <w:vAlign w:val="center"/>
          </w:tcPr>
          <w:p w14:paraId="0DBD43BD" w14:textId="438D4875" w:rsidR="00B67FCE" w:rsidRPr="00781112" w:rsidRDefault="00B67FCE" w:rsidP="006D0A52">
            <w:pPr>
              <w:pStyle w:val="TableHead"/>
              <w:rPr>
                <w:b w:val="0"/>
                <w:color w:val="000000" w:themeColor="text1"/>
              </w:rPr>
            </w:pPr>
            <w:r>
              <w:t>2022 (high)</w:t>
            </w:r>
          </w:p>
        </w:tc>
        <w:tc>
          <w:tcPr>
            <w:tcW w:w="543" w:type="pct"/>
            <w:vAlign w:val="center"/>
          </w:tcPr>
          <w:p w14:paraId="6AD281FB" w14:textId="1E218DCB" w:rsidR="00B67FCE" w:rsidRPr="00781112" w:rsidRDefault="00B67FCE" w:rsidP="006D0A52">
            <w:pPr>
              <w:pStyle w:val="TableHead"/>
              <w:rPr>
                <w:b w:val="0"/>
                <w:color w:val="000000" w:themeColor="text1"/>
              </w:rPr>
            </w:pPr>
            <w:r>
              <w:t>2023 (low)</w:t>
            </w:r>
          </w:p>
        </w:tc>
        <w:tc>
          <w:tcPr>
            <w:tcW w:w="543" w:type="pct"/>
            <w:vAlign w:val="center"/>
          </w:tcPr>
          <w:p w14:paraId="28D1785D" w14:textId="08495DB2" w:rsidR="00B67FCE" w:rsidRPr="00781112" w:rsidRDefault="00B67FCE" w:rsidP="006D0A52">
            <w:pPr>
              <w:pStyle w:val="TableHead"/>
              <w:rPr>
                <w:b w:val="0"/>
                <w:color w:val="000000" w:themeColor="text1"/>
              </w:rPr>
            </w:pPr>
            <w:r>
              <w:t>2023 (high)</w:t>
            </w:r>
          </w:p>
        </w:tc>
        <w:tc>
          <w:tcPr>
            <w:tcW w:w="543" w:type="pct"/>
            <w:vAlign w:val="center"/>
          </w:tcPr>
          <w:p w14:paraId="07035D22" w14:textId="019C2AF1" w:rsidR="00B67FCE" w:rsidRPr="00781112" w:rsidRDefault="00B67FCE" w:rsidP="006D0A52">
            <w:pPr>
              <w:pStyle w:val="TableHead"/>
              <w:rPr>
                <w:b w:val="0"/>
                <w:color w:val="000000" w:themeColor="text1"/>
              </w:rPr>
            </w:pPr>
            <w:r>
              <w:t>2024 (low)</w:t>
            </w:r>
          </w:p>
        </w:tc>
        <w:tc>
          <w:tcPr>
            <w:tcW w:w="543" w:type="pct"/>
            <w:vAlign w:val="center"/>
          </w:tcPr>
          <w:p w14:paraId="2718908F" w14:textId="5F2818A5" w:rsidR="00B67FCE" w:rsidRPr="00781112" w:rsidRDefault="00B67FCE" w:rsidP="006D0A52">
            <w:pPr>
              <w:pStyle w:val="TableHead"/>
              <w:rPr>
                <w:b w:val="0"/>
                <w:color w:val="000000" w:themeColor="text1"/>
              </w:rPr>
            </w:pPr>
            <w:r>
              <w:t>2024 (high)</w:t>
            </w:r>
          </w:p>
        </w:tc>
        <w:tc>
          <w:tcPr>
            <w:tcW w:w="543" w:type="pct"/>
            <w:vAlign w:val="center"/>
          </w:tcPr>
          <w:p w14:paraId="746E820E" w14:textId="20465B85" w:rsidR="00B67FCE" w:rsidRPr="00781112" w:rsidRDefault="00B67FCE" w:rsidP="006D0A52">
            <w:pPr>
              <w:pStyle w:val="TableHead"/>
              <w:rPr>
                <w:b w:val="0"/>
                <w:color w:val="000000" w:themeColor="text1"/>
              </w:rPr>
            </w:pPr>
            <w:r>
              <w:t>2025 (low)</w:t>
            </w:r>
          </w:p>
        </w:tc>
        <w:tc>
          <w:tcPr>
            <w:tcW w:w="543" w:type="pct"/>
            <w:vAlign w:val="center"/>
          </w:tcPr>
          <w:p w14:paraId="4E80578F" w14:textId="4631B9A2" w:rsidR="00B67FCE" w:rsidRPr="00781112" w:rsidRDefault="00B67FCE" w:rsidP="006D0A52">
            <w:pPr>
              <w:pStyle w:val="TableHead"/>
              <w:rPr>
                <w:b w:val="0"/>
                <w:color w:val="000000" w:themeColor="text1"/>
              </w:rPr>
            </w:pPr>
            <w:r>
              <w:t>2025 (high)</w:t>
            </w:r>
          </w:p>
        </w:tc>
      </w:tr>
      <w:tr w:rsidR="00B67FCE" w:rsidRPr="00781112" w14:paraId="6C97BE7D" w14:textId="4C644E2E" w:rsidTr="00845B9B">
        <w:trPr>
          <w:trHeight w:val="372"/>
        </w:trPr>
        <w:tc>
          <w:tcPr>
            <w:tcW w:w="655" w:type="pct"/>
            <w:shd w:val="clear" w:color="auto" w:fill="auto"/>
          </w:tcPr>
          <w:p w14:paraId="3B66E2A4" w14:textId="3F1055B0" w:rsidR="00B67FCE" w:rsidRPr="00781112" w:rsidRDefault="00B67FCE" w:rsidP="00BA3DBE">
            <w:pPr>
              <w:jc w:val="center"/>
              <w:rPr>
                <w:rFonts w:cs="Arial"/>
                <w:color w:val="000000" w:themeColor="text1"/>
                <w:szCs w:val="16"/>
              </w:rPr>
            </w:pPr>
            <w:r w:rsidRPr="00781112">
              <w:rPr>
                <w:rFonts w:cs="Arial"/>
                <w:color w:val="000000" w:themeColor="text1"/>
                <w:szCs w:val="16"/>
              </w:rPr>
              <w:t>Target &gt;=</w:t>
            </w:r>
          </w:p>
        </w:tc>
        <w:tc>
          <w:tcPr>
            <w:tcW w:w="543" w:type="pct"/>
            <w:shd w:val="clear" w:color="auto" w:fill="auto"/>
            <w:vAlign w:val="center"/>
          </w:tcPr>
          <w:p w14:paraId="079136BB" w14:textId="5FB572C1" w:rsidR="00B67FCE" w:rsidRPr="00781112" w:rsidRDefault="00B67FCE" w:rsidP="00643D78">
            <w:pPr>
              <w:jc w:val="center"/>
              <w:rPr>
                <w:rFonts w:cs="Arial"/>
                <w:color w:val="000000" w:themeColor="text1"/>
                <w:szCs w:val="16"/>
              </w:rPr>
            </w:pPr>
            <w:r w:rsidRPr="00781112">
              <w:rPr>
                <w:rFonts w:cs="Arial"/>
                <w:color w:val="000000" w:themeColor="text1"/>
                <w:szCs w:val="16"/>
              </w:rPr>
              <w:t>55.00%</w:t>
            </w:r>
          </w:p>
        </w:tc>
        <w:tc>
          <w:tcPr>
            <w:tcW w:w="543" w:type="pct"/>
            <w:shd w:val="clear" w:color="auto" w:fill="auto"/>
            <w:vAlign w:val="center"/>
          </w:tcPr>
          <w:p w14:paraId="75118312" w14:textId="5B296FF3" w:rsidR="00B67FCE" w:rsidRPr="00781112" w:rsidRDefault="00B67FCE" w:rsidP="00643D78">
            <w:pPr>
              <w:jc w:val="center"/>
              <w:rPr>
                <w:rFonts w:cs="Arial"/>
                <w:color w:val="000000" w:themeColor="text1"/>
                <w:szCs w:val="16"/>
              </w:rPr>
            </w:pPr>
            <w:r w:rsidRPr="00781112">
              <w:rPr>
                <w:rFonts w:cs="Arial"/>
                <w:color w:val="000000" w:themeColor="text1"/>
                <w:szCs w:val="16"/>
              </w:rPr>
              <w:t>70.00%</w:t>
            </w:r>
          </w:p>
        </w:tc>
        <w:tc>
          <w:tcPr>
            <w:tcW w:w="543" w:type="pct"/>
            <w:vAlign w:val="center"/>
          </w:tcPr>
          <w:p w14:paraId="3F181347" w14:textId="445996E0" w:rsidR="00B67FCE" w:rsidRPr="00781112" w:rsidRDefault="00B67FCE" w:rsidP="00643D78">
            <w:pPr>
              <w:jc w:val="center"/>
              <w:rPr>
                <w:rFonts w:cs="Arial"/>
                <w:color w:val="000000" w:themeColor="text1"/>
                <w:szCs w:val="16"/>
              </w:rPr>
            </w:pPr>
            <w:r w:rsidRPr="00781112">
              <w:rPr>
                <w:rFonts w:cs="Arial"/>
                <w:color w:val="000000" w:themeColor="text1"/>
                <w:szCs w:val="16"/>
              </w:rPr>
              <w:t>55.00%</w:t>
            </w:r>
          </w:p>
        </w:tc>
        <w:tc>
          <w:tcPr>
            <w:tcW w:w="543" w:type="pct"/>
          </w:tcPr>
          <w:p w14:paraId="19A85918" w14:textId="494A2267" w:rsidR="00B67FCE" w:rsidRPr="00781112" w:rsidRDefault="00B67FCE" w:rsidP="00643D78">
            <w:pPr>
              <w:jc w:val="center"/>
              <w:rPr>
                <w:rFonts w:cs="Arial"/>
                <w:color w:val="000000" w:themeColor="text1"/>
                <w:szCs w:val="16"/>
              </w:rPr>
            </w:pPr>
            <w:r w:rsidRPr="00781112">
              <w:rPr>
                <w:rFonts w:cs="Arial"/>
                <w:color w:val="000000" w:themeColor="text1"/>
                <w:szCs w:val="16"/>
              </w:rPr>
              <w:t>70.00%</w:t>
            </w:r>
          </w:p>
        </w:tc>
        <w:tc>
          <w:tcPr>
            <w:tcW w:w="543" w:type="pct"/>
          </w:tcPr>
          <w:p w14:paraId="6A6EC070" w14:textId="2D306454" w:rsidR="00B67FCE" w:rsidRPr="00781112" w:rsidRDefault="00B67FCE" w:rsidP="00643D78">
            <w:pPr>
              <w:jc w:val="center"/>
              <w:rPr>
                <w:rFonts w:cs="Arial"/>
                <w:color w:val="000000" w:themeColor="text1"/>
                <w:szCs w:val="16"/>
              </w:rPr>
            </w:pPr>
            <w:r w:rsidRPr="00781112">
              <w:rPr>
                <w:rFonts w:cs="Arial"/>
                <w:color w:val="000000" w:themeColor="text1"/>
                <w:szCs w:val="16"/>
              </w:rPr>
              <w:t>55.00%</w:t>
            </w:r>
          </w:p>
        </w:tc>
        <w:tc>
          <w:tcPr>
            <w:tcW w:w="543" w:type="pct"/>
          </w:tcPr>
          <w:p w14:paraId="35D976E8" w14:textId="49E9BF03" w:rsidR="00B67FCE" w:rsidRPr="00781112" w:rsidRDefault="00B67FCE" w:rsidP="00643D78">
            <w:pPr>
              <w:jc w:val="center"/>
              <w:rPr>
                <w:rFonts w:cs="Arial"/>
                <w:color w:val="000000" w:themeColor="text1"/>
                <w:szCs w:val="16"/>
              </w:rPr>
            </w:pPr>
            <w:r w:rsidRPr="00781112">
              <w:rPr>
                <w:rFonts w:cs="Arial"/>
                <w:color w:val="000000" w:themeColor="text1"/>
                <w:szCs w:val="16"/>
              </w:rPr>
              <w:t>70.00%</w:t>
            </w:r>
          </w:p>
        </w:tc>
        <w:tc>
          <w:tcPr>
            <w:tcW w:w="543" w:type="pct"/>
          </w:tcPr>
          <w:p w14:paraId="72B38389" w14:textId="24A25CD2" w:rsidR="00B67FCE" w:rsidRPr="00781112" w:rsidRDefault="00B67FCE" w:rsidP="00643D78">
            <w:pPr>
              <w:jc w:val="center"/>
              <w:rPr>
                <w:rFonts w:cs="Arial"/>
                <w:color w:val="000000" w:themeColor="text1"/>
                <w:szCs w:val="16"/>
              </w:rPr>
            </w:pPr>
            <w:r w:rsidRPr="00781112">
              <w:rPr>
                <w:rFonts w:cs="Arial"/>
                <w:color w:val="000000" w:themeColor="text1"/>
                <w:szCs w:val="16"/>
              </w:rPr>
              <w:t>55.00%</w:t>
            </w:r>
          </w:p>
        </w:tc>
        <w:tc>
          <w:tcPr>
            <w:tcW w:w="543" w:type="pct"/>
          </w:tcPr>
          <w:p w14:paraId="6BCA1621" w14:textId="2751B939" w:rsidR="00B67FCE" w:rsidRPr="00781112" w:rsidRDefault="00B67FCE" w:rsidP="00643D78">
            <w:pPr>
              <w:jc w:val="center"/>
              <w:rPr>
                <w:rFonts w:cs="Arial"/>
                <w:color w:val="000000" w:themeColor="text1"/>
                <w:szCs w:val="16"/>
              </w:rPr>
            </w:pPr>
            <w:r w:rsidRPr="00781112">
              <w:rPr>
                <w:rFonts w:cs="Arial"/>
                <w:color w:val="000000" w:themeColor="text1"/>
                <w:szCs w:val="16"/>
              </w:rPr>
              <w:t>70.00%</w:t>
            </w:r>
          </w:p>
        </w:tc>
      </w:tr>
    </w:tbl>
    <w:p w14:paraId="35D1322B" w14:textId="77777777" w:rsidR="00CE0C68" w:rsidRPr="00781112" w:rsidRDefault="00CE0C68" w:rsidP="004369B2">
      <w:pPr>
        <w:rPr>
          <w:color w:val="000000" w:themeColor="text1"/>
        </w:rPr>
      </w:pPr>
    </w:p>
    <w:p w14:paraId="666D91C8" w14:textId="7CAB5E27" w:rsidR="008E31C4" w:rsidRPr="00781112" w:rsidRDefault="0047313F">
      <w:pPr>
        <w:rPr>
          <w:b/>
          <w:color w:val="000000" w:themeColor="text1"/>
        </w:rPr>
      </w:pPr>
      <w:r>
        <w:rPr>
          <w:b/>
          <w:color w:val="000000" w:themeColor="text1"/>
        </w:rPr>
        <w:t>FFY 2022 SPP/APR Data</w:t>
      </w:r>
    </w:p>
    <w:p w14:paraId="0A1461A8" w14:textId="4DAA3A5B" w:rsidR="00127006" w:rsidRPr="00781112" w:rsidRDefault="00127006" w:rsidP="00127006">
      <w:pPr>
        <w:pStyle w:val="Bold"/>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5CFFYAPRDATA1OPT2"/>
      </w:tblPr>
      <w:tblGrid>
        <w:gridCol w:w="1384"/>
        <w:gridCol w:w="1378"/>
        <w:gridCol w:w="1087"/>
        <w:gridCol w:w="1609"/>
        <w:gridCol w:w="1632"/>
        <w:gridCol w:w="1268"/>
        <w:gridCol w:w="1235"/>
        <w:gridCol w:w="1197"/>
      </w:tblGrid>
      <w:tr w:rsidR="000B2819" w:rsidRPr="00781112" w14:paraId="7C632FC4" w14:textId="77777777" w:rsidTr="00877012">
        <w:trPr>
          <w:trHeight w:val="354"/>
          <w:tblHeader/>
        </w:trPr>
        <w:tc>
          <w:tcPr>
            <w:tcW w:w="641" w:type="pct"/>
            <w:shd w:val="clear" w:color="auto" w:fill="auto"/>
            <w:vAlign w:val="bottom"/>
          </w:tcPr>
          <w:p w14:paraId="147E9035" w14:textId="77777777" w:rsidR="000B2819" w:rsidRPr="00781112" w:rsidRDefault="000B2819" w:rsidP="000B2819">
            <w:pPr>
              <w:jc w:val="center"/>
              <w:rPr>
                <w:rFonts w:cs="Arial"/>
                <w:b/>
                <w:color w:val="000000" w:themeColor="text1"/>
                <w:szCs w:val="16"/>
              </w:rPr>
            </w:pPr>
            <w:r w:rsidRPr="00781112">
              <w:rPr>
                <w:rFonts w:cs="Arial"/>
                <w:b/>
                <w:color w:val="000000" w:themeColor="text1"/>
                <w:szCs w:val="16"/>
              </w:rPr>
              <w:t>3.1(a) Number resolutions sessions resolved through settlement agreements</w:t>
            </w:r>
          </w:p>
        </w:tc>
        <w:tc>
          <w:tcPr>
            <w:tcW w:w="639" w:type="pct"/>
            <w:shd w:val="clear" w:color="auto" w:fill="auto"/>
            <w:vAlign w:val="bottom"/>
          </w:tcPr>
          <w:p w14:paraId="566EFFF8" w14:textId="77777777" w:rsidR="000B2819" w:rsidRPr="00781112" w:rsidRDefault="000B2819" w:rsidP="000B2819">
            <w:pPr>
              <w:jc w:val="center"/>
              <w:rPr>
                <w:rFonts w:cs="Arial"/>
                <w:b/>
                <w:color w:val="000000" w:themeColor="text1"/>
                <w:szCs w:val="16"/>
              </w:rPr>
            </w:pPr>
            <w:r w:rsidRPr="00781112">
              <w:rPr>
                <w:rFonts w:cs="Arial"/>
                <w:b/>
                <w:color w:val="000000" w:themeColor="text1"/>
                <w:szCs w:val="16"/>
              </w:rPr>
              <w:t>3.1 Number of resolutions sessions</w:t>
            </w:r>
          </w:p>
        </w:tc>
        <w:tc>
          <w:tcPr>
            <w:tcW w:w="504" w:type="pct"/>
            <w:shd w:val="clear" w:color="auto" w:fill="auto"/>
            <w:vAlign w:val="bottom"/>
          </w:tcPr>
          <w:p w14:paraId="7B5EA834" w14:textId="55480A5C" w:rsidR="000B2819" w:rsidRPr="000B2819" w:rsidRDefault="000B2819" w:rsidP="000B2819">
            <w:pPr>
              <w:jc w:val="center"/>
              <w:rPr>
                <w:rFonts w:cs="Arial"/>
                <w:b/>
                <w:bCs/>
                <w:color w:val="000000" w:themeColor="text1"/>
                <w:szCs w:val="16"/>
              </w:rPr>
            </w:pPr>
            <w:r w:rsidRPr="000B2819">
              <w:rPr>
                <w:b/>
                <w:bCs/>
              </w:rPr>
              <w:t>FFY 2021 Data</w:t>
            </w:r>
          </w:p>
        </w:tc>
        <w:tc>
          <w:tcPr>
            <w:tcW w:w="746" w:type="pct"/>
            <w:shd w:val="clear" w:color="auto" w:fill="auto"/>
            <w:vAlign w:val="bottom"/>
          </w:tcPr>
          <w:p w14:paraId="01013E6D" w14:textId="47C23F91" w:rsidR="000B2819" w:rsidRPr="000B2819" w:rsidRDefault="000B2819" w:rsidP="00415684">
            <w:pPr>
              <w:pStyle w:val="TableHead"/>
              <w:rPr>
                <w:b w:val="0"/>
                <w:bCs/>
                <w:color w:val="000000" w:themeColor="text1"/>
              </w:rPr>
            </w:pPr>
            <w:r w:rsidRPr="000B2819">
              <w:rPr>
                <w:bCs/>
              </w:rPr>
              <w:t>FFY 2022 Target (low)</w:t>
            </w:r>
          </w:p>
        </w:tc>
        <w:tc>
          <w:tcPr>
            <w:tcW w:w="756" w:type="pct"/>
            <w:shd w:val="clear" w:color="auto" w:fill="auto"/>
            <w:vAlign w:val="bottom"/>
          </w:tcPr>
          <w:p w14:paraId="7967CE4B" w14:textId="020D76D8" w:rsidR="000B2819" w:rsidRPr="000B2819" w:rsidRDefault="000B2819" w:rsidP="00415684">
            <w:pPr>
              <w:pStyle w:val="TableHead"/>
              <w:rPr>
                <w:bCs/>
                <w:color w:val="000000" w:themeColor="text1"/>
              </w:rPr>
            </w:pPr>
            <w:r w:rsidRPr="000B2819">
              <w:rPr>
                <w:bCs/>
              </w:rPr>
              <w:t>FFY 2022 Target (high)</w:t>
            </w:r>
          </w:p>
        </w:tc>
        <w:tc>
          <w:tcPr>
            <w:tcW w:w="588" w:type="pct"/>
            <w:shd w:val="clear" w:color="auto" w:fill="auto"/>
            <w:vAlign w:val="bottom"/>
          </w:tcPr>
          <w:p w14:paraId="1E6219BF" w14:textId="5994F5CA" w:rsidR="000B2819" w:rsidRPr="000B2819" w:rsidRDefault="000B2819" w:rsidP="000B2819">
            <w:pPr>
              <w:pStyle w:val="TableHead"/>
              <w:rPr>
                <w:bCs/>
                <w:color w:val="000000" w:themeColor="text1"/>
              </w:rPr>
            </w:pPr>
            <w:r w:rsidRPr="000B2819">
              <w:rPr>
                <w:bCs/>
              </w:rPr>
              <w:t>FFY 2022 Data</w:t>
            </w:r>
          </w:p>
        </w:tc>
        <w:tc>
          <w:tcPr>
            <w:tcW w:w="572" w:type="pct"/>
            <w:shd w:val="clear" w:color="auto" w:fill="auto"/>
            <w:vAlign w:val="bottom"/>
          </w:tcPr>
          <w:p w14:paraId="348269A9" w14:textId="77777777" w:rsidR="000B2819" w:rsidRPr="00781112" w:rsidRDefault="000B2819" w:rsidP="000B2819">
            <w:pPr>
              <w:jc w:val="center"/>
              <w:rPr>
                <w:rFonts w:cs="Arial"/>
                <w:b/>
                <w:color w:val="000000" w:themeColor="text1"/>
                <w:szCs w:val="16"/>
              </w:rPr>
            </w:pPr>
            <w:r w:rsidRPr="00781112">
              <w:rPr>
                <w:rFonts w:cs="Arial"/>
                <w:b/>
                <w:color w:val="000000" w:themeColor="text1"/>
                <w:szCs w:val="16"/>
              </w:rPr>
              <w:t>Status</w:t>
            </w:r>
          </w:p>
        </w:tc>
        <w:tc>
          <w:tcPr>
            <w:tcW w:w="555" w:type="pct"/>
            <w:shd w:val="clear" w:color="auto" w:fill="auto"/>
            <w:vAlign w:val="bottom"/>
          </w:tcPr>
          <w:p w14:paraId="0A1C57DB" w14:textId="77777777" w:rsidR="000B2819" w:rsidRPr="00781112" w:rsidRDefault="000B2819" w:rsidP="000B2819">
            <w:pPr>
              <w:jc w:val="center"/>
              <w:rPr>
                <w:rFonts w:cs="Arial"/>
                <w:b/>
                <w:color w:val="000000" w:themeColor="text1"/>
                <w:szCs w:val="16"/>
              </w:rPr>
            </w:pPr>
            <w:r w:rsidRPr="00781112">
              <w:rPr>
                <w:rFonts w:cs="Arial"/>
                <w:b/>
                <w:color w:val="000000" w:themeColor="text1"/>
                <w:szCs w:val="16"/>
              </w:rPr>
              <w:t>Slippage</w:t>
            </w:r>
          </w:p>
        </w:tc>
      </w:tr>
      <w:tr w:rsidR="005C29F8" w:rsidRPr="00781112" w14:paraId="01BF03A2" w14:textId="77777777" w:rsidTr="00877012">
        <w:trPr>
          <w:trHeight w:val="361"/>
        </w:trPr>
        <w:tc>
          <w:tcPr>
            <w:tcW w:w="641" w:type="pct"/>
            <w:shd w:val="clear" w:color="auto" w:fill="auto"/>
            <w:vAlign w:val="center"/>
          </w:tcPr>
          <w:p w14:paraId="042C6FC9" w14:textId="30986772" w:rsidR="008E31C4" w:rsidRPr="00781112" w:rsidRDefault="002B7490" w:rsidP="00A018D4">
            <w:pPr>
              <w:jc w:val="center"/>
              <w:rPr>
                <w:rFonts w:cs="Arial"/>
                <w:color w:val="000000" w:themeColor="text1"/>
                <w:szCs w:val="16"/>
              </w:rPr>
            </w:pPr>
            <w:r w:rsidRPr="00781112">
              <w:rPr>
                <w:rFonts w:cs="Arial"/>
                <w:color w:val="000000" w:themeColor="text1"/>
                <w:szCs w:val="16"/>
              </w:rPr>
              <w:t>1</w:t>
            </w:r>
          </w:p>
        </w:tc>
        <w:tc>
          <w:tcPr>
            <w:tcW w:w="639" w:type="pct"/>
            <w:shd w:val="clear" w:color="auto" w:fill="auto"/>
          </w:tcPr>
          <w:p w14:paraId="37C935FB" w14:textId="6AA57901" w:rsidR="008E31C4" w:rsidRPr="00781112" w:rsidRDefault="002B7490" w:rsidP="00A018D4">
            <w:pPr>
              <w:jc w:val="center"/>
              <w:rPr>
                <w:rFonts w:cs="Arial"/>
                <w:color w:val="000000" w:themeColor="text1"/>
                <w:szCs w:val="16"/>
              </w:rPr>
            </w:pPr>
            <w:r w:rsidRPr="00781112">
              <w:rPr>
                <w:rFonts w:cs="Arial"/>
                <w:color w:val="000000" w:themeColor="text1"/>
                <w:szCs w:val="16"/>
              </w:rPr>
              <w:t>1</w:t>
            </w:r>
          </w:p>
        </w:tc>
        <w:tc>
          <w:tcPr>
            <w:tcW w:w="504" w:type="pct"/>
            <w:shd w:val="clear" w:color="auto" w:fill="auto"/>
          </w:tcPr>
          <w:p w14:paraId="3D28AE5B" w14:textId="4019A491" w:rsidR="008E31C4" w:rsidRPr="00781112" w:rsidRDefault="002B7490" w:rsidP="00A018D4">
            <w:pPr>
              <w:jc w:val="center"/>
              <w:rPr>
                <w:rFonts w:cs="Arial"/>
                <w:color w:val="000000" w:themeColor="text1"/>
                <w:szCs w:val="16"/>
              </w:rPr>
            </w:pPr>
            <w:r w:rsidRPr="00781112">
              <w:rPr>
                <w:rFonts w:cs="Arial"/>
                <w:color w:val="000000" w:themeColor="text1"/>
                <w:szCs w:val="16"/>
              </w:rPr>
              <w:t>33.33%</w:t>
            </w:r>
          </w:p>
        </w:tc>
        <w:tc>
          <w:tcPr>
            <w:tcW w:w="746" w:type="pct"/>
            <w:shd w:val="clear" w:color="auto" w:fill="auto"/>
          </w:tcPr>
          <w:p w14:paraId="1CF4FBE5" w14:textId="7792CBB8" w:rsidR="008E31C4" w:rsidRPr="00781112" w:rsidRDefault="002B7490" w:rsidP="00A018D4">
            <w:pPr>
              <w:jc w:val="center"/>
              <w:rPr>
                <w:rFonts w:cs="Arial"/>
                <w:color w:val="000000" w:themeColor="text1"/>
                <w:szCs w:val="16"/>
              </w:rPr>
            </w:pPr>
            <w:r w:rsidRPr="00781112">
              <w:rPr>
                <w:rFonts w:cs="Arial"/>
                <w:color w:val="000000" w:themeColor="text1"/>
                <w:szCs w:val="16"/>
              </w:rPr>
              <w:t>55.00%</w:t>
            </w:r>
          </w:p>
        </w:tc>
        <w:tc>
          <w:tcPr>
            <w:tcW w:w="756" w:type="pct"/>
            <w:shd w:val="clear" w:color="auto" w:fill="auto"/>
          </w:tcPr>
          <w:p w14:paraId="5CB5C088" w14:textId="342A9F8C" w:rsidR="008E31C4" w:rsidRPr="00781112" w:rsidRDefault="002B7490" w:rsidP="00A018D4">
            <w:pPr>
              <w:jc w:val="center"/>
              <w:rPr>
                <w:rFonts w:cs="Arial"/>
                <w:color w:val="000000" w:themeColor="text1"/>
                <w:szCs w:val="16"/>
              </w:rPr>
            </w:pPr>
            <w:r w:rsidRPr="00781112">
              <w:rPr>
                <w:rFonts w:cs="Arial"/>
                <w:color w:val="000000" w:themeColor="text1"/>
                <w:szCs w:val="16"/>
              </w:rPr>
              <w:t>70.00%</w:t>
            </w:r>
          </w:p>
        </w:tc>
        <w:tc>
          <w:tcPr>
            <w:tcW w:w="588" w:type="pct"/>
            <w:shd w:val="clear" w:color="auto" w:fill="auto"/>
          </w:tcPr>
          <w:p w14:paraId="43A81BB0" w14:textId="762C21AF" w:rsidR="008E31C4" w:rsidRPr="00781112" w:rsidRDefault="002B7490" w:rsidP="00A018D4">
            <w:pPr>
              <w:jc w:val="center"/>
              <w:rPr>
                <w:rFonts w:cs="Arial"/>
                <w:color w:val="000000" w:themeColor="text1"/>
                <w:szCs w:val="16"/>
              </w:rPr>
            </w:pPr>
            <w:r w:rsidRPr="00781112">
              <w:rPr>
                <w:rFonts w:cs="Arial"/>
                <w:color w:val="000000" w:themeColor="text1"/>
                <w:szCs w:val="16"/>
              </w:rPr>
              <w:t>100.00%</w:t>
            </w:r>
          </w:p>
        </w:tc>
        <w:tc>
          <w:tcPr>
            <w:tcW w:w="572" w:type="pct"/>
            <w:shd w:val="clear" w:color="auto" w:fill="auto"/>
          </w:tcPr>
          <w:p w14:paraId="233B1990" w14:textId="453F94EC" w:rsidR="008E31C4"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555" w:type="pct"/>
            <w:shd w:val="clear" w:color="auto" w:fill="auto"/>
          </w:tcPr>
          <w:p w14:paraId="2D506EFF" w14:textId="5E2871C6" w:rsidR="008E31C4"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41C1290A" w14:textId="0F368A1B" w:rsidR="00913A33" w:rsidRPr="00781112" w:rsidRDefault="00913A33" w:rsidP="00913A33">
      <w:pPr>
        <w:rPr>
          <w:rFonts w:cs="Arial"/>
          <w:b/>
          <w:color w:val="000000" w:themeColor="text1"/>
          <w:szCs w:val="16"/>
        </w:rPr>
      </w:pPr>
      <w:r w:rsidRPr="00781112">
        <w:rPr>
          <w:rFonts w:cs="Arial"/>
          <w:b/>
          <w:color w:val="000000" w:themeColor="text1"/>
          <w:szCs w:val="16"/>
        </w:rPr>
        <w:t>Provide additional information about this indicator (optional)</w:t>
      </w:r>
    </w:p>
    <w:p w14:paraId="225AF7B0" w14:textId="0953EFAC" w:rsidR="00293C7E" w:rsidRPr="00781112" w:rsidRDefault="002B7490" w:rsidP="007D435F">
      <w:pPr>
        <w:rPr>
          <w:rFonts w:cs="Arial"/>
          <w:color w:val="000000" w:themeColor="text1"/>
          <w:szCs w:val="16"/>
        </w:rPr>
      </w:pPr>
      <w:r w:rsidRPr="00781112">
        <w:rPr>
          <w:rFonts w:cs="Arial"/>
          <w:color w:val="000000" w:themeColor="text1"/>
          <w:szCs w:val="16"/>
        </w:rPr>
        <w:t/>
      </w:r>
    </w:p>
    <w:p w14:paraId="69486921" w14:textId="29EDB346" w:rsidR="00293C7E" w:rsidRPr="00781112" w:rsidRDefault="00DF2D3A" w:rsidP="00123D76">
      <w:pPr>
        <w:pStyle w:val="Heading2"/>
      </w:pPr>
      <w:r w:rsidRPr="00781112">
        <w:t>15</w:t>
      </w:r>
      <w:r w:rsidR="001D508D" w:rsidRPr="00781112">
        <w:t xml:space="preserve"> </w:t>
      </w:r>
      <w:r w:rsidRPr="00781112">
        <w:t xml:space="preserve">- </w:t>
      </w:r>
      <w:r w:rsidR="00293C7E" w:rsidRPr="00781112">
        <w:t>Prior FFY Required Actions</w:t>
      </w:r>
    </w:p>
    <w:p w14:paraId="19F5FEB1" w14:textId="2905DE18" w:rsidR="00293C7E" w:rsidRPr="00781112" w:rsidRDefault="002B7490" w:rsidP="00293C7E">
      <w:pPr>
        <w:rPr>
          <w:rFonts w:cs="Arial"/>
          <w:color w:val="000000" w:themeColor="text1"/>
          <w:szCs w:val="16"/>
        </w:rPr>
      </w:pPr>
      <w:r w:rsidRPr="00781112">
        <w:rPr>
          <w:rFonts w:cs="Arial"/>
          <w:color w:val="000000" w:themeColor="text1"/>
          <w:szCs w:val="16"/>
        </w:rPr>
        <w:t>None</w:t>
      </w:r>
    </w:p>
    <w:p w14:paraId="6506D351" w14:textId="1F034745" w:rsidR="00913A33" w:rsidRPr="00781112" w:rsidRDefault="00DF2D3A" w:rsidP="00123D76">
      <w:pPr>
        <w:pStyle w:val="Heading2"/>
      </w:pPr>
      <w:r w:rsidRPr="00781112">
        <w:t>15 - OSEP Response</w:t>
      </w:r>
    </w:p>
    <w:p w14:paraId="639FEA08" w14:textId="30C19155" w:rsidR="00293C7E" w:rsidRPr="00781112" w:rsidRDefault="002B7490" w:rsidP="001F692C">
      <w:pPr>
        <w:rPr>
          <w:rFonts w:cs="Arial"/>
          <w:color w:val="000000" w:themeColor="text1"/>
          <w:szCs w:val="16"/>
        </w:rPr>
      </w:pPr>
      <w:r w:rsidRPr="00781112">
        <w:rPr>
          <w:rFonts w:cs="Arial"/>
          <w:color w:val="000000" w:themeColor="text1"/>
          <w:szCs w:val="16"/>
        </w:rPr>
        <w:t>
</w:t>
      </w:r>
    </w:p>
    <w:p w14:paraId="7634025D" w14:textId="5BD1D671" w:rsidR="00913A33" w:rsidRPr="00781112" w:rsidRDefault="00DF2D3A" w:rsidP="00123D76">
      <w:pPr>
        <w:pStyle w:val="Heading2"/>
      </w:pPr>
      <w:r w:rsidRPr="00781112">
        <w:t>15 - Required Actions</w:t>
      </w:r>
    </w:p>
    <w:p w14:paraId="06C735B1" w14:textId="277EA689" w:rsidR="00293C7E" w:rsidRPr="00781112" w:rsidRDefault="002B7490" w:rsidP="001F692C">
      <w:pPr>
        <w:rPr>
          <w:rFonts w:cs="Arial"/>
          <w:color w:val="000000" w:themeColor="text1"/>
          <w:szCs w:val="16"/>
        </w:rPr>
      </w:pPr>
      <w:r w:rsidRPr="00781112">
        <w:rPr>
          <w:rFonts w:cs="Arial"/>
          <w:color w:val="000000" w:themeColor="text1"/>
          <w:szCs w:val="16"/>
        </w:rPr>
        <w:t/>
      </w:r>
    </w:p>
    <w:p w14:paraId="259DEDCC" w14:textId="77777777" w:rsidR="000C60E1" w:rsidRPr="00781112" w:rsidRDefault="000C60E1">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53B0D4FE" w14:textId="095B9B99" w:rsidR="007F0CEC" w:rsidRPr="00781112" w:rsidRDefault="007F0CEC" w:rsidP="000444E2">
      <w:pPr>
        <w:pStyle w:val="Heading1"/>
        <w:rPr>
          <w:color w:val="000000" w:themeColor="text1"/>
          <w:sz w:val="22"/>
        </w:rPr>
      </w:pPr>
      <w:r w:rsidRPr="00781112">
        <w:rPr>
          <w:color w:val="000000" w:themeColor="text1"/>
          <w:sz w:val="22"/>
        </w:rPr>
        <w:lastRenderedPageBreak/>
        <w:t>Indicator 16: Mediation</w:t>
      </w:r>
      <w:bookmarkEnd w:id="112"/>
      <w:bookmarkEnd w:id="113"/>
      <w:bookmarkEnd w:id="114"/>
    </w:p>
    <w:p w14:paraId="589E185D" w14:textId="77777777" w:rsidR="00BF232E" w:rsidRPr="00781112" w:rsidRDefault="00BF232E" w:rsidP="00A018D4">
      <w:pPr>
        <w:rPr>
          <w:color w:val="000000" w:themeColor="text1"/>
          <w:szCs w:val="20"/>
        </w:rPr>
      </w:pPr>
      <w:bookmarkStart w:id="115" w:name="_Toc382731916"/>
      <w:bookmarkStart w:id="116" w:name="_Toc392159344"/>
      <w:r w:rsidRPr="00781112">
        <w:rPr>
          <w:b/>
          <w:color w:val="000000" w:themeColor="text1"/>
          <w:sz w:val="20"/>
          <w:szCs w:val="20"/>
        </w:rPr>
        <w:t>Instructions and Measurement</w:t>
      </w:r>
    </w:p>
    <w:p w14:paraId="41E7E4F9" w14:textId="500BC36F" w:rsidR="009B6586" w:rsidRPr="00781112" w:rsidRDefault="009B6586" w:rsidP="008E31C4">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General Supervision</w:t>
      </w:r>
    </w:p>
    <w:p w14:paraId="573A26D5" w14:textId="77777777" w:rsidR="00692B95" w:rsidRPr="00781112" w:rsidRDefault="009B6586" w:rsidP="008E31C4">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Percent of mediations held that resulted in mediation agreements.</w:t>
      </w:r>
      <w:r w:rsidR="00131842" w:rsidRPr="00781112">
        <w:rPr>
          <w:rFonts w:cs="Arial"/>
          <w:color w:val="000000" w:themeColor="text1"/>
          <w:szCs w:val="16"/>
        </w:rPr>
        <w:t xml:space="preserve"> </w:t>
      </w:r>
    </w:p>
    <w:p w14:paraId="7847EFFB" w14:textId="03A11F4B" w:rsidR="009B6586" w:rsidRPr="00781112" w:rsidRDefault="009B6586" w:rsidP="008E31C4">
      <w:pPr>
        <w:rPr>
          <w:rFonts w:cs="Arial"/>
          <w:color w:val="000000" w:themeColor="text1"/>
          <w:szCs w:val="16"/>
        </w:rPr>
      </w:pPr>
      <w:r w:rsidRPr="00781112">
        <w:rPr>
          <w:rFonts w:cs="Arial"/>
          <w:color w:val="000000" w:themeColor="text1"/>
          <w:szCs w:val="16"/>
        </w:rPr>
        <w:t>(20 U.S.C. 1416(a)(3(B))</w:t>
      </w:r>
    </w:p>
    <w:p w14:paraId="0F859DBB" w14:textId="77777777" w:rsidR="00692B95" w:rsidRPr="00781112" w:rsidRDefault="00692B95" w:rsidP="004369B2">
      <w:pPr>
        <w:rPr>
          <w:color w:val="000000" w:themeColor="text1"/>
        </w:rPr>
      </w:pPr>
      <w:r w:rsidRPr="00781112">
        <w:rPr>
          <w:b/>
          <w:color w:val="000000" w:themeColor="text1"/>
        </w:rPr>
        <w:t>Data Source</w:t>
      </w:r>
    </w:p>
    <w:p w14:paraId="1400D43F" w14:textId="253D0B1A" w:rsidR="00692B95" w:rsidRPr="00781112" w:rsidRDefault="00692B95" w:rsidP="008E31C4">
      <w:pPr>
        <w:rPr>
          <w:rFonts w:cs="Arial"/>
          <w:color w:val="000000" w:themeColor="text1"/>
          <w:szCs w:val="16"/>
        </w:rPr>
      </w:pPr>
      <w:r w:rsidRPr="00781112">
        <w:rPr>
          <w:rFonts w:cs="Arial"/>
          <w:color w:val="000000" w:themeColor="text1"/>
          <w:szCs w:val="16"/>
        </w:rPr>
        <w:t xml:space="preserve">Data collected under section 618 of the IDEA (IDEA Part B Dispute Resolution Survey in the </w:t>
      </w:r>
      <w:proofErr w:type="spellStart"/>
      <w:r w:rsidRPr="00781112">
        <w:rPr>
          <w:rFonts w:cs="Arial"/>
          <w:color w:val="000000" w:themeColor="text1"/>
          <w:szCs w:val="16"/>
        </w:rPr>
        <w:t>ED</w:t>
      </w:r>
      <w:r w:rsidRPr="00BA3DBE">
        <w:rPr>
          <w:rFonts w:cs="Arial"/>
          <w:i/>
          <w:iCs/>
          <w:color w:val="000000" w:themeColor="text1"/>
          <w:szCs w:val="16"/>
        </w:rPr>
        <w:t>Facts</w:t>
      </w:r>
      <w:proofErr w:type="spellEnd"/>
      <w:r w:rsidRPr="00781112">
        <w:rPr>
          <w:rFonts w:cs="Arial"/>
          <w:color w:val="000000" w:themeColor="text1"/>
          <w:szCs w:val="16"/>
        </w:rPr>
        <w:t xml:space="preserve"> Metadata and Process System (E</w:t>
      </w:r>
      <w:r w:rsidR="00E65E32" w:rsidRPr="00781112">
        <w:rPr>
          <w:rFonts w:cs="Arial"/>
          <w:i/>
          <w:color w:val="000000" w:themeColor="text1"/>
          <w:szCs w:val="16"/>
        </w:rPr>
        <w:t>MAPS</w:t>
      </w:r>
      <w:r w:rsidRPr="00781112">
        <w:rPr>
          <w:rFonts w:cs="Arial"/>
          <w:color w:val="000000" w:themeColor="text1"/>
          <w:szCs w:val="16"/>
        </w:rPr>
        <w:t>)).</w:t>
      </w:r>
    </w:p>
    <w:p w14:paraId="7EDB2909" w14:textId="77777777" w:rsidR="00692B95" w:rsidRPr="00781112" w:rsidRDefault="00692B95" w:rsidP="004369B2">
      <w:pPr>
        <w:rPr>
          <w:color w:val="000000" w:themeColor="text1"/>
        </w:rPr>
      </w:pPr>
      <w:r w:rsidRPr="00781112">
        <w:rPr>
          <w:b/>
          <w:color w:val="000000" w:themeColor="text1"/>
        </w:rPr>
        <w:t>Measurement</w:t>
      </w:r>
    </w:p>
    <w:p w14:paraId="38C2284B" w14:textId="1E75D304" w:rsidR="00692B95" w:rsidRPr="00781112" w:rsidRDefault="00692B95" w:rsidP="008E31C4">
      <w:pPr>
        <w:rPr>
          <w:rFonts w:cs="Arial"/>
          <w:color w:val="000000" w:themeColor="text1"/>
          <w:szCs w:val="16"/>
        </w:rPr>
      </w:pPr>
      <w:r w:rsidRPr="00781112">
        <w:rPr>
          <w:rFonts w:cs="Arial"/>
          <w:color w:val="000000" w:themeColor="text1"/>
          <w:szCs w:val="16"/>
        </w:rPr>
        <w:t>Percent = (2.1(a)(</w:t>
      </w:r>
      <w:proofErr w:type="spellStart"/>
      <w:r w:rsidRPr="00781112">
        <w:rPr>
          <w:rFonts w:cs="Arial"/>
          <w:color w:val="000000" w:themeColor="text1"/>
          <w:szCs w:val="16"/>
        </w:rPr>
        <w:t>i</w:t>
      </w:r>
      <w:proofErr w:type="spellEnd"/>
      <w:r w:rsidRPr="00781112">
        <w:rPr>
          <w:rFonts w:cs="Arial"/>
          <w:color w:val="000000" w:themeColor="text1"/>
          <w:szCs w:val="16"/>
        </w:rPr>
        <w:t>) + 2.1(b)(</w:t>
      </w:r>
      <w:proofErr w:type="spellStart"/>
      <w:r w:rsidRPr="00781112">
        <w:rPr>
          <w:rFonts w:cs="Arial"/>
          <w:color w:val="000000" w:themeColor="text1"/>
          <w:szCs w:val="16"/>
        </w:rPr>
        <w:t>i</w:t>
      </w:r>
      <w:proofErr w:type="spellEnd"/>
      <w:r w:rsidRPr="00781112">
        <w:rPr>
          <w:rFonts w:cs="Arial"/>
          <w:color w:val="000000" w:themeColor="text1"/>
          <w:szCs w:val="16"/>
        </w:rPr>
        <w:t>)) divided by 2.1) times 100.</w:t>
      </w:r>
    </w:p>
    <w:p w14:paraId="0B909FFD" w14:textId="77777777" w:rsidR="00692B95" w:rsidRPr="00781112" w:rsidRDefault="00692B95" w:rsidP="004369B2">
      <w:pPr>
        <w:rPr>
          <w:color w:val="000000" w:themeColor="text1"/>
        </w:rPr>
      </w:pPr>
      <w:r w:rsidRPr="00781112">
        <w:rPr>
          <w:b/>
          <w:color w:val="000000" w:themeColor="text1"/>
        </w:rPr>
        <w:t>Instructions</w:t>
      </w:r>
    </w:p>
    <w:p w14:paraId="46565F1D" w14:textId="77777777" w:rsidR="00692B95" w:rsidRPr="00781112" w:rsidRDefault="00692B95" w:rsidP="00286BDF">
      <w:pPr>
        <w:rPr>
          <w:rFonts w:cs="Arial"/>
          <w:i/>
          <w:iCs/>
          <w:color w:val="000000" w:themeColor="text1"/>
          <w:szCs w:val="16"/>
        </w:rPr>
      </w:pPr>
      <w:r w:rsidRPr="00781112">
        <w:rPr>
          <w:rFonts w:cs="Arial"/>
          <w:i/>
          <w:iCs/>
          <w:color w:val="000000" w:themeColor="text1"/>
          <w:szCs w:val="16"/>
        </w:rPr>
        <w:t>Sampling is not allowed.</w:t>
      </w:r>
    </w:p>
    <w:p w14:paraId="7A8BA9D5" w14:textId="77777777" w:rsidR="00692B95" w:rsidRPr="00781112" w:rsidRDefault="00692B95" w:rsidP="00286BDF">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5AFF4976" w14:textId="5D03CBD9" w:rsidR="00692B95" w:rsidRPr="00781112" w:rsidRDefault="00692B95" w:rsidP="00286BDF">
      <w:pPr>
        <w:rPr>
          <w:rFonts w:cs="Arial"/>
          <w:color w:val="000000" w:themeColor="text1"/>
          <w:szCs w:val="16"/>
        </w:rPr>
      </w:pPr>
      <w:r w:rsidRPr="00781112">
        <w:rPr>
          <w:rFonts w:cs="Arial"/>
          <w:color w:val="000000" w:themeColor="text1"/>
          <w:szCs w:val="16"/>
        </w:rPr>
        <w:t xml:space="preserve">States are not required to establish baseline or targets if the number of </w:t>
      </w:r>
      <w:r w:rsidR="00482C3B" w:rsidRPr="00781112">
        <w:rPr>
          <w:rFonts w:cs="Arial"/>
          <w:szCs w:val="16"/>
        </w:rPr>
        <w:t>mediations</w:t>
      </w:r>
      <w:r w:rsidRPr="00781112">
        <w:rPr>
          <w:rFonts w:cs="Arial"/>
          <w:color w:val="000000" w:themeColor="text1"/>
          <w:szCs w:val="16"/>
        </w:rPr>
        <w:t xml:space="preserve"> is less than 10. In a reporting period when the number of </w:t>
      </w:r>
      <w:r w:rsidR="00DA0D8C" w:rsidRPr="00781112">
        <w:rPr>
          <w:rFonts w:cs="Arial"/>
          <w:szCs w:val="16"/>
        </w:rPr>
        <w:t xml:space="preserve">mediations reaches </w:t>
      </w:r>
      <w:r w:rsidRPr="00781112">
        <w:rPr>
          <w:rFonts w:cs="Arial"/>
          <w:color w:val="000000" w:themeColor="text1"/>
          <w:szCs w:val="16"/>
        </w:rPr>
        <w:t>10 or greater, develop baseline</w:t>
      </w:r>
      <w:r w:rsidR="00D14A1B" w:rsidRPr="00781112">
        <w:rPr>
          <w:rFonts w:cs="Arial"/>
          <w:color w:val="000000" w:themeColor="text1"/>
          <w:szCs w:val="16"/>
        </w:rPr>
        <w:t xml:space="preserve"> and</w:t>
      </w:r>
      <w:r w:rsidRPr="00781112">
        <w:rPr>
          <w:rFonts w:cs="Arial"/>
          <w:color w:val="000000" w:themeColor="text1"/>
          <w:szCs w:val="16"/>
        </w:rPr>
        <w:t xml:space="preserve"> targets and report on them in the corresponding SPP/APR.</w:t>
      </w:r>
    </w:p>
    <w:p w14:paraId="0EB22217" w14:textId="77777777" w:rsidR="00692B95" w:rsidRPr="00781112" w:rsidRDefault="00692B95" w:rsidP="00286BDF">
      <w:pPr>
        <w:rPr>
          <w:rFonts w:cs="Arial"/>
          <w:color w:val="000000" w:themeColor="text1"/>
          <w:szCs w:val="16"/>
        </w:rPr>
      </w:pPr>
      <w:r w:rsidRPr="00781112">
        <w:rPr>
          <w:rFonts w:cs="Arial"/>
          <w:color w:val="000000" w:themeColor="text1"/>
          <w:szCs w:val="16"/>
        </w:rPr>
        <w:t>States may express their targets in a range (e.g., 75-85%).</w:t>
      </w:r>
    </w:p>
    <w:p w14:paraId="62D2873F" w14:textId="77777777" w:rsidR="00692B95" w:rsidRPr="00781112" w:rsidRDefault="00692B95" w:rsidP="00286BDF">
      <w:pPr>
        <w:rPr>
          <w:rFonts w:cs="Arial"/>
          <w:color w:val="000000" w:themeColor="text1"/>
          <w:szCs w:val="16"/>
        </w:rPr>
      </w:pPr>
      <w:r w:rsidRPr="00781112">
        <w:rPr>
          <w:rFonts w:cs="Arial"/>
          <w:color w:val="000000" w:themeColor="text1"/>
          <w:szCs w:val="16"/>
        </w:rPr>
        <w:t>If the data reported in this indicator are not the same as the State’s data under IDEA section 618, explain.</w:t>
      </w:r>
    </w:p>
    <w:p w14:paraId="419B733F" w14:textId="44198020" w:rsidR="00692B95" w:rsidRPr="00781112" w:rsidRDefault="00692B95" w:rsidP="00286BDF">
      <w:pPr>
        <w:rPr>
          <w:rFonts w:cs="Arial"/>
          <w:color w:val="000000" w:themeColor="text1"/>
          <w:szCs w:val="16"/>
        </w:rPr>
      </w:pPr>
      <w:r w:rsidRPr="00781112">
        <w:rPr>
          <w:rFonts w:cs="Arial"/>
          <w:color w:val="000000" w:themeColor="text1"/>
          <w:szCs w:val="16"/>
        </w:rPr>
        <w:t>States are not required to report data at the LEA level.</w:t>
      </w:r>
    </w:p>
    <w:p w14:paraId="32179671" w14:textId="1C1C859E" w:rsidR="00B37C74" w:rsidRPr="00781112" w:rsidRDefault="001C46DC" w:rsidP="00123D76">
      <w:pPr>
        <w:pStyle w:val="Heading2"/>
      </w:pPr>
      <w:r w:rsidRPr="00781112">
        <w:t>16</w:t>
      </w:r>
      <w:r w:rsidR="001D508D" w:rsidRPr="00781112">
        <w:t xml:space="preserve"> </w:t>
      </w:r>
      <w:r w:rsidRPr="00781112">
        <w:t xml:space="preserve">- </w:t>
      </w:r>
      <w:r w:rsidR="00BF232E" w:rsidRPr="00781112">
        <w:t>Indicator Data</w:t>
      </w:r>
    </w:p>
    <w:p w14:paraId="6A39385A" w14:textId="49DFE75B" w:rsidR="00F31AD8" w:rsidRPr="00781112" w:rsidRDefault="007D219D" w:rsidP="00F31AD8">
      <w:pPr>
        <w:rPr>
          <w:rFonts w:cs="Arial"/>
          <w:b/>
          <w:color w:val="000000" w:themeColor="text1"/>
          <w:szCs w:val="16"/>
        </w:rPr>
      </w:pPr>
      <w:r w:rsidRPr="00781112">
        <w:rPr>
          <w:rFonts w:cs="Arial"/>
          <w:b/>
          <w:color w:val="000000" w:themeColor="text1"/>
          <w:szCs w:val="16"/>
        </w:rPr>
        <w:t>Select yes to use target ranges</w:t>
      </w:r>
    </w:p>
    <w:p w14:paraId="6CBE99A1" w14:textId="4EA49071" w:rsidR="00F31AD8" w:rsidRPr="00781112" w:rsidRDefault="00F31AD8" w:rsidP="004369B2">
      <w:pPr>
        <w:rPr>
          <w:color w:val="000000" w:themeColor="text1"/>
        </w:rPr>
      </w:pPr>
      <w:r w:rsidRPr="00781112">
        <w:rPr>
          <w:rFonts w:cs="Arial"/>
          <w:color w:val="000000" w:themeColor="text1"/>
          <w:szCs w:val="16"/>
        </w:rPr>
        <w:t>Target Range is used</w:t>
      </w:r>
    </w:p>
    <w:bookmarkEnd w:id="115"/>
    <w:bookmarkEnd w:id="116"/>
    <w:p w14:paraId="3951D0E9" w14:textId="77777777" w:rsidR="00DA3157" w:rsidRPr="00781112" w:rsidRDefault="00DA3157" w:rsidP="004369B2">
      <w:pPr>
        <w:rPr>
          <w:color w:val="000000" w:themeColor="text1"/>
        </w:rPr>
      </w:pPr>
    </w:p>
    <w:p w14:paraId="118840D3" w14:textId="0C4E77AD" w:rsidR="008E31C4" w:rsidRPr="00781112" w:rsidRDefault="008E31C4" w:rsidP="004369B2">
      <w:pPr>
        <w:rPr>
          <w:color w:val="000000" w:themeColor="text1"/>
        </w:rPr>
      </w:pPr>
      <w:r w:rsidRPr="00781112">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B16PREPOP"/>
      </w:tblPr>
      <w:tblGrid>
        <w:gridCol w:w="2695"/>
        <w:gridCol w:w="2790"/>
        <w:gridCol w:w="3522"/>
        <w:gridCol w:w="1783"/>
      </w:tblGrid>
      <w:tr w:rsidR="005C29F8" w:rsidRPr="00781112" w14:paraId="61A5E3A0" w14:textId="77777777" w:rsidTr="0064117D">
        <w:trPr>
          <w:trHeight w:val="372"/>
          <w:tblHeader/>
        </w:trPr>
        <w:tc>
          <w:tcPr>
            <w:tcW w:w="1249" w:type="pct"/>
            <w:shd w:val="clear" w:color="auto" w:fill="auto"/>
          </w:tcPr>
          <w:p w14:paraId="332BA503" w14:textId="77777777" w:rsidR="008E31C4" w:rsidRPr="00781112" w:rsidRDefault="008E31C4" w:rsidP="008E31C4">
            <w:pPr>
              <w:spacing w:after="0"/>
              <w:jc w:val="center"/>
              <w:rPr>
                <w:rFonts w:cs="Arial"/>
                <w:b/>
                <w:color w:val="000000" w:themeColor="text1"/>
                <w:szCs w:val="16"/>
              </w:rPr>
            </w:pPr>
            <w:r w:rsidRPr="00781112">
              <w:rPr>
                <w:rFonts w:cs="Arial"/>
                <w:b/>
                <w:color w:val="000000" w:themeColor="text1"/>
                <w:szCs w:val="16"/>
              </w:rPr>
              <w:t>Source</w:t>
            </w:r>
          </w:p>
        </w:tc>
        <w:tc>
          <w:tcPr>
            <w:tcW w:w="1293" w:type="pct"/>
            <w:shd w:val="clear" w:color="auto" w:fill="auto"/>
          </w:tcPr>
          <w:p w14:paraId="2C662D12" w14:textId="77777777" w:rsidR="008E31C4" w:rsidRPr="00781112" w:rsidRDefault="008E31C4" w:rsidP="008E31C4">
            <w:pPr>
              <w:spacing w:after="0"/>
              <w:jc w:val="center"/>
              <w:rPr>
                <w:rFonts w:cs="Arial"/>
                <w:b/>
                <w:color w:val="000000" w:themeColor="text1"/>
                <w:szCs w:val="16"/>
              </w:rPr>
            </w:pPr>
            <w:r w:rsidRPr="00781112">
              <w:rPr>
                <w:rFonts w:cs="Arial"/>
                <w:b/>
                <w:color w:val="000000" w:themeColor="text1"/>
                <w:szCs w:val="16"/>
              </w:rPr>
              <w:t>Date</w:t>
            </w:r>
          </w:p>
        </w:tc>
        <w:tc>
          <w:tcPr>
            <w:tcW w:w="1632" w:type="pct"/>
            <w:shd w:val="clear" w:color="auto" w:fill="auto"/>
          </w:tcPr>
          <w:p w14:paraId="66DBE23B" w14:textId="77777777" w:rsidR="008E31C4" w:rsidRPr="00781112" w:rsidRDefault="008E31C4" w:rsidP="008E31C4">
            <w:pPr>
              <w:spacing w:after="0"/>
              <w:jc w:val="center"/>
              <w:rPr>
                <w:rFonts w:cs="Arial"/>
                <w:b/>
                <w:color w:val="000000" w:themeColor="text1"/>
                <w:szCs w:val="16"/>
              </w:rPr>
            </w:pPr>
            <w:r w:rsidRPr="00781112">
              <w:rPr>
                <w:rFonts w:cs="Arial"/>
                <w:b/>
                <w:color w:val="000000" w:themeColor="text1"/>
                <w:szCs w:val="16"/>
              </w:rPr>
              <w:t>Description</w:t>
            </w:r>
          </w:p>
        </w:tc>
        <w:tc>
          <w:tcPr>
            <w:tcW w:w="826" w:type="pct"/>
            <w:shd w:val="clear" w:color="auto" w:fill="auto"/>
          </w:tcPr>
          <w:p w14:paraId="1C82D158" w14:textId="77777777" w:rsidR="008E31C4" w:rsidRPr="00781112" w:rsidRDefault="008E31C4" w:rsidP="008E31C4">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0EB08E99" w14:textId="77777777" w:rsidTr="0064117D">
        <w:trPr>
          <w:trHeight w:val="380"/>
        </w:trPr>
        <w:tc>
          <w:tcPr>
            <w:tcW w:w="1249" w:type="pct"/>
            <w:shd w:val="clear" w:color="auto" w:fill="auto"/>
          </w:tcPr>
          <w:p w14:paraId="341A55FB" w14:textId="389190B6" w:rsidR="001126C3" w:rsidRPr="00781112" w:rsidRDefault="002B7490" w:rsidP="001126C3">
            <w:pPr>
              <w:jc w:val="center"/>
              <w:rPr>
                <w:rFonts w:cs="Arial"/>
                <w:color w:val="000000" w:themeColor="text1"/>
                <w:szCs w:val="16"/>
              </w:rPr>
            </w:pPr>
            <w:r w:rsidRPr="00781112">
              <w:rPr>
                <w:rFonts w:cs="Arial"/>
                <w:color w:val="000000" w:themeColor="text1"/>
                <w:szCs w:val="16"/>
              </w:rPr>
              <w:t>SY 2022-23 EMAPS IDEA Part B Dispute Resolution Survey; Section B: Mediation Requests</w:t>
            </w:r>
          </w:p>
        </w:tc>
        <w:tc>
          <w:tcPr>
            <w:tcW w:w="1293" w:type="pct"/>
            <w:shd w:val="clear" w:color="auto" w:fill="auto"/>
          </w:tcPr>
          <w:p w14:paraId="71614464" w14:textId="4369755A" w:rsidR="001126C3" w:rsidRPr="00781112" w:rsidRDefault="008174C3" w:rsidP="001126C3">
            <w:pPr>
              <w:jc w:val="center"/>
              <w:rPr>
                <w:rFonts w:cs="Arial"/>
                <w:color w:val="000000" w:themeColor="text1"/>
                <w:szCs w:val="16"/>
              </w:rPr>
            </w:pPr>
            <w:r w:rsidRPr="00781112">
              <w:rPr>
                <w:rFonts w:cs="Arial"/>
                <w:color w:val="000000" w:themeColor="text1"/>
                <w:szCs w:val="16"/>
              </w:rPr>
              <w:t>11/15/2023</w:t>
            </w:r>
          </w:p>
        </w:tc>
        <w:tc>
          <w:tcPr>
            <w:tcW w:w="1632" w:type="pct"/>
            <w:shd w:val="clear" w:color="auto" w:fill="auto"/>
          </w:tcPr>
          <w:p w14:paraId="3B8991BC" w14:textId="35D24A7C" w:rsidR="001126C3" w:rsidRPr="00781112" w:rsidRDefault="001126C3" w:rsidP="001126C3">
            <w:pPr>
              <w:rPr>
                <w:rFonts w:cs="Arial"/>
                <w:color w:val="000000" w:themeColor="text1"/>
                <w:szCs w:val="16"/>
              </w:rPr>
            </w:pPr>
            <w:r w:rsidRPr="00781112">
              <w:rPr>
                <w:rFonts w:cs="Arial"/>
                <w:color w:val="000000" w:themeColor="text1"/>
                <w:szCs w:val="16"/>
              </w:rPr>
              <w:t>2.1 Mediations held</w:t>
            </w:r>
          </w:p>
        </w:tc>
        <w:tc>
          <w:tcPr>
            <w:tcW w:w="826" w:type="pct"/>
            <w:shd w:val="clear" w:color="auto" w:fill="auto"/>
          </w:tcPr>
          <w:p w14:paraId="27A8B83C" w14:textId="708549A5" w:rsidR="001126C3" w:rsidRPr="00781112" w:rsidRDefault="002B7490" w:rsidP="00A018D4">
            <w:pPr>
              <w:jc w:val="center"/>
              <w:rPr>
                <w:rFonts w:cs="Arial"/>
                <w:color w:val="000000" w:themeColor="text1"/>
                <w:szCs w:val="16"/>
              </w:rPr>
            </w:pPr>
            <w:r w:rsidRPr="00781112">
              <w:rPr>
                <w:rFonts w:cs="Arial"/>
                <w:color w:val="000000" w:themeColor="text1"/>
                <w:szCs w:val="16"/>
              </w:rPr>
              <w:t>50</w:t>
            </w:r>
          </w:p>
        </w:tc>
      </w:tr>
      <w:tr w:rsidR="005C29F8" w:rsidRPr="00781112" w14:paraId="438B012B" w14:textId="77777777" w:rsidTr="0064117D">
        <w:trPr>
          <w:trHeight w:val="380"/>
        </w:trPr>
        <w:tc>
          <w:tcPr>
            <w:tcW w:w="1249" w:type="pct"/>
            <w:shd w:val="clear" w:color="auto" w:fill="auto"/>
          </w:tcPr>
          <w:p w14:paraId="265B2AEC" w14:textId="3FC7D25D" w:rsidR="001126C3" w:rsidRPr="00781112" w:rsidRDefault="008174C3" w:rsidP="001126C3">
            <w:pPr>
              <w:jc w:val="center"/>
              <w:rPr>
                <w:rFonts w:cs="Arial"/>
                <w:color w:val="000000" w:themeColor="text1"/>
                <w:szCs w:val="16"/>
              </w:rPr>
            </w:pPr>
            <w:r w:rsidRPr="00781112">
              <w:rPr>
                <w:rFonts w:cs="Arial"/>
                <w:color w:val="000000" w:themeColor="text1"/>
                <w:szCs w:val="16"/>
              </w:rPr>
              <w:t>SY 2022-23 EMAPS IDEA Part B Dispute Resolution Survey; Section B: Mediation Requests</w:t>
            </w:r>
          </w:p>
        </w:tc>
        <w:tc>
          <w:tcPr>
            <w:tcW w:w="1293" w:type="pct"/>
            <w:shd w:val="clear" w:color="auto" w:fill="auto"/>
          </w:tcPr>
          <w:p w14:paraId="128A6113" w14:textId="6FDE1D5D" w:rsidR="001126C3" w:rsidRPr="00781112" w:rsidRDefault="008174C3" w:rsidP="001126C3">
            <w:pPr>
              <w:jc w:val="center"/>
              <w:rPr>
                <w:rFonts w:cs="Arial"/>
                <w:color w:val="000000" w:themeColor="text1"/>
                <w:szCs w:val="16"/>
              </w:rPr>
            </w:pPr>
            <w:r w:rsidRPr="00781112">
              <w:rPr>
                <w:rFonts w:cs="Arial"/>
                <w:color w:val="000000" w:themeColor="text1"/>
                <w:szCs w:val="16"/>
              </w:rPr>
              <w:t>11/15/2023</w:t>
            </w:r>
          </w:p>
        </w:tc>
        <w:tc>
          <w:tcPr>
            <w:tcW w:w="1632" w:type="pct"/>
            <w:shd w:val="clear" w:color="auto" w:fill="auto"/>
          </w:tcPr>
          <w:p w14:paraId="61BAD85D" w14:textId="300FEE8B" w:rsidR="001126C3" w:rsidRPr="00781112" w:rsidRDefault="001126C3" w:rsidP="001126C3">
            <w:pPr>
              <w:rPr>
                <w:rFonts w:cs="Arial"/>
                <w:color w:val="000000" w:themeColor="text1"/>
                <w:szCs w:val="16"/>
              </w:rPr>
            </w:pPr>
            <w:r w:rsidRPr="00781112">
              <w:rPr>
                <w:rFonts w:cs="Arial"/>
                <w:color w:val="000000" w:themeColor="text1"/>
                <w:szCs w:val="16"/>
              </w:rPr>
              <w:t>2.1.a.i Mediations agreements related to due process complaints</w:t>
            </w:r>
          </w:p>
        </w:tc>
        <w:tc>
          <w:tcPr>
            <w:tcW w:w="826" w:type="pct"/>
            <w:shd w:val="clear" w:color="auto" w:fill="auto"/>
          </w:tcPr>
          <w:p w14:paraId="580B460B" w14:textId="49FBB0F1" w:rsidR="001126C3" w:rsidRPr="00781112" w:rsidRDefault="002B7490" w:rsidP="00A018D4">
            <w:pPr>
              <w:jc w:val="center"/>
              <w:rPr>
                <w:rFonts w:cs="Arial"/>
                <w:color w:val="000000" w:themeColor="text1"/>
                <w:szCs w:val="16"/>
              </w:rPr>
            </w:pPr>
            <w:r w:rsidRPr="00781112">
              <w:rPr>
                <w:rFonts w:cs="Arial"/>
                <w:color w:val="000000" w:themeColor="text1"/>
                <w:szCs w:val="16"/>
              </w:rPr>
              <w:t>18</w:t>
            </w:r>
          </w:p>
        </w:tc>
      </w:tr>
      <w:tr w:rsidR="005C29F8" w:rsidRPr="00781112" w14:paraId="53310D0D" w14:textId="77777777" w:rsidTr="0064117D">
        <w:trPr>
          <w:trHeight w:val="380"/>
        </w:trPr>
        <w:tc>
          <w:tcPr>
            <w:tcW w:w="1249" w:type="pct"/>
            <w:shd w:val="clear" w:color="auto" w:fill="auto"/>
          </w:tcPr>
          <w:p w14:paraId="295563AC" w14:textId="371961FC" w:rsidR="001126C3" w:rsidRPr="00781112" w:rsidRDefault="008174C3" w:rsidP="001126C3">
            <w:pPr>
              <w:jc w:val="center"/>
              <w:rPr>
                <w:rFonts w:cs="Arial"/>
                <w:color w:val="000000" w:themeColor="text1"/>
                <w:szCs w:val="16"/>
              </w:rPr>
            </w:pPr>
            <w:r w:rsidRPr="00781112">
              <w:rPr>
                <w:rFonts w:cs="Arial"/>
                <w:color w:val="000000" w:themeColor="text1"/>
                <w:szCs w:val="16"/>
              </w:rPr>
              <w:t>SY 2022-23 EMAPS IDEA Part B Dispute Resolution Survey; Section B: Mediation Requests</w:t>
            </w:r>
          </w:p>
        </w:tc>
        <w:tc>
          <w:tcPr>
            <w:tcW w:w="1293" w:type="pct"/>
            <w:shd w:val="clear" w:color="auto" w:fill="auto"/>
          </w:tcPr>
          <w:p w14:paraId="4BDD8D48" w14:textId="63D0DB48" w:rsidR="001126C3" w:rsidRPr="00781112" w:rsidRDefault="008174C3" w:rsidP="001126C3">
            <w:pPr>
              <w:jc w:val="center"/>
              <w:rPr>
                <w:rFonts w:cs="Arial"/>
                <w:color w:val="000000" w:themeColor="text1"/>
                <w:szCs w:val="16"/>
              </w:rPr>
            </w:pPr>
            <w:r w:rsidRPr="00781112">
              <w:rPr>
                <w:rFonts w:cs="Arial"/>
                <w:color w:val="000000" w:themeColor="text1"/>
                <w:szCs w:val="16"/>
              </w:rPr>
              <w:t>11/15/2023</w:t>
            </w:r>
          </w:p>
        </w:tc>
        <w:tc>
          <w:tcPr>
            <w:tcW w:w="1632" w:type="pct"/>
            <w:shd w:val="clear" w:color="auto" w:fill="auto"/>
          </w:tcPr>
          <w:p w14:paraId="0D81EE28" w14:textId="0901AFA3" w:rsidR="001126C3" w:rsidRPr="00781112" w:rsidRDefault="001126C3" w:rsidP="001126C3">
            <w:pPr>
              <w:rPr>
                <w:rFonts w:cs="Arial"/>
                <w:color w:val="000000" w:themeColor="text1"/>
                <w:szCs w:val="16"/>
              </w:rPr>
            </w:pPr>
            <w:r w:rsidRPr="00781112">
              <w:rPr>
                <w:rFonts w:cs="Arial"/>
                <w:color w:val="000000" w:themeColor="text1"/>
                <w:szCs w:val="16"/>
              </w:rPr>
              <w:t>2.1.b.i Mediations agreements not related to due process complaints</w:t>
            </w:r>
          </w:p>
        </w:tc>
        <w:tc>
          <w:tcPr>
            <w:tcW w:w="826" w:type="pct"/>
            <w:shd w:val="clear" w:color="auto" w:fill="auto"/>
          </w:tcPr>
          <w:p w14:paraId="4C9A36B1" w14:textId="285B67BA" w:rsidR="001126C3" w:rsidRPr="00781112" w:rsidRDefault="002B7490" w:rsidP="00A018D4">
            <w:pPr>
              <w:jc w:val="center"/>
              <w:rPr>
                <w:rFonts w:cs="Arial"/>
                <w:color w:val="000000" w:themeColor="text1"/>
                <w:szCs w:val="16"/>
              </w:rPr>
            </w:pPr>
            <w:r w:rsidRPr="00781112">
              <w:rPr>
                <w:rFonts w:cs="Arial"/>
                <w:color w:val="000000" w:themeColor="text1"/>
                <w:szCs w:val="16"/>
              </w:rPr>
              <w:t>21</w:t>
            </w:r>
          </w:p>
        </w:tc>
      </w:tr>
    </w:tbl>
    <w:p w14:paraId="2C4CE14C" w14:textId="5AC27D72" w:rsidR="00E8514E" w:rsidRPr="00781112" w:rsidRDefault="007D219D">
      <w:pPr>
        <w:rPr>
          <w:b/>
          <w:color w:val="000000" w:themeColor="text1"/>
        </w:rPr>
      </w:pPr>
      <w:r w:rsidRPr="00781112">
        <w:rPr>
          <w:b/>
          <w:color w:val="000000" w:themeColor="text1"/>
        </w:rPr>
        <w:t>Select yes if the data reported in this indicator are not the same as the State’s data reported under section 618 of the IDEA.</w:t>
      </w:r>
    </w:p>
    <w:p w14:paraId="69D1C140" w14:textId="4BF355D3" w:rsidR="00E8514E" w:rsidRPr="00781112" w:rsidRDefault="00E8514E">
      <w:pPr>
        <w:rPr>
          <w:color w:val="000000" w:themeColor="text1"/>
        </w:rPr>
      </w:pPr>
      <w:r w:rsidRPr="00781112">
        <w:rPr>
          <w:color w:val="000000" w:themeColor="text1"/>
        </w:rPr>
        <w:t>NO</w:t>
      </w:r>
    </w:p>
    <w:p w14:paraId="1451EE58" w14:textId="77777777" w:rsidR="00945274" w:rsidRPr="00781112" w:rsidRDefault="00945274" w:rsidP="004369B2">
      <w:pPr>
        <w:rPr>
          <w:color w:val="000000" w:themeColor="text1"/>
        </w:rPr>
      </w:pPr>
    </w:p>
    <w:p w14:paraId="58C79350" w14:textId="310C06FF" w:rsidR="000A2C83" w:rsidRPr="00781112" w:rsidRDefault="000A2C83" w:rsidP="004369B2">
      <w:pPr>
        <w:rPr>
          <w:b/>
          <w:color w:val="000000" w:themeColor="text1"/>
        </w:rPr>
      </w:pPr>
      <w:r w:rsidRPr="00781112">
        <w:rPr>
          <w:b/>
          <w:color w:val="000000" w:themeColor="text1"/>
        </w:rPr>
        <w:t xml:space="preserve">Targets: Description of Stakeholder Input </w:t>
      </w:r>
    </w:p>
    <w:p w14:paraId="7B6B5101" w14:textId="2C5569CC" w:rsidR="000A2C83" w:rsidRPr="00781112" w:rsidRDefault="002B7490" w:rsidP="000A2C83">
      <w:pPr>
        <w:rPr>
          <w:rFonts w:cs="Arial"/>
          <w:color w:val="000000" w:themeColor="text1"/>
          <w:szCs w:val="16"/>
        </w:rPr>
      </w:pPr>
      <w:r w:rsidRPr="00781112">
        <w:rPr>
          <w:rFonts w:cs="Arial"/>
          <w:color w:val="000000" w:themeColor="text1"/>
          <w:szCs w:val="16"/>
        </w:rPr>
        <w:t>Mechanism for Broad Stakeholder Input:</w:t>
        <w:br/>
        <w:t xml:space="preserve">During FFY2022, the State held stakeholder meetings as the mechanism for soliciting broad stakeholder input on the State’s targets in the SPP/APR and any subsequent revisions. The meetings were held in-person for the first time following the COVID-19 pandemic. An online option was available for stakeholders that were not able to meet in person. In the meetings, Stakeholder groups reviewed the FFY2021 data, and the baselines and targets established for FFY 2020-2025. The groups analyzed the data to determine if established baselines and targets established in the prior year, were still an accurate depiction of the state’s performance trajectory. The meetings also allowed time for stakeholders to provide input on improvement strategies and progress for the SPP/APR indicators. The State also revised its methodology for Indicators 4a and 4b in which the information was shared with stakeholders and input was sought. In addition, the State also proposed a revised LEA annual determination rubric to include target indicators. The revised rubric will be used with FFY2023 LEA annual determinations and is consistent with the information in the OSEP Question and Answer document QA 23-01. </w:t>
        <w:br/>
        <w:t/>
        <w:br/>
        <w:t xml:space="preserve">Stakeholder meeting information including meeting logistics and presentations are available on the Special Education Division (SED) website for the public and any interested individual to access. Flyers were created and LEAs were asked to disseminate the information to their staff, parents, and students. The Parent Training Centers (PTCs) were asked to share the meeting information with parents including through social media. Other groups such as tribes, IDEA panel members, the State Special Education Ombud, and other parent advocacy groups were sent invitations to each of the meetings. </w:t>
        <w:br/>
        <w:t/>
        <w:br/>
        <w:t>Any stakeholder that wanted to provide feedback but could not attend the meetings, had an opportunity to do so. On the State’s stakeholder page, individuals can click on the link and share their input with the state staff by completing an input form. The feedback received from the website is also considered when making revisions and establishing targets.</w:t>
        <w:br/>
        <w:t/>
        <w:br/>
        <w:t>Feedback Summary:</w:t>
        <w:br/>
        <w:t>For Indicators 4a and 4b, the State’s methodology was proposed to be changed to meet OSEP requirements as indicated in the FFY2021, SPP/APR OSEP Responses and Required Actions. Stakeholders were presented with the new proposed methodology in which the cell size of 10 requirement was removed, the N size was reduced to 10 and a rate ratio of 3.0 was introduced. In comparison to the previous methodology, where a cell size and N size of 10 were required as well as a risk ratio of 1 percentage point above the state rate. Stakeholders had no objections or concerns with the new methodology. The State will use the new methodology to apply to the Indicator 4 data reported in this FFY2022 State Performance Plan/Annual Performance Report (SPP/APR).</w:t>
        <w:br/>
        <w:t/>
        <w:br/>
        <w:t>Indicator 17, State Systemic Improvement Plan:</w:t>
        <w:br/>
        <w:t xml:space="preserve">1. ECLIPSE program coordinators presented data and program updates to the state IDEA Panel (members include parents, advocates, state staff, and educators) during the 2022-2023 school year. IDEA panel members were engaged in the ECLIPSE program presentation on Indicator 17 and updates. An ECLIPSE panel committee provided qualitative feedback via a Google Form survey. The panel members conveyed the program is making progress in improving literacy outcomes forward for students with disabilities. Recommendations included increasing parental involvement and increased awareness of the program's successes. </w:t>
        <w:br/>
        <w:t>2. A virtual ECLIPSE stakeholder meeting was held during the 2022-2023 school year. Stakeholders in attendance included the ECLIPSE staff, Regional Education Cooperative (REC) coordinators, Special Education Directors, and ECLIPSE school principals. Stakeholders in attendance were provided with ECLIPSE program details for the upcoming school year and verbal feedback about the ECLIPSE Program at the end of the meeting.</w:t>
        <w:br/>
        <w:t xml:space="preserve">3. Parent engagement stakeholder meetings were held in-person and through online platforms where they were provided direct literacy training via hands-on activities. If the meeting was online, materials were provided to the schools prior to the meeting. The Regional Education Cooperative (REC) contractors provided materials, activities, and training to parents in-person. The REC initiated Google Pre and Post surveys following the trainings and it indicated that the level of understanding to support reading at home increased. Parental understanding of what the predicator of reading success was increased dramatically between pre and post surveys. A summary of parent comments included that the engagement sessions provided a lot of great information, it was a fun learning experience, and they looked forward to future meetings. </w:t>
        <w:br/>
        <w:t xml:space="preserve">4. The ECLIPSE staff initiated surveys during 2022-2023 to principals and teachers through Google Forms survey. Teachers showed dramatic increases in their knowledge of the incorporation of engagement strategies with their students due to their coaches. In a pre-survey, administrators listed that professional development on literacy is one of the greatest needs of the teachers they support. They also stated that time and equitable feedback were areas of administrative need. </w:t>
        <w:br/>
        <w:t>5. An online end of year survey was sent to all ECLIPSE stakeholders as the 2022-2023 school year ended. The main consensus from the survey supported the ongoing development of the program to illustrate its impact so adjustments can be made to better inform ourselves and our stakeholders of progress.</w:t>
      </w:r>
    </w:p>
    <w:p w14:paraId="5F0F979C" w14:textId="2A86F023" w:rsidR="000A2C83" w:rsidRPr="00781112" w:rsidRDefault="002B7490" w:rsidP="000A2C83">
      <w:pPr>
        <w:rPr>
          <w:rFonts w:cs="Arial"/>
          <w:color w:val="000000" w:themeColor="text1"/>
          <w:szCs w:val="16"/>
        </w:rPr>
      </w:pPr>
      <w:r w:rsidRPr="00781112">
        <w:rPr>
          <w:rFonts w:cs="Arial"/>
          <w:color w:val="000000" w:themeColor="text1"/>
          <w:szCs w:val="16"/>
        </w:rPr>
        <w:t/>
      </w:r>
    </w:p>
    <w:p w14:paraId="2C7ACE11" w14:textId="77777777" w:rsidR="00E8514E" w:rsidRPr="00781112" w:rsidRDefault="00E8514E" w:rsidP="000A2C83">
      <w:pPr>
        <w:rPr>
          <w:rFonts w:cs="Arial"/>
          <w:color w:val="000000" w:themeColor="text1"/>
          <w:szCs w:val="16"/>
        </w:rPr>
      </w:pPr>
    </w:p>
    <w:p w14:paraId="48B9C9FE" w14:textId="3C4BDA67" w:rsidR="008E31C4" w:rsidRPr="00781112" w:rsidRDefault="008E31C4"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6BASELINEDATA"/>
      </w:tblPr>
      <w:tblGrid>
        <w:gridCol w:w="1797"/>
        <w:gridCol w:w="1798"/>
      </w:tblGrid>
      <w:tr w:rsidR="00D75351" w:rsidRPr="00781112" w14:paraId="57AEABC0" w14:textId="77777777" w:rsidTr="00123D76">
        <w:trPr>
          <w:trHeight w:val="311"/>
          <w:tblHeader/>
        </w:trPr>
        <w:tc>
          <w:tcPr>
            <w:tcW w:w="1797" w:type="dxa"/>
          </w:tcPr>
          <w:p w14:paraId="38CE882B" w14:textId="77777777" w:rsidR="00D75351" w:rsidRPr="00781112" w:rsidRDefault="00D75351" w:rsidP="00123D76">
            <w:pPr>
              <w:jc w:val="center"/>
              <w:rPr>
                <w:b/>
                <w:color w:val="000000" w:themeColor="text1"/>
              </w:rPr>
            </w:pPr>
            <w:r w:rsidRPr="00781112">
              <w:rPr>
                <w:rFonts w:cs="Arial"/>
                <w:b/>
                <w:color w:val="000000" w:themeColor="text1"/>
                <w:szCs w:val="16"/>
              </w:rPr>
              <w:t>Baseline Year</w:t>
            </w:r>
          </w:p>
        </w:tc>
        <w:tc>
          <w:tcPr>
            <w:tcW w:w="1798" w:type="dxa"/>
          </w:tcPr>
          <w:p w14:paraId="664A9E7A" w14:textId="77777777" w:rsidR="00D75351" w:rsidRPr="00781112" w:rsidRDefault="00D75351" w:rsidP="00123D76">
            <w:pPr>
              <w:jc w:val="center"/>
              <w:rPr>
                <w:b/>
                <w:color w:val="000000" w:themeColor="text1"/>
              </w:rPr>
            </w:pPr>
            <w:r w:rsidRPr="00781112">
              <w:rPr>
                <w:b/>
                <w:color w:val="000000" w:themeColor="text1"/>
              </w:rPr>
              <w:t>Baseline Data</w:t>
            </w:r>
          </w:p>
        </w:tc>
      </w:tr>
      <w:tr w:rsidR="00D75351" w:rsidRPr="00781112" w14:paraId="2B59BCB7" w14:textId="77777777" w:rsidTr="00123D76">
        <w:trPr>
          <w:trHeight w:val="311"/>
        </w:trPr>
        <w:tc>
          <w:tcPr>
            <w:tcW w:w="1797" w:type="dxa"/>
            <w:vAlign w:val="center"/>
          </w:tcPr>
          <w:p w14:paraId="62FFC123" w14:textId="008A4386" w:rsidR="00D75351" w:rsidRPr="00781112" w:rsidRDefault="00D75351" w:rsidP="00123D76">
            <w:pPr>
              <w:jc w:val="center"/>
              <w:rPr>
                <w:bCs/>
                <w:color w:val="000000" w:themeColor="text1"/>
              </w:rPr>
            </w:pPr>
            <w:r w:rsidRPr="00781112">
              <w:rPr>
                <w:bCs/>
                <w:color w:val="000000" w:themeColor="text1"/>
              </w:rPr>
              <w:t>2005</w:t>
            </w:r>
          </w:p>
        </w:tc>
        <w:tc>
          <w:tcPr>
            <w:tcW w:w="1798" w:type="dxa"/>
            <w:vAlign w:val="center"/>
          </w:tcPr>
          <w:p w14:paraId="08A13422" w14:textId="52DBDA3E" w:rsidR="00D75351" w:rsidRPr="00781112" w:rsidRDefault="00D75351" w:rsidP="00123D76">
            <w:pPr>
              <w:jc w:val="center"/>
              <w:rPr>
                <w:bCs/>
                <w:color w:val="000000" w:themeColor="text1"/>
              </w:rPr>
            </w:pPr>
            <w:r w:rsidRPr="00781112">
              <w:rPr>
                <w:bCs/>
                <w:color w:val="000000" w:themeColor="text1"/>
              </w:rPr>
              <w:t>61.30%</w:t>
            </w:r>
          </w:p>
        </w:tc>
      </w:tr>
    </w:tbl>
    <w:p w14:paraId="450682C0" w14:textId="77777777" w:rsidR="00D75351" w:rsidRPr="00781112" w:rsidRDefault="00D75351"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6HISTDATA"/>
      </w:tblPr>
      <w:tblGrid>
        <w:gridCol w:w="1615"/>
        <w:gridCol w:w="1799"/>
        <w:gridCol w:w="1981"/>
        <w:gridCol w:w="1798"/>
        <w:gridCol w:w="1709"/>
        <w:gridCol w:w="1888"/>
      </w:tblGrid>
      <w:tr w:rsidR="005C29F8" w:rsidRPr="00781112" w14:paraId="3061AAFC" w14:textId="77777777" w:rsidTr="004B2960">
        <w:trPr>
          <w:trHeight w:val="350"/>
        </w:trPr>
        <w:tc>
          <w:tcPr>
            <w:tcW w:w="748" w:type="pct"/>
            <w:tcBorders>
              <w:bottom w:val="single" w:sz="4" w:space="0" w:color="auto"/>
            </w:tcBorders>
            <w:shd w:val="clear" w:color="auto" w:fill="auto"/>
          </w:tcPr>
          <w:p w14:paraId="6D321354" w14:textId="77777777" w:rsidR="008E31C4" w:rsidRPr="00781112" w:rsidRDefault="008E31C4"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351C61C5" w14:textId="1A27A18C" w:rsidR="008E31C4" w:rsidRPr="00781112" w:rsidRDefault="002B7490" w:rsidP="008E31C4">
            <w:pPr>
              <w:jc w:val="center"/>
              <w:rPr>
                <w:rFonts w:cs="Arial"/>
                <w:b/>
                <w:color w:val="000000" w:themeColor="text1"/>
                <w:szCs w:val="16"/>
              </w:rPr>
            </w:pPr>
            <w:r w:rsidRPr="00781112">
              <w:rPr>
                <w:rFonts w:cs="Arial"/>
                <w:b/>
                <w:color w:val="000000" w:themeColor="text1"/>
                <w:szCs w:val="16"/>
              </w:rPr>
              <w:t>2017</w:t>
            </w:r>
          </w:p>
        </w:tc>
        <w:tc>
          <w:tcPr>
            <w:tcW w:w="918" w:type="pct"/>
            <w:shd w:val="clear" w:color="auto" w:fill="auto"/>
          </w:tcPr>
          <w:p w14:paraId="1CDF9DE8" w14:textId="0FE9038E" w:rsidR="008E31C4" w:rsidRPr="00781112" w:rsidRDefault="002B7490" w:rsidP="008E31C4">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49B990DE" w14:textId="2B6E5021" w:rsidR="008E31C4" w:rsidRPr="00781112" w:rsidRDefault="002B7490" w:rsidP="008E31C4">
            <w:pPr>
              <w:jc w:val="center"/>
              <w:rPr>
                <w:rFonts w:cs="Arial"/>
                <w:b/>
                <w:color w:val="000000" w:themeColor="text1"/>
                <w:szCs w:val="16"/>
              </w:rPr>
            </w:pPr>
            <w:r w:rsidRPr="00781112">
              <w:rPr>
                <w:rFonts w:cs="Arial"/>
                <w:b/>
                <w:color w:val="000000" w:themeColor="text1"/>
                <w:szCs w:val="16"/>
              </w:rPr>
              <w:t>2019</w:t>
            </w:r>
          </w:p>
        </w:tc>
        <w:tc>
          <w:tcPr>
            <w:tcW w:w="792" w:type="pct"/>
            <w:shd w:val="clear" w:color="auto" w:fill="auto"/>
          </w:tcPr>
          <w:p w14:paraId="6EF76857" w14:textId="0F124C26" w:rsidR="008E31C4" w:rsidRPr="00781112" w:rsidRDefault="002B7490" w:rsidP="008E31C4">
            <w:pPr>
              <w:jc w:val="center"/>
              <w:rPr>
                <w:rFonts w:cs="Arial"/>
                <w:b/>
                <w:color w:val="000000" w:themeColor="text1"/>
                <w:szCs w:val="16"/>
              </w:rPr>
            </w:pPr>
            <w:r w:rsidRPr="00781112">
              <w:rPr>
                <w:rFonts w:cs="Arial"/>
                <w:b/>
                <w:color w:val="000000" w:themeColor="text1"/>
                <w:szCs w:val="16"/>
              </w:rPr>
              <w:t>2020</w:t>
            </w:r>
          </w:p>
        </w:tc>
        <w:tc>
          <w:tcPr>
            <w:tcW w:w="875" w:type="pct"/>
            <w:shd w:val="clear" w:color="auto" w:fill="auto"/>
          </w:tcPr>
          <w:p w14:paraId="246ACDB0" w14:textId="7F251A7E" w:rsidR="008E31C4" w:rsidRPr="00781112" w:rsidRDefault="002B7490" w:rsidP="008E31C4">
            <w:pPr>
              <w:jc w:val="center"/>
              <w:rPr>
                <w:rFonts w:cs="Arial"/>
                <w:b/>
                <w:color w:val="000000" w:themeColor="text1"/>
                <w:szCs w:val="16"/>
              </w:rPr>
            </w:pPr>
            <w:r w:rsidRPr="00781112">
              <w:rPr>
                <w:rFonts w:cs="Arial"/>
                <w:b/>
                <w:color w:val="000000" w:themeColor="text1"/>
                <w:szCs w:val="16"/>
              </w:rPr>
              <w:t>2021</w:t>
            </w:r>
          </w:p>
        </w:tc>
      </w:tr>
      <w:tr w:rsidR="005C29F8" w:rsidRPr="00781112" w14:paraId="2A876A9F" w14:textId="77777777" w:rsidTr="004B2960">
        <w:trPr>
          <w:trHeight w:val="357"/>
        </w:trPr>
        <w:tc>
          <w:tcPr>
            <w:tcW w:w="748" w:type="pct"/>
            <w:shd w:val="clear" w:color="auto" w:fill="auto"/>
          </w:tcPr>
          <w:p w14:paraId="2DE95B6B" w14:textId="04DB6250" w:rsidR="008E31C4" w:rsidRPr="00781112" w:rsidRDefault="008E31C4" w:rsidP="00BA3DBE">
            <w:pPr>
              <w:jc w:val="center"/>
              <w:rPr>
                <w:rFonts w:cs="Arial"/>
                <w:color w:val="000000" w:themeColor="text1"/>
                <w:szCs w:val="16"/>
              </w:rPr>
            </w:pPr>
            <w:r w:rsidRPr="00781112">
              <w:rPr>
                <w:rFonts w:cs="Arial"/>
                <w:color w:val="000000" w:themeColor="text1"/>
                <w:szCs w:val="16"/>
              </w:rPr>
              <w:t>Target &gt;=</w:t>
            </w:r>
          </w:p>
        </w:tc>
        <w:tc>
          <w:tcPr>
            <w:tcW w:w="833" w:type="pct"/>
            <w:shd w:val="clear" w:color="auto" w:fill="auto"/>
          </w:tcPr>
          <w:p w14:paraId="6C64D17D" w14:textId="6F575CE5" w:rsidR="008E31C4" w:rsidRPr="00781112" w:rsidRDefault="002B7490">
            <w:pPr>
              <w:jc w:val="center"/>
              <w:rPr>
                <w:rFonts w:cs="Arial"/>
                <w:color w:val="000000" w:themeColor="text1"/>
                <w:szCs w:val="16"/>
              </w:rPr>
            </w:pPr>
            <w:r w:rsidRPr="00781112">
              <w:rPr>
                <w:rFonts w:cs="Arial"/>
                <w:color w:val="000000" w:themeColor="text1"/>
                <w:szCs w:val="16"/>
              </w:rPr>
              <w:t>75.00% - 85.00%</w:t>
            </w:r>
          </w:p>
        </w:tc>
        <w:tc>
          <w:tcPr>
            <w:tcW w:w="918" w:type="pct"/>
            <w:shd w:val="clear" w:color="auto" w:fill="auto"/>
          </w:tcPr>
          <w:p w14:paraId="72C59C65" w14:textId="44E721D8" w:rsidR="008E31C4" w:rsidRPr="00781112" w:rsidRDefault="002B7490">
            <w:pPr>
              <w:jc w:val="center"/>
              <w:rPr>
                <w:rFonts w:cs="Arial"/>
                <w:color w:val="000000" w:themeColor="text1"/>
                <w:szCs w:val="16"/>
              </w:rPr>
            </w:pPr>
            <w:r w:rsidRPr="00781112">
              <w:rPr>
                <w:rFonts w:cs="Arial"/>
                <w:color w:val="000000" w:themeColor="text1"/>
                <w:szCs w:val="16"/>
              </w:rPr>
              <w:t>75.00% - 85.00%</w:t>
            </w:r>
          </w:p>
        </w:tc>
        <w:tc>
          <w:tcPr>
            <w:tcW w:w="833" w:type="pct"/>
            <w:shd w:val="clear" w:color="auto" w:fill="auto"/>
            <w:vAlign w:val="center"/>
          </w:tcPr>
          <w:p w14:paraId="220DD5CA" w14:textId="720A36A7" w:rsidR="008E31C4" w:rsidRPr="00781112" w:rsidRDefault="002B7490">
            <w:pPr>
              <w:jc w:val="center"/>
              <w:rPr>
                <w:rFonts w:cs="Arial"/>
                <w:color w:val="000000" w:themeColor="text1"/>
                <w:szCs w:val="16"/>
              </w:rPr>
            </w:pPr>
            <w:r w:rsidRPr="00781112">
              <w:rPr>
                <w:rFonts w:cs="Arial"/>
                <w:color w:val="000000" w:themeColor="text1"/>
                <w:szCs w:val="16"/>
              </w:rPr>
              <w:t>75.00%-85.00%</w:t>
            </w:r>
          </w:p>
        </w:tc>
        <w:tc>
          <w:tcPr>
            <w:tcW w:w="792" w:type="pct"/>
            <w:shd w:val="clear" w:color="auto" w:fill="auto"/>
            <w:vAlign w:val="center"/>
          </w:tcPr>
          <w:p w14:paraId="07CF6D0B" w14:textId="0CDFA70C" w:rsidR="008E31C4" w:rsidRPr="00781112" w:rsidRDefault="002B7490">
            <w:pPr>
              <w:jc w:val="center"/>
              <w:rPr>
                <w:rFonts w:cs="Arial"/>
                <w:color w:val="000000" w:themeColor="text1"/>
                <w:szCs w:val="16"/>
              </w:rPr>
            </w:pPr>
            <w:r w:rsidRPr="00781112">
              <w:rPr>
                <w:rFonts w:cs="Arial"/>
                <w:color w:val="000000" w:themeColor="text1"/>
                <w:szCs w:val="16"/>
              </w:rPr>
              <w:t>70.00%-80.00%</w:t>
            </w:r>
          </w:p>
        </w:tc>
        <w:tc>
          <w:tcPr>
            <w:tcW w:w="875" w:type="pct"/>
            <w:shd w:val="clear" w:color="auto" w:fill="auto"/>
            <w:vAlign w:val="center"/>
          </w:tcPr>
          <w:p w14:paraId="3B96FD7D" w14:textId="7B182CEE" w:rsidR="008E31C4" w:rsidRPr="00781112" w:rsidRDefault="002B7490">
            <w:pPr>
              <w:jc w:val="center"/>
              <w:rPr>
                <w:rFonts w:cs="Arial"/>
                <w:color w:val="000000" w:themeColor="text1"/>
                <w:szCs w:val="16"/>
              </w:rPr>
            </w:pPr>
            <w:r w:rsidRPr="00781112">
              <w:rPr>
                <w:rFonts w:cs="Arial"/>
                <w:color w:val="000000" w:themeColor="text1"/>
                <w:szCs w:val="16"/>
              </w:rPr>
              <w:t>70.00%-80.00%</w:t>
            </w:r>
          </w:p>
        </w:tc>
      </w:tr>
      <w:tr w:rsidR="005C29F8" w:rsidRPr="00781112" w14:paraId="34F84ECE" w14:textId="77777777" w:rsidTr="004B2960">
        <w:trPr>
          <w:trHeight w:val="85"/>
        </w:trPr>
        <w:tc>
          <w:tcPr>
            <w:tcW w:w="748" w:type="pct"/>
            <w:shd w:val="clear" w:color="auto" w:fill="auto"/>
          </w:tcPr>
          <w:p w14:paraId="281210CF" w14:textId="77777777" w:rsidR="008E31C4" w:rsidRPr="00781112" w:rsidRDefault="008E31C4"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581B8DC5" w14:textId="4F71DCFC" w:rsidR="008E31C4" w:rsidRPr="00781112" w:rsidRDefault="002B7490">
            <w:pPr>
              <w:jc w:val="center"/>
              <w:rPr>
                <w:rFonts w:cs="Arial"/>
                <w:color w:val="000000" w:themeColor="text1"/>
                <w:szCs w:val="16"/>
              </w:rPr>
            </w:pPr>
            <w:r w:rsidRPr="00781112">
              <w:rPr>
                <w:rFonts w:cs="Arial"/>
                <w:color w:val="000000" w:themeColor="text1"/>
                <w:szCs w:val="16"/>
              </w:rPr>
              <w:t>68.29%</w:t>
            </w:r>
          </w:p>
        </w:tc>
        <w:tc>
          <w:tcPr>
            <w:tcW w:w="918" w:type="pct"/>
            <w:shd w:val="clear" w:color="auto" w:fill="auto"/>
          </w:tcPr>
          <w:p w14:paraId="341A9DBA" w14:textId="51769052" w:rsidR="008E31C4" w:rsidRPr="00781112" w:rsidRDefault="002B7490">
            <w:pPr>
              <w:jc w:val="center"/>
              <w:rPr>
                <w:rFonts w:cs="Arial"/>
                <w:color w:val="000000" w:themeColor="text1"/>
                <w:szCs w:val="16"/>
              </w:rPr>
            </w:pPr>
            <w:r w:rsidRPr="00781112">
              <w:rPr>
                <w:rFonts w:cs="Arial"/>
                <w:color w:val="000000" w:themeColor="text1"/>
                <w:szCs w:val="16"/>
              </w:rPr>
              <w:t>71.43%</w:t>
            </w:r>
          </w:p>
        </w:tc>
        <w:tc>
          <w:tcPr>
            <w:tcW w:w="833" w:type="pct"/>
            <w:tcBorders>
              <w:bottom w:val="single" w:sz="4" w:space="0" w:color="auto"/>
            </w:tcBorders>
            <w:shd w:val="clear" w:color="auto" w:fill="auto"/>
            <w:vAlign w:val="center"/>
          </w:tcPr>
          <w:p w14:paraId="7C21B645" w14:textId="348DEE4D" w:rsidR="008E31C4" w:rsidRPr="00781112" w:rsidRDefault="002B7490">
            <w:pPr>
              <w:jc w:val="center"/>
              <w:rPr>
                <w:rFonts w:cs="Arial"/>
                <w:color w:val="000000" w:themeColor="text1"/>
                <w:szCs w:val="16"/>
              </w:rPr>
            </w:pPr>
            <w:r w:rsidRPr="00781112">
              <w:rPr>
                <w:rFonts w:cs="Arial"/>
                <w:color w:val="000000" w:themeColor="text1"/>
                <w:szCs w:val="16"/>
              </w:rPr>
              <w:t>69.57%</w:t>
            </w:r>
          </w:p>
        </w:tc>
        <w:tc>
          <w:tcPr>
            <w:tcW w:w="792" w:type="pct"/>
            <w:tcBorders>
              <w:bottom w:val="single" w:sz="4" w:space="0" w:color="auto"/>
            </w:tcBorders>
            <w:shd w:val="clear" w:color="auto" w:fill="auto"/>
            <w:vAlign w:val="center"/>
          </w:tcPr>
          <w:p w14:paraId="345A5CC5" w14:textId="67CE713B" w:rsidR="008E31C4" w:rsidRPr="00781112" w:rsidRDefault="002B7490">
            <w:pPr>
              <w:jc w:val="center"/>
              <w:rPr>
                <w:rFonts w:cs="Arial"/>
                <w:color w:val="000000" w:themeColor="text1"/>
                <w:szCs w:val="16"/>
              </w:rPr>
            </w:pPr>
            <w:r w:rsidRPr="00781112">
              <w:rPr>
                <w:rFonts w:cs="Arial"/>
                <w:color w:val="000000" w:themeColor="text1"/>
                <w:szCs w:val="16"/>
              </w:rPr>
              <w:t>70.83%</w:t>
            </w:r>
          </w:p>
        </w:tc>
        <w:tc>
          <w:tcPr>
            <w:tcW w:w="875" w:type="pct"/>
            <w:tcBorders>
              <w:bottom w:val="single" w:sz="4" w:space="0" w:color="auto"/>
            </w:tcBorders>
            <w:shd w:val="clear" w:color="auto" w:fill="auto"/>
            <w:vAlign w:val="center"/>
          </w:tcPr>
          <w:p w14:paraId="09A5B408" w14:textId="4B0EB3D1" w:rsidR="008E31C4" w:rsidRPr="00781112" w:rsidRDefault="002B7490">
            <w:pPr>
              <w:jc w:val="center"/>
              <w:rPr>
                <w:rFonts w:cs="Arial"/>
                <w:color w:val="000000" w:themeColor="text1"/>
                <w:szCs w:val="16"/>
              </w:rPr>
            </w:pPr>
            <w:r w:rsidRPr="00781112">
              <w:rPr>
                <w:rFonts w:cs="Arial"/>
                <w:color w:val="000000" w:themeColor="text1"/>
                <w:szCs w:val="16"/>
              </w:rPr>
              <w:t>79.31%</w:t>
            </w:r>
          </w:p>
        </w:tc>
      </w:tr>
    </w:tbl>
    <w:p w14:paraId="2B5B5701" w14:textId="2BB5836C" w:rsidR="00DA3157" w:rsidRPr="00781112" w:rsidRDefault="00DA3157">
      <w:pPr>
        <w:rPr>
          <w:color w:val="000000" w:themeColor="text1"/>
        </w:rPr>
      </w:pPr>
    </w:p>
    <w:p w14:paraId="03422290" w14:textId="77777777" w:rsidR="00BB79DA" w:rsidRPr="00781112" w:rsidRDefault="00BB79DA">
      <w:pPr>
        <w:rPr>
          <w:color w:val="000000" w:themeColor="text1"/>
        </w:rPr>
      </w:pPr>
    </w:p>
    <w:p w14:paraId="287DA72B" w14:textId="79A7F54E" w:rsidR="008E31C4" w:rsidRPr="00781112" w:rsidRDefault="008E31C4" w:rsidP="004369B2">
      <w:pPr>
        <w:rPr>
          <w:color w:val="000000" w:themeColor="text1"/>
        </w:rPr>
      </w:pPr>
      <w:r w:rsidRPr="00781112">
        <w:rPr>
          <w:b/>
          <w:color w:val="000000" w:themeColor="text1"/>
        </w:rPr>
        <w:t>Targets</w:t>
      </w:r>
    </w:p>
    <w:tbl>
      <w:tblPr>
        <w:tblW w:w="35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6TARGETSOPT2"/>
      </w:tblPr>
      <w:tblGrid>
        <w:gridCol w:w="715"/>
        <w:gridCol w:w="857"/>
        <w:gridCol w:w="859"/>
        <w:gridCol w:w="859"/>
        <w:gridCol w:w="856"/>
        <w:gridCol w:w="859"/>
        <w:gridCol w:w="859"/>
        <w:gridCol w:w="856"/>
        <w:gridCol w:w="859"/>
      </w:tblGrid>
      <w:tr w:rsidR="00B67FCE" w:rsidRPr="00781112" w14:paraId="7594DC8D" w14:textId="0DC8B565" w:rsidTr="00845B9B">
        <w:trPr>
          <w:trHeight w:val="388"/>
          <w:tblHeader/>
        </w:trPr>
        <w:tc>
          <w:tcPr>
            <w:tcW w:w="471" w:type="pct"/>
            <w:tcBorders>
              <w:bottom w:val="single" w:sz="4" w:space="0" w:color="auto"/>
            </w:tcBorders>
            <w:shd w:val="clear" w:color="auto" w:fill="auto"/>
          </w:tcPr>
          <w:p w14:paraId="7782F422" w14:textId="77777777" w:rsidR="00B67FCE" w:rsidRPr="00781112" w:rsidRDefault="00B67FCE" w:rsidP="00B21923">
            <w:pPr>
              <w:jc w:val="center"/>
              <w:rPr>
                <w:b/>
                <w:color w:val="000000" w:themeColor="text1"/>
              </w:rPr>
            </w:pPr>
            <w:r w:rsidRPr="00781112">
              <w:rPr>
                <w:b/>
                <w:color w:val="000000" w:themeColor="text1"/>
              </w:rPr>
              <w:t>FFY</w:t>
            </w:r>
          </w:p>
        </w:tc>
        <w:tc>
          <w:tcPr>
            <w:tcW w:w="565" w:type="pct"/>
            <w:shd w:val="clear" w:color="auto" w:fill="auto"/>
            <w:vAlign w:val="center"/>
          </w:tcPr>
          <w:p w14:paraId="0940A41B" w14:textId="351D26A3" w:rsidR="00B67FCE" w:rsidRPr="00781112" w:rsidRDefault="00B67FCE" w:rsidP="006D0A52">
            <w:pPr>
              <w:pStyle w:val="TableHead"/>
              <w:rPr>
                <w:b w:val="0"/>
                <w:color w:val="000000" w:themeColor="text1"/>
              </w:rPr>
            </w:pPr>
            <w:r>
              <w:t>2022 (low)</w:t>
            </w:r>
          </w:p>
        </w:tc>
        <w:tc>
          <w:tcPr>
            <w:tcW w:w="566" w:type="pct"/>
            <w:shd w:val="clear" w:color="auto" w:fill="auto"/>
            <w:vAlign w:val="center"/>
          </w:tcPr>
          <w:p w14:paraId="75DCC28C" w14:textId="3A601D39" w:rsidR="00B67FCE" w:rsidRPr="00781112" w:rsidRDefault="00B67FCE" w:rsidP="006D0A52">
            <w:pPr>
              <w:pStyle w:val="TableHead"/>
              <w:rPr>
                <w:b w:val="0"/>
                <w:color w:val="000000" w:themeColor="text1"/>
              </w:rPr>
            </w:pPr>
            <w:r>
              <w:t>2022 (high)</w:t>
            </w:r>
          </w:p>
        </w:tc>
        <w:tc>
          <w:tcPr>
            <w:tcW w:w="567" w:type="pct"/>
            <w:vAlign w:val="center"/>
          </w:tcPr>
          <w:p w14:paraId="67E399A3" w14:textId="144DDDAA" w:rsidR="00B67FCE" w:rsidRPr="00781112" w:rsidRDefault="00B67FCE" w:rsidP="006D0A52">
            <w:pPr>
              <w:pStyle w:val="TableHead"/>
              <w:rPr>
                <w:b w:val="0"/>
                <w:color w:val="000000" w:themeColor="text1"/>
              </w:rPr>
            </w:pPr>
            <w:r>
              <w:t>2023 (low)</w:t>
            </w:r>
          </w:p>
        </w:tc>
        <w:tc>
          <w:tcPr>
            <w:tcW w:w="565" w:type="pct"/>
            <w:vAlign w:val="center"/>
          </w:tcPr>
          <w:p w14:paraId="2189FA07" w14:textId="0A3D80F4" w:rsidR="00B67FCE" w:rsidRPr="00781112" w:rsidRDefault="00B67FCE" w:rsidP="006D0A52">
            <w:pPr>
              <w:pStyle w:val="TableHead"/>
              <w:rPr>
                <w:b w:val="0"/>
                <w:color w:val="000000" w:themeColor="text1"/>
              </w:rPr>
            </w:pPr>
            <w:r>
              <w:t>2023 (high)</w:t>
            </w:r>
          </w:p>
        </w:tc>
        <w:tc>
          <w:tcPr>
            <w:tcW w:w="567" w:type="pct"/>
            <w:vAlign w:val="center"/>
          </w:tcPr>
          <w:p w14:paraId="4549A307" w14:textId="7488BAF9" w:rsidR="00B67FCE" w:rsidRPr="00781112" w:rsidRDefault="00B67FCE" w:rsidP="006D0A52">
            <w:pPr>
              <w:pStyle w:val="TableHead"/>
              <w:rPr>
                <w:b w:val="0"/>
                <w:color w:val="000000" w:themeColor="text1"/>
              </w:rPr>
            </w:pPr>
            <w:r>
              <w:t>2024 (low)</w:t>
            </w:r>
          </w:p>
        </w:tc>
        <w:tc>
          <w:tcPr>
            <w:tcW w:w="567" w:type="pct"/>
            <w:vAlign w:val="center"/>
          </w:tcPr>
          <w:p w14:paraId="35001E22" w14:textId="3C79D459" w:rsidR="00B67FCE" w:rsidRPr="00781112" w:rsidRDefault="00B67FCE" w:rsidP="006D0A52">
            <w:pPr>
              <w:pStyle w:val="TableHead"/>
              <w:rPr>
                <w:b w:val="0"/>
                <w:color w:val="000000" w:themeColor="text1"/>
              </w:rPr>
            </w:pPr>
            <w:r>
              <w:t>2024 (high)</w:t>
            </w:r>
          </w:p>
        </w:tc>
        <w:tc>
          <w:tcPr>
            <w:tcW w:w="565" w:type="pct"/>
            <w:vAlign w:val="center"/>
          </w:tcPr>
          <w:p w14:paraId="6090C8FA" w14:textId="28D437C5" w:rsidR="00B67FCE" w:rsidRPr="00781112" w:rsidRDefault="00B67FCE" w:rsidP="006D0A52">
            <w:pPr>
              <w:pStyle w:val="TableHead"/>
              <w:rPr>
                <w:b w:val="0"/>
                <w:color w:val="000000" w:themeColor="text1"/>
              </w:rPr>
            </w:pPr>
            <w:r>
              <w:t>2025 (low)</w:t>
            </w:r>
          </w:p>
        </w:tc>
        <w:tc>
          <w:tcPr>
            <w:tcW w:w="567" w:type="pct"/>
            <w:vAlign w:val="center"/>
          </w:tcPr>
          <w:p w14:paraId="2D7B1BBA" w14:textId="706C4772" w:rsidR="00B67FCE" w:rsidRPr="00781112" w:rsidRDefault="00B67FCE" w:rsidP="006D0A52">
            <w:pPr>
              <w:pStyle w:val="TableHead"/>
              <w:rPr>
                <w:b w:val="0"/>
                <w:color w:val="000000" w:themeColor="text1"/>
              </w:rPr>
            </w:pPr>
            <w:r>
              <w:t>2025 (high)</w:t>
            </w:r>
          </w:p>
        </w:tc>
      </w:tr>
      <w:tr w:rsidR="00B67FCE" w:rsidRPr="00781112" w14:paraId="0CEA7EF8" w14:textId="0DA095AE" w:rsidTr="00845B9B">
        <w:trPr>
          <w:trHeight w:val="720"/>
        </w:trPr>
        <w:tc>
          <w:tcPr>
            <w:tcW w:w="471" w:type="pct"/>
            <w:shd w:val="clear" w:color="auto" w:fill="auto"/>
          </w:tcPr>
          <w:p w14:paraId="6ADDF8BE" w14:textId="11FEAEBB" w:rsidR="00B67FCE" w:rsidRPr="00781112" w:rsidRDefault="00B67FCE" w:rsidP="00643D78">
            <w:pPr>
              <w:jc w:val="center"/>
              <w:rPr>
                <w:rFonts w:cs="Arial"/>
                <w:color w:val="000000" w:themeColor="text1"/>
                <w:szCs w:val="16"/>
              </w:rPr>
            </w:pPr>
            <w:r w:rsidRPr="00781112">
              <w:rPr>
                <w:rFonts w:cs="Arial"/>
                <w:color w:val="000000" w:themeColor="text1"/>
                <w:szCs w:val="16"/>
              </w:rPr>
              <w:t>Target &gt;=</w:t>
            </w:r>
          </w:p>
        </w:tc>
        <w:tc>
          <w:tcPr>
            <w:tcW w:w="565" w:type="pct"/>
            <w:shd w:val="clear" w:color="auto" w:fill="auto"/>
          </w:tcPr>
          <w:p w14:paraId="609C8409" w14:textId="492FAFE6" w:rsidR="00B67FCE" w:rsidRPr="00781112" w:rsidRDefault="00B67FCE" w:rsidP="00643D78">
            <w:pPr>
              <w:jc w:val="center"/>
              <w:rPr>
                <w:rFonts w:cs="Arial"/>
                <w:color w:val="000000" w:themeColor="text1"/>
                <w:szCs w:val="16"/>
              </w:rPr>
            </w:pPr>
            <w:r w:rsidRPr="00781112">
              <w:rPr>
                <w:rFonts w:cs="Arial"/>
                <w:color w:val="000000" w:themeColor="text1"/>
                <w:szCs w:val="16"/>
              </w:rPr>
              <w:t>70.00%</w:t>
            </w:r>
          </w:p>
        </w:tc>
        <w:tc>
          <w:tcPr>
            <w:tcW w:w="566" w:type="pct"/>
            <w:shd w:val="clear" w:color="auto" w:fill="auto"/>
          </w:tcPr>
          <w:p w14:paraId="6F824693" w14:textId="4FFC86A6" w:rsidR="00B67FCE" w:rsidRPr="00781112" w:rsidRDefault="00B67FCE" w:rsidP="00643D78">
            <w:pPr>
              <w:jc w:val="center"/>
              <w:rPr>
                <w:rFonts w:cs="Arial"/>
                <w:color w:val="000000" w:themeColor="text1"/>
                <w:szCs w:val="16"/>
              </w:rPr>
            </w:pPr>
            <w:r w:rsidRPr="00781112">
              <w:rPr>
                <w:rFonts w:cs="Arial"/>
                <w:color w:val="000000" w:themeColor="text1"/>
                <w:szCs w:val="16"/>
              </w:rPr>
              <w:t>80.00%</w:t>
            </w:r>
          </w:p>
        </w:tc>
        <w:tc>
          <w:tcPr>
            <w:tcW w:w="567" w:type="pct"/>
          </w:tcPr>
          <w:p w14:paraId="649AE909" w14:textId="0F92F564" w:rsidR="00B67FCE" w:rsidRPr="00781112" w:rsidRDefault="00B67FCE" w:rsidP="00643D78">
            <w:pPr>
              <w:jc w:val="center"/>
              <w:rPr>
                <w:rFonts w:cs="Arial"/>
                <w:color w:val="000000" w:themeColor="text1"/>
                <w:szCs w:val="16"/>
              </w:rPr>
            </w:pPr>
            <w:r w:rsidRPr="00781112">
              <w:rPr>
                <w:rFonts w:cs="Arial"/>
                <w:color w:val="000000" w:themeColor="text1"/>
                <w:szCs w:val="16"/>
              </w:rPr>
              <w:t>70.00%</w:t>
            </w:r>
          </w:p>
        </w:tc>
        <w:tc>
          <w:tcPr>
            <w:tcW w:w="565" w:type="pct"/>
          </w:tcPr>
          <w:p w14:paraId="25EADA49" w14:textId="5D988809" w:rsidR="00B67FCE" w:rsidRPr="00781112" w:rsidRDefault="00B67FCE" w:rsidP="00643D78">
            <w:pPr>
              <w:jc w:val="center"/>
              <w:rPr>
                <w:rFonts w:cs="Arial"/>
                <w:color w:val="000000" w:themeColor="text1"/>
                <w:szCs w:val="16"/>
              </w:rPr>
            </w:pPr>
            <w:r w:rsidRPr="00781112">
              <w:rPr>
                <w:rFonts w:cs="Arial"/>
                <w:color w:val="000000" w:themeColor="text1"/>
                <w:szCs w:val="16"/>
              </w:rPr>
              <w:t>80.00%</w:t>
            </w:r>
          </w:p>
        </w:tc>
        <w:tc>
          <w:tcPr>
            <w:tcW w:w="567" w:type="pct"/>
          </w:tcPr>
          <w:p w14:paraId="3DC4D818" w14:textId="0C27E24D" w:rsidR="00B67FCE" w:rsidRPr="00781112" w:rsidRDefault="00B67FCE" w:rsidP="00643D78">
            <w:pPr>
              <w:jc w:val="center"/>
              <w:rPr>
                <w:rFonts w:cs="Arial"/>
                <w:color w:val="000000" w:themeColor="text1"/>
                <w:szCs w:val="16"/>
              </w:rPr>
            </w:pPr>
            <w:r w:rsidRPr="00781112">
              <w:rPr>
                <w:rFonts w:cs="Arial"/>
                <w:color w:val="000000" w:themeColor="text1"/>
                <w:szCs w:val="16"/>
              </w:rPr>
              <w:t>70.00%</w:t>
            </w:r>
          </w:p>
        </w:tc>
        <w:tc>
          <w:tcPr>
            <w:tcW w:w="567" w:type="pct"/>
          </w:tcPr>
          <w:p w14:paraId="43A2E5B0" w14:textId="3FA796D7" w:rsidR="00B67FCE" w:rsidRPr="00781112" w:rsidRDefault="00B67FCE" w:rsidP="00643D78">
            <w:pPr>
              <w:jc w:val="center"/>
              <w:rPr>
                <w:rFonts w:cs="Arial"/>
                <w:color w:val="000000" w:themeColor="text1"/>
                <w:szCs w:val="16"/>
              </w:rPr>
            </w:pPr>
            <w:r w:rsidRPr="00781112">
              <w:rPr>
                <w:rFonts w:cs="Arial"/>
                <w:color w:val="000000" w:themeColor="text1"/>
                <w:szCs w:val="16"/>
              </w:rPr>
              <w:t>80.00%</w:t>
            </w:r>
          </w:p>
        </w:tc>
        <w:tc>
          <w:tcPr>
            <w:tcW w:w="565" w:type="pct"/>
          </w:tcPr>
          <w:p w14:paraId="5B526A07" w14:textId="0569A055" w:rsidR="00B67FCE" w:rsidRPr="00781112" w:rsidRDefault="00B67FCE" w:rsidP="00643D78">
            <w:pPr>
              <w:jc w:val="center"/>
              <w:rPr>
                <w:rFonts w:cs="Arial"/>
                <w:color w:val="000000" w:themeColor="text1"/>
                <w:szCs w:val="16"/>
              </w:rPr>
            </w:pPr>
            <w:r w:rsidRPr="00781112">
              <w:rPr>
                <w:rFonts w:cs="Arial"/>
                <w:color w:val="000000" w:themeColor="text1"/>
                <w:szCs w:val="16"/>
              </w:rPr>
              <w:t>70.00%</w:t>
            </w:r>
          </w:p>
        </w:tc>
        <w:tc>
          <w:tcPr>
            <w:tcW w:w="567" w:type="pct"/>
          </w:tcPr>
          <w:p w14:paraId="03BA6743" w14:textId="1B527A38" w:rsidR="00B67FCE" w:rsidRPr="00781112" w:rsidRDefault="00B67FCE" w:rsidP="00643D78">
            <w:pPr>
              <w:jc w:val="center"/>
              <w:rPr>
                <w:rFonts w:cs="Arial"/>
                <w:color w:val="000000" w:themeColor="text1"/>
                <w:szCs w:val="16"/>
              </w:rPr>
            </w:pPr>
            <w:r w:rsidRPr="00781112">
              <w:rPr>
                <w:rFonts w:cs="Arial"/>
                <w:color w:val="000000" w:themeColor="text1"/>
                <w:szCs w:val="16"/>
              </w:rPr>
              <w:t>80.00%</w:t>
            </w:r>
          </w:p>
        </w:tc>
      </w:tr>
    </w:tbl>
    <w:p w14:paraId="5643C07C" w14:textId="77777777" w:rsidR="00CD061F" w:rsidRPr="00781112" w:rsidRDefault="00CD061F" w:rsidP="004369B2">
      <w:pPr>
        <w:rPr>
          <w:color w:val="000000" w:themeColor="text1"/>
        </w:rPr>
      </w:pPr>
    </w:p>
    <w:p w14:paraId="0068FA77" w14:textId="04FDDA2D" w:rsidR="00BB79DA" w:rsidRPr="00781112" w:rsidRDefault="0047313F" w:rsidP="00326814">
      <w:pPr>
        <w:rPr>
          <w:color w:val="000000" w:themeColor="text1"/>
        </w:rPr>
      </w:pPr>
      <w:r>
        <w:rPr>
          <w:b/>
          <w:color w:val="000000" w:themeColor="text1"/>
        </w:rPr>
        <w:t>FFY 2022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6CFFYAPRDATA1OPT2"/>
      </w:tblPr>
      <w:tblGrid>
        <w:gridCol w:w="1243"/>
        <w:gridCol w:w="1244"/>
        <w:gridCol w:w="1216"/>
        <w:gridCol w:w="965"/>
        <w:gridCol w:w="1414"/>
        <w:gridCol w:w="1434"/>
        <w:gridCol w:w="1121"/>
        <w:gridCol w:w="1093"/>
        <w:gridCol w:w="1060"/>
      </w:tblGrid>
      <w:tr w:rsidR="00B21923" w:rsidRPr="00781112" w14:paraId="5D1C0564" w14:textId="77777777" w:rsidTr="00B21923">
        <w:trPr>
          <w:trHeight w:val="354"/>
          <w:tblHeader/>
        </w:trPr>
        <w:tc>
          <w:tcPr>
            <w:tcW w:w="576" w:type="pct"/>
            <w:shd w:val="clear" w:color="auto" w:fill="auto"/>
          </w:tcPr>
          <w:p w14:paraId="0EA7D355" w14:textId="554AED11" w:rsidR="00B21923" w:rsidRPr="00781112" w:rsidRDefault="00B21923" w:rsidP="00B21923">
            <w:pPr>
              <w:jc w:val="center"/>
              <w:rPr>
                <w:rFonts w:cs="Arial"/>
                <w:b/>
                <w:color w:val="000000" w:themeColor="text1"/>
                <w:szCs w:val="16"/>
              </w:rPr>
            </w:pPr>
            <w:r w:rsidRPr="00781112">
              <w:rPr>
                <w:rFonts w:cs="Arial"/>
                <w:b/>
                <w:color w:val="000000" w:themeColor="text1"/>
                <w:szCs w:val="16"/>
              </w:rPr>
              <w:t>2.1.a.i Mediation agreements related to due process complaints</w:t>
            </w:r>
          </w:p>
        </w:tc>
        <w:tc>
          <w:tcPr>
            <w:tcW w:w="576" w:type="pct"/>
            <w:shd w:val="clear" w:color="auto" w:fill="auto"/>
            <w:vAlign w:val="bottom"/>
          </w:tcPr>
          <w:p w14:paraId="2A61707E" w14:textId="546E4FEF" w:rsidR="00B21923" w:rsidRPr="00781112" w:rsidRDefault="00B21923" w:rsidP="00B21923">
            <w:pPr>
              <w:jc w:val="center"/>
              <w:rPr>
                <w:rFonts w:cs="Arial"/>
                <w:b/>
                <w:color w:val="000000" w:themeColor="text1"/>
                <w:szCs w:val="16"/>
              </w:rPr>
            </w:pPr>
            <w:r w:rsidRPr="00781112">
              <w:rPr>
                <w:rFonts w:cs="Arial"/>
                <w:b/>
                <w:color w:val="000000" w:themeColor="text1"/>
                <w:szCs w:val="16"/>
              </w:rPr>
              <w:t>2.1.b.i Mediation agreements not related to due process complaints</w:t>
            </w:r>
          </w:p>
        </w:tc>
        <w:tc>
          <w:tcPr>
            <w:tcW w:w="563" w:type="pct"/>
            <w:shd w:val="clear" w:color="auto" w:fill="auto"/>
            <w:vAlign w:val="bottom"/>
          </w:tcPr>
          <w:p w14:paraId="77256D2F" w14:textId="63D373D6" w:rsidR="00B21923" w:rsidRPr="00781112" w:rsidRDefault="00B21923" w:rsidP="00B21923">
            <w:pPr>
              <w:jc w:val="center"/>
              <w:rPr>
                <w:rFonts w:cs="Arial"/>
                <w:b/>
                <w:color w:val="000000" w:themeColor="text1"/>
                <w:szCs w:val="16"/>
              </w:rPr>
            </w:pPr>
            <w:r w:rsidRPr="00781112">
              <w:rPr>
                <w:rFonts w:cs="Arial"/>
                <w:b/>
                <w:color w:val="000000" w:themeColor="text1"/>
                <w:szCs w:val="16"/>
              </w:rPr>
              <w:t>2.1 Number of mediations held</w:t>
            </w:r>
          </w:p>
        </w:tc>
        <w:tc>
          <w:tcPr>
            <w:tcW w:w="447" w:type="pct"/>
            <w:shd w:val="clear" w:color="auto" w:fill="auto"/>
            <w:vAlign w:val="bottom"/>
          </w:tcPr>
          <w:p w14:paraId="71DA94FD" w14:textId="19A7AA45" w:rsidR="00B21923" w:rsidRPr="00781112" w:rsidRDefault="00B21923" w:rsidP="00B21923">
            <w:pPr>
              <w:jc w:val="center"/>
              <w:rPr>
                <w:rFonts w:cs="Arial"/>
                <w:b/>
                <w:color w:val="000000" w:themeColor="text1"/>
                <w:szCs w:val="16"/>
              </w:rPr>
            </w:pPr>
            <w:r>
              <w:rPr>
                <w:rFonts w:cs="Arial"/>
                <w:b/>
                <w:szCs w:val="16"/>
              </w:rPr>
              <w:t>FFY 2021 Data</w:t>
            </w:r>
          </w:p>
        </w:tc>
        <w:tc>
          <w:tcPr>
            <w:tcW w:w="655" w:type="pct"/>
            <w:shd w:val="clear" w:color="auto" w:fill="auto"/>
            <w:vAlign w:val="bottom"/>
          </w:tcPr>
          <w:p w14:paraId="5E2122E9" w14:textId="503BDC34" w:rsidR="00B21923" w:rsidRPr="00781112" w:rsidRDefault="00B21923" w:rsidP="006D0A52">
            <w:pPr>
              <w:jc w:val="center"/>
              <w:rPr>
                <w:rFonts w:cs="Arial"/>
                <w:b/>
                <w:color w:val="000000" w:themeColor="text1"/>
                <w:szCs w:val="16"/>
              </w:rPr>
            </w:pPr>
            <w:r>
              <w:rPr>
                <w:rFonts w:cs="Arial"/>
                <w:b/>
                <w:szCs w:val="16"/>
              </w:rPr>
              <w:t>FFY 2022 Target (low)</w:t>
            </w:r>
          </w:p>
        </w:tc>
        <w:tc>
          <w:tcPr>
            <w:tcW w:w="665" w:type="pct"/>
            <w:shd w:val="clear" w:color="auto" w:fill="auto"/>
            <w:vAlign w:val="bottom"/>
          </w:tcPr>
          <w:p w14:paraId="6992A3EC" w14:textId="237B8724" w:rsidR="00B21923" w:rsidRPr="00781112" w:rsidRDefault="00B21923" w:rsidP="006D0A52">
            <w:pPr>
              <w:jc w:val="center"/>
              <w:rPr>
                <w:rFonts w:cs="Arial"/>
                <w:b/>
                <w:color w:val="000000" w:themeColor="text1"/>
                <w:szCs w:val="16"/>
              </w:rPr>
            </w:pPr>
            <w:r>
              <w:rPr>
                <w:rFonts w:cs="Arial"/>
                <w:b/>
                <w:szCs w:val="16"/>
              </w:rPr>
              <w:t>FFY 2022 Target (high)</w:t>
            </w:r>
          </w:p>
        </w:tc>
        <w:tc>
          <w:tcPr>
            <w:tcW w:w="519" w:type="pct"/>
            <w:shd w:val="clear" w:color="auto" w:fill="auto"/>
            <w:vAlign w:val="bottom"/>
          </w:tcPr>
          <w:p w14:paraId="39A771DF" w14:textId="54FC3828" w:rsidR="00B21923" w:rsidRPr="00781112" w:rsidRDefault="00B21923" w:rsidP="00B21923">
            <w:pPr>
              <w:jc w:val="center"/>
              <w:rPr>
                <w:rFonts w:cs="Arial"/>
                <w:b/>
                <w:color w:val="000000" w:themeColor="text1"/>
                <w:szCs w:val="16"/>
              </w:rPr>
            </w:pPr>
            <w:r>
              <w:rPr>
                <w:rFonts w:cs="Arial"/>
                <w:b/>
                <w:szCs w:val="16"/>
              </w:rPr>
              <w:t>FFY 2022 Data</w:t>
            </w:r>
          </w:p>
        </w:tc>
        <w:tc>
          <w:tcPr>
            <w:tcW w:w="506" w:type="pct"/>
            <w:shd w:val="clear" w:color="auto" w:fill="auto"/>
            <w:vAlign w:val="bottom"/>
          </w:tcPr>
          <w:p w14:paraId="67C84962" w14:textId="77777777" w:rsidR="00B21923" w:rsidRPr="00781112" w:rsidRDefault="00B21923" w:rsidP="00B21923">
            <w:pPr>
              <w:jc w:val="center"/>
              <w:rPr>
                <w:rFonts w:cs="Arial"/>
                <w:b/>
                <w:color w:val="000000" w:themeColor="text1"/>
                <w:szCs w:val="16"/>
              </w:rPr>
            </w:pPr>
            <w:r w:rsidRPr="00781112">
              <w:rPr>
                <w:rFonts w:cs="Arial"/>
                <w:b/>
                <w:color w:val="000000" w:themeColor="text1"/>
                <w:szCs w:val="16"/>
              </w:rPr>
              <w:t>Status</w:t>
            </w:r>
          </w:p>
        </w:tc>
        <w:tc>
          <w:tcPr>
            <w:tcW w:w="491" w:type="pct"/>
            <w:shd w:val="clear" w:color="auto" w:fill="auto"/>
            <w:vAlign w:val="bottom"/>
          </w:tcPr>
          <w:p w14:paraId="09B4187C" w14:textId="77777777" w:rsidR="00B21923" w:rsidRPr="00781112" w:rsidRDefault="00B21923" w:rsidP="00B21923">
            <w:pPr>
              <w:jc w:val="center"/>
              <w:rPr>
                <w:rFonts w:cs="Arial"/>
                <w:b/>
                <w:color w:val="000000" w:themeColor="text1"/>
                <w:szCs w:val="16"/>
              </w:rPr>
            </w:pPr>
            <w:r w:rsidRPr="00781112">
              <w:rPr>
                <w:rFonts w:cs="Arial"/>
                <w:b/>
                <w:color w:val="000000" w:themeColor="text1"/>
                <w:szCs w:val="16"/>
              </w:rPr>
              <w:t>Slippage</w:t>
            </w:r>
          </w:p>
        </w:tc>
      </w:tr>
      <w:tr w:rsidR="005C29F8" w:rsidRPr="00781112" w14:paraId="23776136" w14:textId="77777777" w:rsidTr="00B21923">
        <w:trPr>
          <w:trHeight w:val="361"/>
        </w:trPr>
        <w:tc>
          <w:tcPr>
            <w:tcW w:w="576" w:type="pct"/>
            <w:shd w:val="clear" w:color="auto" w:fill="auto"/>
          </w:tcPr>
          <w:p w14:paraId="11F3AAAC" w14:textId="18A50A23" w:rsidR="00ED71A6" w:rsidRPr="00781112" w:rsidRDefault="002B7490" w:rsidP="00A018D4">
            <w:pPr>
              <w:jc w:val="center"/>
              <w:rPr>
                <w:rFonts w:cs="Arial"/>
                <w:color w:val="000000" w:themeColor="text1"/>
                <w:szCs w:val="16"/>
              </w:rPr>
            </w:pPr>
            <w:r w:rsidRPr="00781112">
              <w:rPr>
                <w:rFonts w:cs="Arial"/>
                <w:color w:val="000000" w:themeColor="text1"/>
                <w:szCs w:val="16"/>
              </w:rPr>
              <w:t>18</w:t>
            </w:r>
          </w:p>
        </w:tc>
        <w:tc>
          <w:tcPr>
            <w:tcW w:w="576" w:type="pct"/>
            <w:shd w:val="clear" w:color="auto" w:fill="auto"/>
          </w:tcPr>
          <w:p w14:paraId="1707BDF3" w14:textId="6DDB1576" w:rsidR="00ED71A6" w:rsidRPr="00781112" w:rsidRDefault="002B7490" w:rsidP="00A018D4">
            <w:pPr>
              <w:jc w:val="center"/>
              <w:rPr>
                <w:rFonts w:cs="Arial"/>
                <w:color w:val="000000" w:themeColor="text1"/>
                <w:szCs w:val="16"/>
              </w:rPr>
            </w:pPr>
            <w:r w:rsidRPr="00781112">
              <w:rPr>
                <w:rFonts w:cs="Arial"/>
                <w:color w:val="000000" w:themeColor="text1"/>
                <w:szCs w:val="16"/>
              </w:rPr>
              <w:t>21</w:t>
            </w:r>
          </w:p>
        </w:tc>
        <w:tc>
          <w:tcPr>
            <w:tcW w:w="563" w:type="pct"/>
            <w:shd w:val="clear" w:color="auto" w:fill="auto"/>
            <w:vAlign w:val="center"/>
          </w:tcPr>
          <w:p w14:paraId="1F0EC6FB" w14:textId="7B32186B" w:rsidR="00ED71A6" w:rsidRPr="00781112" w:rsidRDefault="002B7490" w:rsidP="00A018D4">
            <w:pPr>
              <w:jc w:val="center"/>
              <w:rPr>
                <w:rFonts w:cs="Arial"/>
                <w:color w:val="000000" w:themeColor="text1"/>
                <w:szCs w:val="16"/>
              </w:rPr>
            </w:pPr>
            <w:r w:rsidRPr="00781112">
              <w:rPr>
                <w:rFonts w:cs="Arial"/>
                <w:color w:val="000000" w:themeColor="text1"/>
                <w:szCs w:val="16"/>
              </w:rPr>
              <w:t>50</w:t>
            </w:r>
          </w:p>
        </w:tc>
        <w:tc>
          <w:tcPr>
            <w:tcW w:w="447" w:type="pct"/>
            <w:shd w:val="clear" w:color="auto" w:fill="auto"/>
          </w:tcPr>
          <w:p w14:paraId="14F44B66" w14:textId="2D578106" w:rsidR="00ED71A6" w:rsidRPr="00781112" w:rsidRDefault="002B7490" w:rsidP="00A018D4">
            <w:pPr>
              <w:jc w:val="center"/>
              <w:rPr>
                <w:rFonts w:cs="Arial"/>
                <w:color w:val="000000" w:themeColor="text1"/>
                <w:szCs w:val="16"/>
              </w:rPr>
            </w:pPr>
            <w:r w:rsidRPr="00781112">
              <w:rPr>
                <w:rFonts w:cs="Arial"/>
                <w:color w:val="000000" w:themeColor="text1"/>
                <w:szCs w:val="16"/>
              </w:rPr>
              <w:t>79.31%</w:t>
            </w:r>
          </w:p>
        </w:tc>
        <w:tc>
          <w:tcPr>
            <w:tcW w:w="655" w:type="pct"/>
            <w:shd w:val="clear" w:color="auto" w:fill="auto"/>
          </w:tcPr>
          <w:p w14:paraId="7AFD5514" w14:textId="2BA34E2F" w:rsidR="00ED71A6" w:rsidRPr="00781112" w:rsidRDefault="002B7490" w:rsidP="00A018D4">
            <w:pPr>
              <w:jc w:val="center"/>
              <w:rPr>
                <w:rFonts w:cs="Arial"/>
                <w:color w:val="000000" w:themeColor="text1"/>
                <w:szCs w:val="16"/>
              </w:rPr>
            </w:pPr>
            <w:r w:rsidRPr="00781112">
              <w:rPr>
                <w:rFonts w:cs="Arial"/>
                <w:color w:val="000000" w:themeColor="text1"/>
                <w:szCs w:val="16"/>
              </w:rPr>
              <w:t>70.00%</w:t>
            </w:r>
          </w:p>
        </w:tc>
        <w:tc>
          <w:tcPr>
            <w:tcW w:w="665" w:type="pct"/>
            <w:shd w:val="clear" w:color="auto" w:fill="auto"/>
          </w:tcPr>
          <w:p w14:paraId="63B5D5FA" w14:textId="35BBEC35" w:rsidR="00ED71A6" w:rsidRPr="00781112" w:rsidRDefault="002B7490" w:rsidP="00A018D4">
            <w:pPr>
              <w:jc w:val="center"/>
              <w:rPr>
                <w:rFonts w:cs="Arial"/>
                <w:color w:val="000000" w:themeColor="text1"/>
                <w:szCs w:val="16"/>
              </w:rPr>
            </w:pPr>
            <w:r w:rsidRPr="00781112">
              <w:rPr>
                <w:rFonts w:cs="Arial"/>
                <w:color w:val="000000" w:themeColor="text1"/>
                <w:szCs w:val="16"/>
              </w:rPr>
              <w:t>80.00%</w:t>
            </w:r>
          </w:p>
        </w:tc>
        <w:tc>
          <w:tcPr>
            <w:tcW w:w="519" w:type="pct"/>
            <w:shd w:val="clear" w:color="auto" w:fill="auto"/>
          </w:tcPr>
          <w:p w14:paraId="51DEBF72" w14:textId="0469C535" w:rsidR="00ED71A6" w:rsidRPr="00781112" w:rsidRDefault="002B7490" w:rsidP="00A018D4">
            <w:pPr>
              <w:jc w:val="center"/>
              <w:rPr>
                <w:rFonts w:cs="Arial"/>
                <w:color w:val="000000" w:themeColor="text1"/>
                <w:szCs w:val="16"/>
              </w:rPr>
            </w:pPr>
            <w:r w:rsidRPr="00781112">
              <w:rPr>
                <w:rFonts w:cs="Arial"/>
                <w:color w:val="000000" w:themeColor="text1"/>
                <w:szCs w:val="16"/>
              </w:rPr>
              <w:t>78.00%</w:t>
            </w:r>
          </w:p>
        </w:tc>
        <w:tc>
          <w:tcPr>
            <w:tcW w:w="506" w:type="pct"/>
            <w:shd w:val="clear" w:color="auto" w:fill="auto"/>
          </w:tcPr>
          <w:p w14:paraId="69635A45" w14:textId="0C4EC3A8" w:rsidR="00ED71A6"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491" w:type="pct"/>
            <w:shd w:val="clear" w:color="auto" w:fill="auto"/>
          </w:tcPr>
          <w:p w14:paraId="238AEB73" w14:textId="674F2119" w:rsidR="00ED71A6"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7653BA1E" w14:textId="77777777" w:rsidR="00913A33" w:rsidRPr="00781112" w:rsidRDefault="00913A33" w:rsidP="00913A33">
      <w:pPr>
        <w:rPr>
          <w:rFonts w:cs="Arial"/>
          <w:b/>
          <w:color w:val="000000" w:themeColor="text1"/>
          <w:szCs w:val="16"/>
        </w:rPr>
      </w:pPr>
      <w:r w:rsidRPr="00781112">
        <w:rPr>
          <w:rFonts w:cs="Arial"/>
          <w:b/>
          <w:color w:val="000000" w:themeColor="text1"/>
          <w:szCs w:val="16"/>
        </w:rPr>
        <w:t>Provide additional information about this indicator (optional)</w:t>
      </w:r>
    </w:p>
    <w:p w14:paraId="609BD927" w14:textId="47FAE461" w:rsidR="00293C7E" w:rsidRPr="00781112" w:rsidRDefault="002B7490" w:rsidP="007D435F">
      <w:pPr>
        <w:rPr>
          <w:rFonts w:cs="Arial"/>
          <w:color w:val="000000" w:themeColor="text1"/>
          <w:szCs w:val="16"/>
        </w:rPr>
      </w:pPr>
      <w:r w:rsidRPr="00781112">
        <w:rPr>
          <w:rFonts w:cs="Arial"/>
          <w:color w:val="000000" w:themeColor="text1"/>
          <w:szCs w:val="16"/>
        </w:rPr>
        <w:t/>
      </w:r>
    </w:p>
    <w:p w14:paraId="01544738" w14:textId="0D3ECCB4" w:rsidR="00293C7E" w:rsidRPr="00781112" w:rsidRDefault="001C46DC" w:rsidP="00123D76">
      <w:pPr>
        <w:pStyle w:val="Heading2"/>
      </w:pPr>
      <w:r w:rsidRPr="00781112">
        <w:t>16</w:t>
      </w:r>
      <w:r w:rsidR="001D508D" w:rsidRPr="00781112">
        <w:t xml:space="preserve"> </w:t>
      </w:r>
      <w:r w:rsidRPr="00781112">
        <w:t xml:space="preserve">- </w:t>
      </w:r>
      <w:r w:rsidR="00293C7E" w:rsidRPr="00781112">
        <w:t>Prior FFY Required Actions</w:t>
      </w:r>
    </w:p>
    <w:p w14:paraId="7049B053" w14:textId="64040937" w:rsidR="009F69E7" w:rsidRPr="00781112" w:rsidRDefault="002B7490" w:rsidP="00293C7E">
      <w:pPr>
        <w:rPr>
          <w:rFonts w:cs="Arial"/>
          <w:color w:val="000000" w:themeColor="text1"/>
          <w:szCs w:val="16"/>
        </w:rPr>
      </w:pPr>
      <w:r w:rsidRPr="00781112">
        <w:rPr>
          <w:rFonts w:cs="Arial"/>
          <w:color w:val="000000" w:themeColor="text1"/>
          <w:szCs w:val="16"/>
        </w:rPr>
        <w:t>None</w:t>
      </w:r>
    </w:p>
    <w:p w14:paraId="169C5129" w14:textId="3D3FC1C0" w:rsidR="00913A33" w:rsidRPr="00781112" w:rsidRDefault="001C46DC" w:rsidP="00123D76">
      <w:pPr>
        <w:pStyle w:val="Heading2"/>
      </w:pPr>
      <w:r w:rsidRPr="00781112">
        <w:t>16 - OSEP Response</w:t>
      </w:r>
    </w:p>
    <w:p w14:paraId="5F7A0890" w14:textId="4F76A7D5" w:rsidR="00293C7E" w:rsidRPr="00781112" w:rsidRDefault="002B7490" w:rsidP="001F692C">
      <w:pPr>
        <w:rPr>
          <w:rFonts w:cs="Arial"/>
          <w:color w:val="000000" w:themeColor="text1"/>
          <w:szCs w:val="16"/>
        </w:rPr>
      </w:pPr>
      <w:r w:rsidRPr="00781112">
        <w:rPr>
          <w:rFonts w:cs="Arial"/>
          <w:color w:val="000000" w:themeColor="text1"/>
          <w:szCs w:val="16"/>
        </w:rPr>
        <w:t/>
      </w:r>
    </w:p>
    <w:p w14:paraId="55A8CDDB" w14:textId="51F8AA9B" w:rsidR="00913A33" w:rsidRPr="00781112" w:rsidRDefault="001C46DC" w:rsidP="00123D76">
      <w:pPr>
        <w:pStyle w:val="Heading2"/>
      </w:pPr>
      <w:r w:rsidRPr="00781112">
        <w:t>16 - Required Actions</w:t>
      </w:r>
    </w:p>
    <w:p w14:paraId="72813E4E" w14:textId="532E1944" w:rsidR="00293C7E" w:rsidRPr="00781112" w:rsidRDefault="002B7490" w:rsidP="001F692C">
      <w:pPr>
        <w:rPr>
          <w:rFonts w:cs="Arial"/>
          <w:color w:val="000000" w:themeColor="text1"/>
          <w:szCs w:val="16"/>
        </w:rPr>
      </w:pPr>
      <w:r w:rsidRPr="00781112">
        <w:rPr>
          <w:rFonts w:cs="Arial"/>
          <w:color w:val="000000" w:themeColor="text1"/>
          <w:szCs w:val="16"/>
        </w:rPr>
        <w:t/>
      </w:r>
    </w:p>
    <w:p w14:paraId="79966887" w14:textId="11440645" w:rsidR="00755AF7" w:rsidRPr="00781112" w:rsidRDefault="00755AF7">
      <w:pPr>
        <w:spacing w:before="0" w:after="200" w:line="276" w:lineRule="auto"/>
        <w:rPr>
          <w:rFonts w:cs="Arial"/>
          <w:color w:val="000000" w:themeColor="text1"/>
          <w:szCs w:val="16"/>
        </w:rPr>
      </w:pPr>
    </w:p>
    <w:p w14:paraId="40F6AE64" w14:textId="77777777" w:rsidR="00AE1972" w:rsidRPr="00781112" w:rsidRDefault="00AE1972">
      <w:pPr>
        <w:spacing w:before="0" w:after="200" w:line="276" w:lineRule="auto"/>
        <w:rPr>
          <w:color w:val="000000" w:themeColor="text1"/>
        </w:rPr>
      </w:pPr>
      <w:r w:rsidRPr="00781112">
        <w:rPr>
          <w:color w:val="000000" w:themeColor="text1"/>
        </w:rPr>
        <w:br w:type="page"/>
      </w:r>
    </w:p>
    <w:p w14:paraId="528D0D37" w14:textId="5C401108" w:rsidR="00AE1972" w:rsidRPr="00781112" w:rsidRDefault="00AE1972" w:rsidP="00AE1972">
      <w:pPr>
        <w:pStyle w:val="Heading1"/>
        <w:rPr>
          <w:color w:val="000000" w:themeColor="text1"/>
        </w:rPr>
      </w:pPr>
      <w:r w:rsidRPr="00781112">
        <w:rPr>
          <w:color w:val="000000" w:themeColor="text1"/>
        </w:rPr>
        <w:lastRenderedPageBreak/>
        <w:t>Indicator 17: State Systemic Improvement Plan</w:t>
      </w:r>
    </w:p>
    <w:p w14:paraId="0840DD7C" w14:textId="77777777" w:rsidR="00AE1972" w:rsidRPr="00781112" w:rsidRDefault="00AE1972" w:rsidP="00AE1972">
      <w:pPr>
        <w:rPr>
          <w:color w:val="000000" w:themeColor="text1"/>
          <w:szCs w:val="20"/>
        </w:rPr>
      </w:pPr>
      <w:r w:rsidRPr="00781112">
        <w:rPr>
          <w:b/>
          <w:color w:val="000000" w:themeColor="text1"/>
          <w:sz w:val="20"/>
          <w:szCs w:val="20"/>
        </w:rPr>
        <w:t>Instructions and Measurement</w:t>
      </w:r>
    </w:p>
    <w:p w14:paraId="3B7DA41B" w14:textId="77777777" w:rsidR="00AE1972" w:rsidRPr="00781112" w:rsidRDefault="00AE1972" w:rsidP="00AE1972">
      <w:pPr>
        <w:rPr>
          <w:color w:val="000000" w:themeColor="text1"/>
          <w:szCs w:val="16"/>
        </w:rPr>
      </w:pPr>
      <w:r w:rsidRPr="00781112">
        <w:rPr>
          <w:b/>
          <w:color w:val="000000" w:themeColor="text1"/>
          <w:szCs w:val="16"/>
        </w:rPr>
        <w:t xml:space="preserve">Monitoring Priority: </w:t>
      </w:r>
      <w:r w:rsidRPr="00781112">
        <w:rPr>
          <w:color w:val="000000" w:themeColor="text1"/>
          <w:szCs w:val="16"/>
        </w:rPr>
        <w:t xml:space="preserve">General Supervision </w:t>
      </w:r>
    </w:p>
    <w:p w14:paraId="5E0D7347" w14:textId="77777777" w:rsidR="00AE1972" w:rsidRPr="00781112" w:rsidRDefault="00AE1972" w:rsidP="00AE1972">
      <w:pPr>
        <w:rPr>
          <w:b/>
          <w:color w:val="000000" w:themeColor="text1"/>
          <w:szCs w:val="16"/>
        </w:rPr>
      </w:pPr>
      <w:r w:rsidRPr="00781112">
        <w:rPr>
          <w:color w:val="000000" w:themeColor="text1"/>
          <w:szCs w:val="16"/>
        </w:rPr>
        <w:t>The State’s SPP/APR includes a State Systemic Improvement Plan (SSIP) that meets the requirements set forth for this indicator.</w:t>
      </w:r>
    </w:p>
    <w:p w14:paraId="450C51F8" w14:textId="77777777" w:rsidR="00AE1972" w:rsidRPr="00781112" w:rsidRDefault="00AE1972" w:rsidP="00AE1972">
      <w:pPr>
        <w:rPr>
          <w:b/>
          <w:color w:val="000000" w:themeColor="text1"/>
        </w:rPr>
      </w:pPr>
      <w:r w:rsidRPr="00781112">
        <w:rPr>
          <w:b/>
          <w:color w:val="000000" w:themeColor="text1"/>
        </w:rPr>
        <w:t>Measurement</w:t>
      </w:r>
    </w:p>
    <w:p w14:paraId="04B17582" w14:textId="6FB0482A" w:rsidR="00AE1972" w:rsidRPr="00781112" w:rsidRDefault="00AE1972" w:rsidP="00AE1972">
      <w:r w:rsidRPr="00781112">
        <w:t xml:space="preserve">The State’s SPP/APR includes an SSIP that is a comprehensive, ambitious, yet achievable multi-year plan for improving results </w:t>
      </w:r>
      <w:r w:rsidR="00002E37" w:rsidRPr="00651E83">
        <w:rPr>
          <w:rFonts w:cs="Arial"/>
          <w:szCs w:val="16"/>
        </w:rPr>
        <w:t xml:space="preserve">for </w:t>
      </w:r>
      <w:r w:rsidR="006B5750">
        <w:rPr>
          <w:rFonts w:cs="Arial"/>
          <w:szCs w:val="16"/>
        </w:rPr>
        <w:t>children</w:t>
      </w:r>
      <w:r w:rsidR="006B5750" w:rsidRPr="00651E83">
        <w:rPr>
          <w:rFonts w:cs="Arial"/>
          <w:szCs w:val="16"/>
        </w:rPr>
        <w:t xml:space="preserve"> </w:t>
      </w:r>
      <w:r w:rsidR="00002E37" w:rsidRPr="00651E83">
        <w:rPr>
          <w:rFonts w:cs="Arial"/>
          <w:szCs w:val="16"/>
        </w:rPr>
        <w:t>with disabilities</w:t>
      </w:r>
      <w:r w:rsidRPr="00781112">
        <w:t>. The SSIP includes each of the components described below.</w:t>
      </w:r>
    </w:p>
    <w:p w14:paraId="26F5AA9C" w14:textId="77777777" w:rsidR="00AE1972" w:rsidRPr="00781112" w:rsidRDefault="00AE1972" w:rsidP="00AE1972">
      <w:pPr>
        <w:rPr>
          <w:b/>
          <w:color w:val="000000" w:themeColor="text1"/>
        </w:rPr>
      </w:pPr>
      <w:r w:rsidRPr="00781112">
        <w:rPr>
          <w:b/>
          <w:color w:val="000000" w:themeColor="text1"/>
        </w:rPr>
        <w:t>Instructions</w:t>
      </w:r>
    </w:p>
    <w:p w14:paraId="399EE6DB" w14:textId="5C211478" w:rsidR="00AE1972" w:rsidRPr="00781112" w:rsidRDefault="00AE1972" w:rsidP="00AE1972">
      <w:r w:rsidRPr="00781112">
        <w:rPr>
          <w:b/>
          <w:iCs/>
          <w:u w:val="single"/>
        </w:rPr>
        <w:t>Baseline Data</w:t>
      </w:r>
      <w:r w:rsidRPr="00781112">
        <w:rPr>
          <w:b/>
          <w:i/>
        </w:rPr>
        <w:t>:</w:t>
      </w:r>
      <w:r w:rsidRPr="00781112">
        <w:t xml:space="preserve"> The State must provide baseline data that must be expressed as a percentage and which is aligned with the State-identified Measurable Result(s) </w:t>
      </w:r>
      <w:r w:rsidR="00EE0EC5">
        <w:t>(</w:t>
      </w:r>
      <w:proofErr w:type="spellStart"/>
      <w:r w:rsidR="00EE0EC5">
        <w:t>SiMR</w:t>
      </w:r>
      <w:proofErr w:type="spellEnd"/>
      <w:r w:rsidR="00EE0EC5">
        <w:t xml:space="preserve">) </w:t>
      </w:r>
      <w:r w:rsidRPr="00781112">
        <w:t xml:space="preserve">for </w:t>
      </w:r>
      <w:r w:rsidR="00B00A11" w:rsidRPr="00781112">
        <w:rPr>
          <w:rFonts w:cs="Arial"/>
          <w:szCs w:val="16"/>
        </w:rPr>
        <w:t>Children with Disabilities.</w:t>
      </w:r>
    </w:p>
    <w:p w14:paraId="200B44A4" w14:textId="667A0BAA" w:rsidR="00AE1972" w:rsidRPr="00781112" w:rsidRDefault="00AE1972" w:rsidP="00AE1972">
      <w:r w:rsidRPr="00781112">
        <w:rPr>
          <w:b/>
          <w:iCs/>
          <w:u w:val="single"/>
        </w:rPr>
        <w:t>Targets</w:t>
      </w:r>
      <w:r w:rsidRPr="00781112">
        <w:rPr>
          <w:b/>
          <w:i/>
        </w:rPr>
        <w:t>:</w:t>
      </w:r>
      <w:r w:rsidRPr="00781112">
        <w:t xml:space="preserve"> </w:t>
      </w:r>
      <w:r w:rsidR="00E101A7" w:rsidRPr="00781112">
        <w:rPr>
          <w:rFonts w:cs="Arial"/>
          <w:szCs w:val="16"/>
        </w:rPr>
        <w:t xml:space="preserve">In its </w:t>
      </w:r>
      <w:r w:rsidR="0047313F">
        <w:rPr>
          <w:rFonts w:cs="Arial"/>
          <w:szCs w:val="16"/>
        </w:rPr>
        <w:t>FFY 202</w:t>
      </w:r>
      <w:r w:rsidR="00B632B8">
        <w:rPr>
          <w:rFonts w:cs="Arial"/>
          <w:szCs w:val="16"/>
        </w:rPr>
        <w:t>0</w:t>
      </w:r>
      <w:r w:rsidR="0047313F">
        <w:rPr>
          <w:rFonts w:cs="Arial"/>
          <w:szCs w:val="16"/>
        </w:rPr>
        <w:t xml:space="preserve"> SPP/APR, due </w:t>
      </w:r>
      <w:r w:rsidR="00AD1B29">
        <w:rPr>
          <w:rFonts w:cs="Arial"/>
          <w:szCs w:val="16"/>
        </w:rPr>
        <w:t>February 1, 202</w:t>
      </w:r>
      <w:r w:rsidR="00B632B8">
        <w:rPr>
          <w:rFonts w:cs="Arial"/>
          <w:szCs w:val="16"/>
        </w:rPr>
        <w:t>2</w:t>
      </w:r>
      <w:r w:rsidR="00E101A7" w:rsidRPr="00781112">
        <w:rPr>
          <w:rFonts w:cs="Arial"/>
          <w:szCs w:val="16"/>
        </w:rPr>
        <w:t xml:space="preserve">, the State must provide measurable and rigorous targets (expressed as percentages) for each of the </w:t>
      </w:r>
      <w:r w:rsidR="00F35094">
        <w:rPr>
          <w:rFonts w:cs="Arial"/>
          <w:szCs w:val="16"/>
        </w:rPr>
        <w:t xml:space="preserve">six </w:t>
      </w:r>
      <w:r w:rsidR="00E101A7" w:rsidRPr="00781112">
        <w:rPr>
          <w:rFonts w:cs="Arial"/>
          <w:szCs w:val="16"/>
        </w:rPr>
        <w:t xml:space="preserve">years from FFY </w:t>
      </w:r>
      <w:r w:rsidR="00B21923" w:rsidRPr="00781112">
        <w:rPr>
          <w:rFonts w:cs="Arial"/>
          <w:szCs w:val="16"/>
        </w:rPr>
        <w:t>202</w:t>
      </w:r>
      <w:r w:rsidR="00B632B8">
        <w:rPr>
          <w:rFonts w:cs="Arial"/>
          <w:szCs w:val="16"/>
        </w:rPr>
        <w:t>0</w:t>
      </w:r>
      <w:r w:rsidR="00B21923" w:rsidRPr="00781112">
        <w:rPr>
          <w:rFonts w:cs="Arial"/>
          <w:szCs w:val="16"/>
        </w:rPr>
        <w:t xml:space="preserve"> </w:t>
      </w:r>
      <w:r w:rsidR="00E101A7" w:rsidRPr="00781112">
        <w:rPr>
          <w:rFonts w:cs="Arial"/>
          <w:szCs w:val="16"/>
        </w:rPr>
        <w:t>through FFY 2025. The State’s FFY 2025 target must demonstrate improvement over the State’s</w:t>
      </w:r>
      <w:r w:rsidR="00635660" w:rsidRPr="00635660">
        <w:rPr>
          <w:rFonts w:cs="Arial"/>
          <w:szCs w:val="16"/>
        </w:rPr>
        <w:t xml:space="preserve"> </w:t>
      </w:r>
      <w:r w:rsidR="00635660">
        <w:rPr>
          <w:rFonts w:cs="Arial"/>
          <w:szCs w:val="16"/>
        </w:rPr>
        <w:t>b</w:t>
      </w:r>
      <w:r w:rsidR="00E101A7" w:rsidRPr="00781112">
        <w:rPr>
          <w:rFonts w:cs="Arial"/>
          <w:szCs w:val="16"/>
        </w:rPr>
        <w:t>aseline data.</w:t>
      </w:r>
      <w:r w:rsidR="00404B50">
        <w:rPr>
          <w:rFonts w:cs="Arial"/>
          <w:szCs w:val="16"/>
        </w:rPr>
        <w:t xml:space="preserve"> </w:t>
      </w:r>
    </w:p>
    <w:p w14:paraId="6B54FC53" w14:textId="315A84E3" w:rsidR="00AE1972" w:rsidRPr="00781112" w:rsidRDefault="00AE1972" w:rsidP="00AE1972">
      <w:r w:rsidRPr="00781112">
        <w:rPr>
          <w:b/>
          <w:iCs/>
          <w:u w:val="single"/>
        </w:rPr>
        <w:t>Updated Data:</w:t>
      </w:r>
      <w:r w:rsidRPr="00781112">
        <w:t xml:space="preserve"> </w:t>
      </w:r>
      <w:r w:rsidR="00B00A11" w:rsidRPr="00781112">
        <w:rPr>
          <w:rFonts w:cs="Arial"/>
          <w:szCs w:val="16"/>
        </w:rPr>
        <w:t xml:space="preserve">In its FFYs </w:t>
      </w:r>
      <w:r w:rsidR="00935E2F" w:rsidRPr="00781112">
        <w:rPr>
          <w:rFonts w:cs="Arial"/>
          <w:szCs w:val="16"/>
        </w:rPr>
        <w:t>202</w:t>
      </w:r>
      <w:r w:rsidR="00935E2F">
        <w:rPr>
          <w:rFonts w:cs="Arial"/>
          <w:szCs w:val="16"/>
        </w:rPr>
        <w:t>0</w:t>
      </w:r>
      <w:r w:rsidR="00935E2F" w:rsidRPr="00781112">
        <w:rPr>
          <w:rFonts w:cs="Arial"/>
          <w:szCs w:val="16"/>
        </w:rPr>
        <w:t xml:space="preserve"> </w:t>
      </w:r>
      <w:r w:rsidR="00B00A11" w:rsidRPr="00781112">
        <w:rPr>
          <w:rFonts w:cs="Arial"/>
          <w:szCs w:val="16"/>
        </w:rPr>
        <w:t xml:space="preserve">through FFY 2025 SPPs/APRs, due </w:t>
      </w:r>
      <w:r w:rsidR="00AD1B29">
        <w:rPr>
          <w:rFonts w:cs="Arial"/>
          <w:szCs w:val="16"/>
        </w:rPr>
        <w:t xml:space="preserve">February </w:t>
      </w:r>
      <w:r w:rsidR="00935E2F">
        <w:rPr>
          <w:rFonts w:cs="Arial"/>
          <w:szCs w:val="16"/>
        </w:rPr>
        <w:t>2022 through February 2027</w:t>
      </w:r>
      <w:r w:rsidR="00B00A11" w:rsidRPr="00781112">
        <w:rPr>
          <w:rFonts w:cs="Arial"/>
          <w:szCs w:val="16"/>
        </w:rPr>
        <w:t xml:space="preserve">, the State must provide updated data for that specific FFY (expressed as percentages) and that data must be aligned with the State-identified Measurable Result(s) </w:t>
      </w:r>
      <w:r w:rsidR="00F35094">
        <w:rPr>
          <w:rFonts w:cs="Arial"/>
          <w:szCs w:val="16"/>
        </w:rPr>
        <w:t xml:space="preserve">Children with Disabilities. </w:t>
      </w:r>
      <w:r w:rsidR="00B00A11" w:rsidRPr="00781112">
        <w:rPr>
          <w:rFonts w:cs="Arial"/>
          <w:szCs w:val="16"/>
        </w:rPr>
        <w:t>In its FFY</w:t>
      </w:r>
      <w:r w:rsidR="00F35094">
        <w:rPr>
          <w:rFonts w:cs="Arial"/>
          <w:szCs w:val="16"/>
        </w:rPr>
        <w:t>s</w:t>
      </w:r>
      <w:r w:rsidR="00B00A11" w:rsidRPr="00781112">
        <w:rPr>
          <w:rFonts w:cs="Arial"/>
          <w:szCs w:val="16"/>
        </w:rPr>
        <w:t xml:space="preserve"> </w:t>
      </w:r>
      <w:r w:rsidR="00935E2F">
        <w:rPr>
          <w:rFonts w:cs="Arial"/>
          <w:szCs w:val="16"/>
        </w:rPr>
        <w:t>2020</w:t>
      </w:r>
      <w:r w:rsidR="00B21923" w:rsidRPr="00781112">
        <w:rPr>
          <w:rFonts w:cs="Arial"/>
          <w:szCs w:val="16"/>
        </w:rPr>
        <w:t xml:space="preserve"> </w:t>
      </w:r>
      <w:r w:rsidR="00B00A11" w:rsidRPr="00781112">
        <w:rPr>
          <w:rFonts w:cs="Arial"/>
          <w:szCs w:val="16"/>
        </w:rPr>
        <w:t>through FFY 2025 SPPs/APRs, the State must report on whether it met its target.</w:t>
      </w:r>
    </w:p>
    <w:p w14:paraId="3660F78F" w14:textId="77777777" w:rsidR="00AE1972" w:rsidRPr="00781112" w:rsidRDefault="00AE1972" w:rsidP="00AE1972">
      <w:pPr>
        <w:pStyle w:val="Subhed"/>
      </w:pPr>
      <w:r w:rsidRPr="00781112">
        <w:t>Overview of the Three Phases of the SSIP</w:t>
      </w:r>
    </w:p>
    <w:p w14:paraId="41060915" w14:textId="1038334F" w:rsidR="00AE1972" w:rsidRPr="00781112" w:rsidRDefault="00B00A11" w:rsidP="00AE1972">
      <w:pPr>
        <w:rPr>
          <w:rFonts w:cs="Arial"/>
          <w:szCs w:val="16"/>
        </w:rPr>
      </w:pPr>
      <w:r w:rsidRPr="00781112">
        <w:rPr>
          <w:rFonts w:cs="Arial"/>
          <w:szCs w:val="16"/>
        </w:rPr>
        <w:t>It is of the utmost importance to improve results for children with disabilities by improving educational services, including special education and related services. Stakeholders, including parents of children with disabilities, local educational agencies, the State Advisory Panel, and others, are critical participants in improving results for children with disabilities and should be included in developing, implementing, evaluating, and revising the SSIP and included in establishing the State’s targets under Indicator 17. The SSIP should include information about stakeholder involvement in all three phases.</w:t>
      </w:r>
    </w:p>
    <w:p w14:paraId="1F974632" w14:textId="656B04EE" w:rsidR="00AE1972" w:rsidRPr="00781112" w:rsidRDefault="00AE1972" w:rsidP="00AE1972">
      <w:pPr>
        <w:pStyle w:val="Subhed"/>
        <w:rPr>
          <w:b w:val="0"/>
        </w:rPr>
      </w:pPr>
      <w:r w:rsidRPr="00781112">
        <w:rPr>
          <w:i/>
        </w:rPr>
        <w:t>Phase I: Analysis:</w:t>
      </w:r>
      <w:r w:rsidRPr="00781112">
        <w:rPr>
          <w:b w:val="0"/>
        </w:rPr>
        <w:t xml:space="preserve"> </w:t>
      </w:r>
    </w:p>
    <w:p w14:paraId="096C9E4B" w14:textId="77777777" w:rsidR="00AE1972" w:rsidRPr="00781112" w:rsidRDefault="00AE1972" w:rsidP="00AE1972">
      <w:pPr>
        <w:ind w:left="360"/>
      </w:pPr>
      <w:r w:rsidRPr="00781112">
        <w:t>- Data Analysis;</w:t>
      </w:r>
    </w:p>
    <w:p w14:paraId="27016A94" w14:textId="77777777" w:rsidR="00AE1972" w:rsidRPr="00781112" w:rsidRDefault="00AE1972" w:rsidP="00AE1972">
      <w:pPr>
        <w:ind w:left="360"/>
      </w:pPr>
      <w:r w:rsidRPr="00781112">
        <w:t>- Analysis of State Infrastructure to Support Improvement and Build Capacity;</w:t>
      </w:r>
    </w:p>
    <w:p w14:paraId="7C62869B" w14:textId="77122CAD" w:rsidR="00AE1972" w:rsidRPr="00781112" w:rsidRDefault="00AE1972" w:rsidP="00AE1972">
      <w:pPr>
        <w:ind w:left="360"/>
      </w:pPr>
      <w:r w:rsidRPr="00781112">
        <w:t xml:space="preserve">- State-identified Measurable Result(s) for </w:t>
      </w:r>
      <w:r w:rsidR="00B00A11" w:rsidRPr="00781112">
        <w:rPr>
          <w:rFonts w:cs="Arial"/>
          <w:szCs w:val="16"/>
        </w:rPr>
        <w:t>Children with Disabilities</w:t>
      </w:r>
      <w:r w:rsidRPr="00781112">
        <w:t>;</w:t>
      </w:r>
    </w:p>
    <w:p w14:paraId="6AD2D627" w14:textId="77777777" w:rsidR="00AE1972" w:rsidRPr="00781112" w:rsidRDefault="00AE1972" w:rsidP="00AE1972">
      <w:pPr>
        <w:ind w:left="360"/>
      </w:pPr>
      <w:r w:rsidRPr="00781112">
        <w:t>- Selection of Coherent Improvement Strategies; and</w:t>
      </w:r>
    </w:p>
    <w:p w14:paraId="356E7B19" w14:textId="77777777" w:rsidR="00AE1972" w:rsidRPr="00781112" w:rsidRDefault="00AE1972" w:rsidP="00AE1972">
      <w:pPr>
        <w:ind w:left="360"/>
      </w:pPr>
      <w:r w:rsidRPr="00781112">
        <w:t>- Theory of Action.</w:t>
      </w:r>
    </w:p>
    <w:p w14:paraId="6A753B55" w14:textId="02BE0D90" w:rsidR="00AE1972" w:rsidRPr="00781112" w:rsidRDefault="00AE1972" w:rsidP="00AE1972">
      <w:pPr>
        <w:pStyle w:val="Subhed"/>
        <w:rPr>
          <w:b w:val="0"/>
        </w:rPr>
      </w:pPr>
      <w:r w:rsidRPr="00781112">
        <w:rPr>
          <w:i/>
        </w:rPr>
        <w:t>Phase II: Plan</w:t>
      </w:r>
      <w:r w:rsidRPr="00781112">
        <w:rPr>
          <w:b w:val="0"/>
        </w:rPr>
        <w:t xml:space="preserve"> (which, </w:t>
      </w:r>
      <w:r w:rsidR="00D14A1B" w:rsidRPr="00781112">
        <w:rPr>
          <w:b w:val="0"/>
        </w:rPr>
        <w:t xml:space="preserve">is </w:t>
      </w:r>
      <w:r w:rsidRPr="00781112">
        <w:rPr>
          <w:b w:val="0"/>
        </w:rPr>
        <w:t>in addition to the Phase I content (including any updates)</w:t>
      </w:r>
      <w:r w:rsidR="00F35094">
        <w:rPr>
          <w:b w:val="0"/>
        </w:rPr>
        <w:t>)</w:t>
      </w:r>
      <w:r w:rsidRPr="00781112">
        <w:rPr>
          <w:b w:val="0"/>
        </w:rPr>
        <w:t xml:space="preserve"> outlined above</w:t>
      </w:r>
      <w:r w:rsidR="00F35094">
        <w:rPr>
          <w:b w:val="0"/>
        </w:rPr>
        <w:t>)</w:t>
      </w:r>
      <w:r w:rsidRPr="00781112">
        <w:rPr>
          <w:b w:val="0"/>
        </w:rPr>
        <w:t>:</w:t>
      </w:r>
    </w:p>
    <w:p w14:paraId="0A22BE99" w14:textId="77777777" w:rsidR="006B5750" w:rsidRDefault="00756B33" w:rsidP="008877E3">
      <w:pPr>
        <w:ind w:left="360"/>
      </w:pPr>
      <w:r w:rsidRPr="00781112">
        <w:t xml:space="preserve">- </w:t>
      </w:r>
      <w:r w:rsidR="00AE1972" w:rsidRPr="00781112">
        <w:t>Infrastructure Development;</w:t>
      </w:r>
    </w:p>
    <w:p w14:paraId="66997D61" w14:textId="59DC7764" w:rsidR="006B5750" w:rsidRDefault="006B5750" w:rsidP="008877E3">
      <w:pPr>
        <w:ind w:left="360"/>
      </w:pPr>
      <w:r>
        <w:t>- Support for local educational agency (LEA)</w:t>
      </w:r>
      <w:r w:rsidDel="006B5750">
        <w:t xml:space="preserve"> </w:t>
      </w:r>
      <w:r>
        <w:t>Implementation of Evidence-Based Practices; and</w:t>
      </w:r>
      <w:r w:rsidRPr="00781112">
        <w:t xml:space="preserve"> </w:t>
      </w:r>
    </w:p>
    <w:p w14:paraId="38176125" w14:textId="4276E770" w:rsidR="00AE1972" w:rsidRPr="00781112" w:rsidRDefault="00756B33" w:rsidP="008877E3">
      <w:pPr>
        <w:ind w:left="360"/>
      </w:pPr>
      <w:r w:rsidRPr="00781112">
        <w:t xml:space="preserve">- </w:t>
      </w:r>
      <w:r w:rsidR="00AE1972" w:rsidRPr="00781112">
        <w:t>Evaluation.</w:t>
      </w:r>
    </w:p>
    <w:p w14:paraId="73F6A460" w14:textId="0BCB7E98" w:rsidR="00AE1972" w:rsidRPr="00781112" w:rsidRDefault="00AE1972" w:rsidP="00AE1972">
      <w:pPr>
        <w:pStyle w:val="Subhed"/>
        <w:rPr>
          <w:b w:val="0"/>
        </w:rPr>
      </w:pPr>
      <w:r w:rsidRPr="00781112">
        <w:rPr>
          <w:i/>
        </w:rPr>
        <w:t>Phase III: Implementation and Evaluation</w:t>
      </w:r>
      <w:r w:rsidRPr="00781112">
        <w:rPr>
          <w:b w:val="0"/>
        </w:rPr>
        <w:t xml:space="preserve"> (which, </w:t>
      </w:r>
      <w:r w:rsidR="00D14A1B" w:rsidRPr="00781112">
        <w:rPr>
          <w:b w:val="0"/>
        </w:rPr>
        <w:t xml:space="preserve">is </w:t>
      </w:r>
      <w:r w:rsidRPr="00781112">
        <w:rPr>
          <w:b w:val="0"/>
        </w:rPr>
        <w:t>in addition to the Phase I and Phase II content (including any updates)</w:t>
      </w:r>
      <w:r w:rsidR="00F35094">
        <w:rPr>
          <w:b w:val="0"/>
        </w:rPr>
        <w:t>)</w:t>
      </w:r>
      <w:r w:rsidRPr="00781112">
        <w:rPr>
          <w:b w:val="0"/>
        </w:rPr>
        <w:t xml:space="preserve"> outlined above</w:t>
      </w:r>
      <w:r w:rsidR="00F35094">
        <w:rPr>
          <w:b w:val="0"/>
        </w:rPr>
        <w:t>)</w:t>
      </w:r>
      <w:r w:rsidRPr="00781112">
        <w:rPr>
          <w:b w:val="0"/>
        </w:rPr>
        <w:t>:</w:t>
      </w:r>
    </w:p>
    <w:p w14:paraId="580CF235" w14:textId="77777777" w:rsidR="00AE1972" w:rsidRPr="00781112" w:rsidRDefault="00AE1972" w:rsidP="00AE1972">
      <w:pPr>
        <w:ind w:left="360"/>
      </w:pPr>
      <w:r w:rsidRPr="00781112">
        <w:t>- Results of Ongoing Evaluation and Revisions to the SSIP.</w:t>
      </w:r>
    </w:p>
    <w:p w14:paraId="03B4B47F" w14:textId="77777777" w:rsidR="00AE1972" w:rsidRPr="00781112" w:rsidRDefault="00AE1972" w:rsidP="00AE1972">
      <w:pPr>
        <w:rPr>
          <w:b/>
        </w:rPr>
      </w:pPr>
      <w:r w:rsidRPr="00781112">
        <w:rPr>
          <w:b/>
        </w:rPr>
        <w:t>Specific Content of Each Phase of the SSIP</w:t>
      </w:r>
    </w:p>
    <w:p w14:paraId="467D2C6D" w14:textId="3F55CFEA" w:rsidR="00AE1972" w:rsidRPr="00781112" w:rsidRDefault="00AE1972" w:rsidP="00AE1972">
      <w:r w:rsidRPr="00781112">
        <w:t>Refer to FFY 2013-2015 Measurement Table for detailed requirements of Phase I and Phase II SSIP submissions.</w:t>
      </w:r>
    </w:p>
    <w:p w14:paraId="4B1E2598" w14:textId="77777777" w:rsidR="00AE1972" w:rsidRPr="00781112" w:rsidRDefault="00AE1972" w:rsidP="00AE1972">
      <w:r w:rsidRPr="00781112">
        <w:t>Phase III should only include information from Phase I or Phase II if changes or revisions are being made by the State and/or if information previously required in Phase I or Phase II was not reported.</w:t>
      </w:r>
    </w:p>
    <w:p w14:paraId="5E950372" w14:textId="77777777" w:rsidR="00AE1972" w:rsidRPr="00781112" w:rsidRDefault="00AE1972" w:rsidP="00AE1972">
      <w:pPr>
        <w:rPr>
          <w:b/>
          <w:i/>
        </w:rPr>
      </w:pPr>
      <w:r w:rsidRPr="00781112">
        <w:rPr>
          <w:b/>
          <w:i/>
        </w:rPr>
        <w:t>Phase III: Implementation and Evaluation</w:t>
      </w:r>
    </w:p>
    <w:p w14:paraId="2ACE13F7" w14:textId="77777777" w:rsidR="00496EF6" w:rsidRPr="00781112" w:rsidRDefault="00496EF6" w:rsidP="00496EF6">
      <w:pPr>
        <w:rPr>
          <w:rFonts w:cs="Arial"/>
          <w:szCs w:val="16"/>
        </w:rPr>
      </w:pPr>
      <w:r w:rsidRPr="00781112">
        <w:rPr>
          <w:rFonts w:cs="Arial"/>
          <w:szCs w:val="16"/>
        </w:rPr>
        <w:t>In Phase III, the State must, consistent with its evaluation plan described in Phase II, assess and report on its progress implementing the SSIP. This includes: (A) data and analysis on the extent to which the State has made progress toward and/or met the State-established short-term and long-term outcomes or objectives for implementation of the SSIP and its progress toward achieving the State-identified Measurable Result(s) for Children with Disabilities (</w:t>
      </w:r>
      <w:proofErr w:type="spellStart"/>
      <w:r w:rsidRPr="00781112">
        <w:rPr>
          <w:rFonts w:cs="Arial"/>
          <w:szCs w:val="16"/>
        </w:rPr>
        <w:t>SiMR</w:t>
      </w:r>
      <w:proofErr w:type="spellEnd"/>
      <w:r w:rsidRPr="00781112">
        <w:rPr>
          <w:rFonts w:cs="Arial"/>
          <w:szCs w:val="16"/>
        </w:rPr>
        <w:t>); (B) the rationale for any revisions that were made, or that the State intends to make, to the SSIP as the result of implementation, analysis, and evaluation; and (C) a description of the meaningful stakeholder engagement. If the State intends to continue implementing the SSIP without modifications, the State must describe how the data from the evaluation support this decision.</w:t>
      </w:r>
    </w:p>
    <w:p w14:paraId="6BC324F8" w14:textId="77777777" w:rsidR="00AE1972" w:rsidRPr="00781112" w:rsidRDefault="00AE1972" w:rsidP="00AE1972">
      <w:pPr>
        <w:tabs>
          <w:tab w:val="left" w:pos="270"/>
          <w:tab w:val="left" w:pos="630"/>
        </w:tabs>
      </w:pPr>
      <w:r w:rsidRPr="00781112">
        <w:t xml:space="preserve">A. </w:t>
      </w:r>
      <w:r w:rsidRPr="00781112">
        <w:tab/>
        <w:t>Data Analysis</w:t>
      </w:r>
    </w:p>
    <w:p w14:paraId="7509FEFA" w14:textId="2E939262" w:rsidR="000063AC" w:rsidRPr="00781112" w:rsidRDefault="000063AC" w:rsidP="000063AC">
      <w:pPr>
        <w:rPr>
          <w:rFonts w:cs="Arial"/>
          <w:szCs w:val="16"/>
        </w:rPr>
      </w:pPr>
      <w:r w:rsidRPr="00781112">
        <w:rPr>
          <w:rFonts w:cs="Arial"/>
          <w:szCs w:val="16"/>
        </w:rPr>
        <w:t>As required in the Instructions for the Indicator/Measurement, in its FFYs 2020 through 2025 SPP</w:t>
      </w:r>
      <w:r w:rsidR="00F35094">
        <w:rPr>
          <w:rFonts w:cs="Arial"/>
          <w:szCs w:val="16"/>
        </w:rPr>
        <w:t>s</w:t>
      </w:r>
      <w:r w:rsidRPr="00781112">
        <w:rPr>
          <w:rFonts w:cs="Arial"/>
          <w:szCs w:val="16"/>
        </w:rPr>
        <w:t>/APR</w:t>
      </w:r>
      <w:r w:rsidR="00F35094">
        <w:rPr>
          <w:rFonts w:cs="Arial"/>
          <w:szCs w:val="16"/>
        </w:rPr>
        <w:t>s</w:t>
      </w:r>
      <w:r w:rsidRPr="00781112">
        <w:rPr>
          <w:rFonts w:cs="Arial"/>
          <w:szCs w:val="16"/>
        </w:rPr>
        <w:t xml:space="preserve">, the State must report data for that specific FFY (expressed as actual numbers and percentages) that are aligned with the </w:t>
      </w:r>
      <w:proofErr w:type="spellStart"/>
      <w:r w:rsidRPr="00781112">
        <w:rPr>
          <w:rFonts w:cs="Arial"/>
          <w:szCs w:val="16"/>
        </w:rPr>
        <w:t>SiMR</w:t>
      </w:r>
      <w:proofErr w:type="spellEnd"/>
      <w:r w:rsidRPr="00781112">
        <w:rPr>
          <w:rFonts w:cs="Arial"/>
          <w:szCs w:val="16"/>
        </w:rPr>
        <w:t xml:space="preserve">. The State must report on whether the State met its target. In addition, the State may report on any additional data (e.g., progress monitoring data) that were collected and analyzed that would suggest progress toward the </w:t>
      </w:r>
      <w:proofErr w:type="spellStart"/>
      <w:r w:rsidRPr="00781112">
        <w:rPr>
          <w:rFonts w:cs="Arial"/>
          <w:szCs w:val="16"/>
        </w:rPr>
        <w:t>SiMR</w:t>
      </w:r>
      <w:proofErr w:type="spellEnd"/>
      <w:r w:rsidRPr="00781112">
        <w:rPr>
          <w:rFonts w:cs="Arial"/>
          <w:szCs w:val="16"/>
        </w:rPr>
        <w:t xml:space="preserve">. States using a subset of the population from the indicator (e.g., a sample, cohort model) should describe how data are collected and analyzed for the </w:t>
      </w:r>
      <w:proofErr w:type="spellStart"/>
      <w:r w:rsidRPr="00781112">
        <w:rPr>
          <w:rFonts w:cs="Arial"/>
          <w:szCs w:val="16"/>
        </w:rPr>
        <w:t>SiMR</w:t>
      </w:r>
      <w:proofErr w:type="spellEnd"/>
      <w:r w:rsidRPr="00781112">
        <w:rPr>
          <w:rFonts w:cs="Arial"/>
          <w:szCs w:val="16"/>
        </w:rPr>
        <w:t xml:space="preserve"> if that was not described in Phase I or Phase II of the SSIP.</w:t>
      </w:r>
    </w:p>
    <w:p w14:paraId="77280910" w14:textId="77777777" w:rsidR="00AE1972" w:rsidRPr="00781112" w:rsidRDefault="00AE1972" w:rsidP="00AE1972">
      <w:pPr>
        <w:tabs>
          <w:tab w:val="left" w:pos="360"/>
        </w:tabs>
      </w:pPr>
      <w:r w:rsidRPr="00781112">
        <w:t xml:space="preserve">B. </w:t>
      </w:r>
      <w:r w:rsidRPr="00781112">
        <w:tab/>
        <w:t>Phase III Implementation, Analysis and Evaluation</w:t>
      </w:r>
    </w:p>
    <w:p w14:paraId="55F09A01" w14:textId="78A8CFAE" w:rsidR="00AE1972" w:rsidRPr="00781112" w:rsidRDefault="00AE1972" w:rsidP="00AE1972">
      <w:r w:rsidRPr="00781112">
        <w:t xml:space="preserve">The State must provide a narrative or graphic representation, </w:t>
      </w:r>
      <w:r w:rsidR="00F35094">
        <w:t>(</w:t>
      </w:r>
      <w:r w:rsidRPr="00781112">
        <w:t>e.g., a logic model</w:t>
      </w:r>
      <w:r w:rsidR="00F35094">
        <w:t>)</w:t>
      </w:r>
      <w:r w:rsidRPr="00781112">
        <w:t xml:space="preserve"> of the principal activities, measures and outcomes that were implemented since the State’s last SSIP submission (i.e., </w:t>
      </w:r>
      <w:r w:rsidR="00F302A0" w:rsidRPr="00781112">
        <w:t>Feb</w:t>
      </w:r>
      <w:r w:rsidR="00A94276">
        <w:t>ruary</w:t>
      </w:r>
      <w:r w:rsidRPr="00781112">
        <w:t xml:space="preserve"> </w:t>
      </w:r>
      <w:r w:rsidR="00A94276">
        <w:t xml:space="preserve">1, </w:t>
      </w:r>
      <w:r w:rsidR="00B21923" w:rsidRPr="00781112">
        <w:t>202</w:t>
      </w:r>
      <w:r w:rsidR="00FC1D83">
        <w:t>3</w:t>
      </w:r>
      <w:r w:rsidRPr="00781112">
        <w:t>). The evaluation should align with the theory of action described in Phase I and the evaluation plan described in Phase II. The State must describe any changes to the activities, strategies, or timelines described in Phase II and include a rationale or justification for the changes. If the State intends to continue implementing the SSIP without modifications, the State must describe how the data from the evaluation support this decision.</w:t>
      </w:r>
    </w:p>
    <w:p w14:paraId="0A51077C" w14:textId="4281F6CB" w:rsidR="00AE1972" w:rsidRPr="00781112" w:rsidRDefault="00AE1972" w:rsidP="00AE1972">
      <w:r w:rsidRPr="00781112">
        <w:t xml:space="preserve">The State must summarize the infrastructure improvement strategies that were implemented, and the short-term outcomes achieved, including the measures or rationale used by the State and stakeholders to assess and communicate achievement. Relate short-term outcomes to one or more areas of a systems framework (e.g., governance, data, finance, accountability/monitoring, quality standards, professional development and/or technical assistance) and explain how these strategies support system change and are necessary for: (a) achievement of the </w:t>
      </w:r>
      <w:proofErr w:type="spellStart"/>
      <w:r w:rsidRPr="00781112">
        <w:t>SiMR</w:t>
      </w:r>
      <w:proofErr w:type="spellEnd"/>
      <w:r w:rsidRPr="00781112">
        <w:t xml:space="preserve">; (b) sustainability of systems improvement efforts; and/or (c) scale-up. The State must describe the next steps for each infrastructure improvement strategy and the anticipated outcomes to be attained during the next fiscal year (e.g., </w:t>
      </w:r>
      <w:r w:rsidR="00B21923">
        <w:rPr>
          <w:rFonts w:cs="Arial"/>
          <w:szCs w:val="16"/>
        </w:rPr>
        <w:t>for the FFY 202</w:t>
      </w:r>
      <w:r w:rsidR="00FC1D83">
        <w:rPr>
          <w:rFonts w:cs="Arial"/>
          <w:szCs w:val="16"/>
        </w:rPr>
        <w:t>2</w:t>
      </w:r>
      <w:r w:rsidR="00B21923">
        <w:rPr>
          <w:rFonts w:cs="Arial"/>
          <w:szCs w:val="16"/>
        </w:rPr>
        <w:t xml:space="preserve"> APR, report on anticipated outcomes to be obtained during FFY 202</w:t>
      </w:r>
      <w:r w:rsidR="00FC1D83">
        <w:rPr>
          <w:rFonts w:cs="Arial"/>
          <w:szCs w:val="16"/>
        </w:rPr>
        <w:t>3</w:t>
      </w:r>
      <w:r w:rsidR="00B21923">
        <w:rPr>
          <w:rFonts w:cs="Arial"/>
          <w:szCs w:val="16"/>
        </w:rPr>
        <w:t>, i.e., July 1, 202</w:t>
      </w:r>
      <w:r w:rsidR="00FC1D83">
        <w:rPr>
          <w:rFonts w:cs="Arial"/>
          <w:szCs w:val="16"/>
        </w:rPr>
        <w:t>3</w:t>
      </w:r>
      <w:r w:rsidR="00B21923">
        <w:rPr>
          <w:rFonts w:cs="Arial"/>
          <w:szCs w:val="16"/>
        </w:rPr>
        <w:t>-June 30, 202</w:t>
      </w:r>
      <w:r w:rsidR="00FC1D83">
        <w:rPr>
          <w:rFonts w:cs="Arial"/>
          <w:szCs w:val="16"/>
        </w:rPr>
        <w:t>4</w:t>
      </w:r>
      <w:r w:rsidR="00B21923" w:rsidRPr="00651E83">
        <w:rPr>
          <w:rFonts w:cs="Arial"/>
          <w:szCs w:val="16"/>
        </w:rPr>
        <w:t>).</w:t>
      </w:r>
    </w:p>
    <w:p w14:paraId="6198E1D5" w14:textId="1ABEA34C" w:rsidR="00AE1972" w:rsidRPr="00781112" w:rsidRDefault="00AE1972" w:rsidP="00AE1972">
      <w:r w:rsidRPr="00781112">
        <w:t xml:space="preserve">The State must summarize the specific evidence-based practices that were implemented and the strategies or activities that supported their selection and ensured their use with fidelity. Describe how the evidence-based practices, and activities or strategies that support their use, are intended to impact the </w:t>
      </w:r>
      <w:proofErr w:type="spellStart"/>
      <w:r w:rsidRPr="00781112">
        <w:t>SiMR</w:t>
      </w:r>
      <w:proofErr w:type="spellEnd"/>
      <w:r w:rsidRPr="00781112">
        <w:t xml:space="preserve"> by changing program/district policies, procedures, and/or practices, teacher/provider practices (</w:t>
      </w:r>
      <w:r w:rsidR="00A94276">
        <w:t>e.g</w:t>
      </w:r>
      <w:r w:rsidRPr="00781112">
        <w:t xml:space="preserve">., behaviors), parent/caregiver outcomes, </w:t>
      </w:r>
      <w:r w:rsidRPr="00781112">
        <w:lastRenderedPageBreak/>
        <w:t>and/or child outcomes. Describe any additional data (</w:t>
      </w:r>
      <w:r w:rsidR="00A94276">
        <w:t>e.g</w:t>
      </w:r>
      <w:r w:rsidRPr="00781112">
        <w:t>., progress monitoring data) that was collected to support the on-going use of the evidence-based practices and inform decision-making for the next year of SSIP implementation.</w:t>
      </w:r>
    </w:p>
    <w:p w14:paraId="411C94A7" w14:textId="77777777" w:rsidR="00AE1972" w:rsidRPr="00781112" w:rsidRDefault="00AE1972" w:rsidP="00AE1972">
      <w:pPr>
        <w:tabs>
          <w:tab w:val="left" w:pos="270"/>
        </w:tabs>
      </w:pPr>
      <w:r w:rsidRPr="00781112">
        <w:t xml:space="preserve">C. </w:t>
      </w:r>
      <w:r w:rsidRPr="00781112">
        <w:tab/>
        <w:t>Stakeholder Engagement</w:t>
      </w:r>
    </w:p>
    <w:p w14:paraId="007F9035" w14:textId="77777777" w:rsidR="00AE1972" w:rsidRPr="00781112" w:rsidRDefault="00AE1972" w:rsidP="00AE1972">
      <w:r w:rsidRPr="00781112">
        <w:t>The State must describe the specific strategies implemented to engage stakeholders in key improvement efforts and how the State addressed concerns, if any, raised by stakeholders through its engagement activities.</w:t>
      </w:r>
    </w:p>
    <w:p w14:paraId="38CBE3F2" w14:textId="77777777" w:rsidR="00AE1972" w:rsidRPr="00781112" w:rsidRDefault="00AE1972" w:rsidP="00AE1972">
      <w:r w:rsidRPr="00781112">
        <w:t>Additional Implementation Activities</w:t>
      </w:r>
    </w:p>
    <w:p w14:paraId="00F49894" w14:textId="33B43562" w:rsidR="00AE1972" w:rsidRPr="00781112" w:rsidRDefault="00AE1972" w:rsidP="00AE1972">
      <w:r w:rsidRPr="00781112">
        <w:t xml:space="preserve">The State should identify any activities not already described that it intends to implement in the next fiscal year (e.g., </w:t>
      </w:r>
      <w:r w:rsidR="00B21923">
        <w:rPr>
          <w:rFonts w:cs="Arial"/>
          <w:szCs w:val="16"/>
        </w:rPr>
        <w:t>for the FFY 202</w:t>
      </w:r>
      <w:r w:rsidR="00FC1D83">
        <w:rPr>
          <w:rFonts w:cs="Arial"/>
          <w:szCs w:val="16"/>
        </w:rPr>
        <w:t>2</w:t>
      </w:r>
      <w:r w:rsidR="00B21923">
        <w:rPr>
          <w:rFonts w:cs="Arial"/>
          <w:szCs w:val="16"/>
        </w:rPr>
        <w:t xml:space="preserve"> APR, report on activities it intends to implement in FFY 202</w:t>
      </w:r>
      <w:r w:rsidR="00FC1D83">
        <w:rPr>
          <w:rFonts w:cs="Arial"/>
          <w:szCs w:val="16"/>
        </w:rPr>
        <w:t>3</w:t>
      </w:r>
      <w:r w:rsidR="00B21923">
        <w:rPr>
          <w:rFonts w:cs="Arial"/>
          <w:szCs w:val="16"/>
        </w:rPr>
        <w:t>, i.e., July 1, 202</w:t>
      </w:r>
      <w:r w:rsidR="00FC1D83">
        <w:rPr>
          <w:rFonts w:cs="Arial"/>
          <w:szCs w:val="16"/>
        </w:rPr>
        <w:t>3</w:t>
      </w:r>
      <w:r w:rsidR="00B21923">
        <w:rPr>
          <w:rFonts w:cs="Arial"/>
          <w:szCs w:val="16"/>
        </w:rPr>
        <w:t>-June 30, 202</w:t>
      </w:r>
      <w:r w:rsidR="00FC1D83">
        <w:rPr>
          <w:rFonts w:cs="Arial"/>
          <w:szCs w:val="16"/>
        </w:rPr>
        <w:t>4</w:t>
      </w:r>
      <w:r w:rsidR="00A94276">
        <w:rPr>
          <w:rFonts w:cs="Arial"/>
          <w:szCs w:val="16"/>
        </w:rPr>
        <w:t>)</w:t>
      </w:r>
      <w:r w:rsidR="00FC1D83">
        <w:rPr>
          <w:rFonts w:cs="Arial"/>
          <w:szCs w:val="16"/>
        </w:rPr>
        <w:t xml:space="preserve"> </w:t>
      </w:r>
      <w:r w:rsidRPr="00781112">
        <w:t xml:space="preserve">including a timeline, anticipated data collection and measures, and expected outcomes that are related to the </w:t>
      </w:r>
      <w:proofErr w:type="spellStart"/>
      <w:r w:rsidRPr="00781112">
        <w:t>SiMR</w:t>
      </w:r>
      <w:proofErr w:type="spellEnd"/>
      <w:r w:rsidRPr="00781112">
        <w:t>. The State should describe any newly identified barriers and include steps to address these barriers.</w:t>
      </w:r>
    </w:p>
    <w:p w14:paraId="428E26A7" w14:textId="6193C9E6" w:rsidR="00AE1972" w:rsidRPr="00781112" w:rsidRDefault="00AE1972" w:rsidP="00AE1972">
      <w:pPr>
        <w:pStyle w:val="Heading2"/>
      </w:pPr>
      <w:r w:rsidRPr="00781112">
        <w:t>1</w:t>
      </w:r>
      <w:r w:rsidR="00B90835" w:rsidRPr="00781112">
        <w:t>7</w:t>
      </w:r>
      <w:r w:rsidRPr="00781112">
        <w:t xml:space="preserve"> - Indicator Data</w:t>
      </w:r>
    </w:p>
    <w:p w14:paraId="626DBA0C" w14:textId="77777777" w:rsidR="00AE1972" w:rsidRPr="00781112" w:rsidRDefault="00AE1972" w:rsidP="00AE1972">
      <w:pPr>
        <w:rPr>
          <w:b/>
          <w:bCs/>
        </w:rPr>
      </w:pPr>
      <w:r w:rsidRPr="00781112">
        <w:rPr>
          <w:b/>
          <w:bCs/>
        </w:rPr>
        <w:t>Section A: Data Analysis</w:t>
      </w:r>
    </w:p>
    <w:p w14:paraId="26873A73" w14:textId="77777777" w:rsidR="00AE1972" w:rsidRPr="00781112" w:rsidRDefault="00AE1972" w:rsidP="00AE1972">
      <w:pPr>
        <w:rPr>
          <w:b/>
          <w:bCs/>
        </w:rPr>
      </w:pPr>
      <w:r w:rsidRPr="00781112">
        <w:rPr>
          <w:b/>
          <w:bCs/>
        </w:rPr>
        <w:t>What is the State-identified Measurable Result (</w:t>
      </w:r>
      <w:proofErr w:type="spellStart"/>
      <w:r w:rsidRPr="00781112">
        <w:rPr>
          <w:b/>
          <w:bCs/>
        </w:rPr>
        <w:t>SiMR</w:t>
      </w:r>
      <w:proofErr w:type="spellEnd"/>
      <w:r w:rsidRPr="00781112">
        <w:rPr>
          <w:b/>
          <w:bCs/>
        </w:rPr>
        <w:t>)?</w:t>
      </w:r>
    </w:p>
    <w:p w14:paraId="2CDA0A52" w14:textId="1253220E" w:rsidR="00AE1972" w:rsidRPr="00781112" w:rsidRDefault="00AE1972" w:rsidP="00AE1972">
      <w:pPr>
        <w:rPr>
          <w:color w:val="000000" w:themeColor="text1"/>
        </w:rPr>
      </w:pPr>
      <w:r w:rsidRPr="00781112">
        <w:rPr>
          <w:color w:val="000000" w:themeColor="text1"/>
        </w:rPr>
        <w:t>To increase the reading proficiency of students with disabilities in second grade, as measured by statewide standardized reading assessments in schools participating in the ECLIPSE program.</w:t>
      </w:r>
    </w:p>
    <w:p w14:paraId="43CABCA3" w14:textId="77777777" w:rsidR="00AE1972" w:rsidRPr="00781112" w:rsidRDefault="00AE1972" w:rsidP="00AE1972">
      <w:pPr>
        <w:rPr>
          <w:b/>
          <w:bCs/>
        </w:rPr>
      </w:pPr>
      <w:bookmarkStart w:id="117" w:name="_Hlk85195358"/>
      <w:r w:rsidRPr="00781112">
        <w:rPr>
          <w:b/>
          <w:bCs/>
        </w:rPr>
        <w:t xml:space="preserve">Has the </w:t>
      </w:r>
      <w:proofErr w:type="spellStart"/>
      <w:r w:rsidRPr="00781112">
        <w:rPr>
          <w:b/>
          <w:bCs/>
        </w:rPr>
        <w:t>SiMR</w:t>
      </w:r>
      <w:proofErr w:type="spellEnd"/>
      <w:r w:rsidRPr="00781112">
        <w:rPr>
          <w:b/>
          <w:bCs/>
        </w:rPr>
        <w:t xml:space="preserve"> changed since the last SSIP submission? (yes/no)</w:t>
      </w:r>
    </w:p>
    <w:p w14:paraId="53B392AE" w14:textId="5D60E4A2" w:rsidR="00AE1972" w:rsidRDefault="00AE1972" w:rsidP="00AE1972">
      <w:r w:rsidRPr="00781112">
        <w:t>NO</w:t>
      </w:r>
    </w:p>
    <w:bookmarkEnd w:id="117"/>
    <w:p w14:paraId="1B1A90F5" w14:textId="77777777" w:rsidR="00935B96" w:rsidRPr="00781112" w:rsidRDefault="00935B96" w:rsidP="00AE1972"/>
    <w:p w14:paraId="4DB5CA5B" w14:textId="77777777" w:rsidR="00AE1972" w:rsidRPr="00781112" w:rsidRDefault="00AE1972" w:rsidP="00AE1972">
      <w:pPr>
        <w:rPr>
          <w:b/>
          <w:bCs/>
        </w:rPr>
      </w:pPr>
      <w:r w:rsidRPr="00781112">
        <w:rPr>
          <w:b/>
          <w:bCs/>
        </w:rPr>
        <w:t>Is the State using a subset of the population from the indicator (</w:t>
      </w:r>
      <w:r w:rsidRPr="00781112">
        <w:rPr>
          <w:b/>
          <w:bCs/>
          <w:i/>
          <w:iCs/>
        </w:rPr>
        <w:t>e.g.</w:t>
      </w:r>
      <w:r w:rsidRPr="00781112">
        <w:rPr>
          <w:b/>
          <w:bCs/>
        </w:rPr>
        <w:t>, a sample, cohort model)? (yes/no)</w:t>
      </w:r>
    </w:p>
    <w:p w14:paraId="5220F24E" w14:textId="45A17085" w:rsidR="00AE1972" w:rsidRDefault="00AE1972" w:rsidP="00AE1972">
      <w:r w:rsidRPr="00781112">
        <w:rPr>
          <w:color w:val="000000" w:themeColor="text1"/>
        </w:rPr>
        <w:t>YES</w:t>
      </w:r>
    </w:p>
    <w:p w14:paraId="54FC6DBB" w14:textId="3D1C5D57" w:rsidR="00AE1972" w:rsidRPr="00781112" w:rsidRDefault="00ED5509" w:rsidP="00AE1972">
      <w:pPr>
        <w:rPr>
          <w:b/>
          <w:bCs/>
        </w:rPr>
      </w:pPr>
      <w:r w:rsidRPr="00781112">
        <w:rPr>
          <w:b/>
          <w:bCs/>
        </w:rPr>
        <w:t>Provide a description of the subset of the population from the indicator.</w:t>
      </w:r>
    </w:p>
    <w:p w14:paraId="730A7F24" w14:textId="5026F767" w:rsidR="00AE1972" w:rsidRDefault="00AE1972" w:rsidP="00AE1972">
      <w:pPr>
        <w:rPr>
          <w:color w:val="000000" w:themeColor="text1"/>
        </w:rPr>
      </w:pPr>
      <w:r w:rsidRPr="00781112">
        <w:rPr>
          <w:color w:val="000000" w:themeColor="text1"/>
        </w:rPr>
        <w:t>The subset of the population for indicator 17 is second-grade students with disabilities at forty ECLIPSE program Schools. There are a total of 77 schools, 40 schools participated in the Fall of 2022, and are all in one district. The ECLIPSE program aims to improve literacy outcomes for children with disabilities in grades kindergarten through third grade. Through the ECLIPSE program, collaborations with administrators, educators, communities, and families occur to ensure students with disabilities receive individualized and comprehensive literacy instruction with measurable results.</w:t>
      </w:r>
    </w:p>
    <w:p w14:paraId="74BC6A9B" w14:textId="77777777" w:rsidR="00AE1972" w:rsidRPr="00781112" w:rsidRDefault="00AE1972" w:rsidP="00AE1972">
      <w:pPr>
        <w:rPr>
          <w:b/>
          <w:bCs/>
        </w:rPr>
      </w:pPr>
    </w:p>
    <w:p w14:paraId="7B52B71D" w14:textId="77777777" w:rsidR="00AE1972" w:rsidRPr="00781112" w:rsidRDefault="00AE1972" w:rsidP="00AE1972">
      <w:pPr>
        <w:rPr>
          <w:b/>
          <w:bCs/>
        </w:rPr>
      </w:pPr>
      <w:r w:rsidRPr="00781112">
        <w:rPr>
          <w:b/>
          <w:bCs/>
        </w:rPr>
        <w:t>Is the State’s theory of action new or revised since the previous submission? (yes/no)</w:t>
      </w:r>
    </w:p>
    <w:p w14:paraId="2F47C8A6" w14:textId="34E2E007" w:rsidR="00AE1972" w:rsidRDefault="00AE1972" w:rsidP="00AE1972">
      <w:r w:rsidRPr="00781112">
        <w:t>NO</w:t>
      </w:r>
    </w:p>
    <w:p w14:paraId="233336CC" w14:textId="56400261" w:rsidR="00A202E9" w:rsidRPr="00781112" w:rsidRDefault="00A202E9" w:rsidP="00A202E9">
      <w:pPr>
        <w:rPr>
          <w:rFonts w:cs="Arial"/>
          <w:b/>
          <w:bCs/>
          <w:szCs w:val="16"/>
        </w:rPr>
      </w:pPr>
      <w:r w:rsidRPr="00781112">
        <w:rPr>
          <w:rFonts w:cs="Arial"/>
          <w:b/>
          <w:bCs/>
          <w:szCs w:val="16"/>
        </w:rPr>
        <w:t>Please provide a link to the current theory of action.</w:t>
      </w:r>
    </w:p>
    <w:p w14:paraId="7EC9F4F7" w14:textId="0C6CDBBD" w:rsidR="00A202E9" w:rsidRDefault="00A202E9" w:rsidP="00A202E9">
      <w:r w:rsidRPr="00781112">
        <w:t>https://webnew.ped.state.nm.us/wp-content/uploads/2024/02/ECLIPSE-Theory-of-Action-FFY-2022.pdf</w:t>
      </w:r>
    </w:p>
    <w:p w14:paraId="17DFD7D0" w14:textId="77777777" w:rsidR="00B41EFC" w:rsidRDefault="00B41EFC" w:rsidP="00A202E9"/>
    <w:p w14:paraId="5C9EC454" w14:textId="77777777" w:rsidR="00AE1972" w:rsidRPr="007E6407" w:rsidRDefault="00AE1972" w:rsidP="007E6407">
      <w:pPr>
        <w:rPr>
          <w:b/>
          <w:bCs/>
        </w:rPr>
      </w:pPr>
      <w:r w:rsidRPr="007E6407">
        <w:rPr>
          <w:b/>
          <w:bCs/>
        </w:rPr>
        <w:t xml:space="preserve">Progress toward the </w:t>
      </w:r>
      <w:proofErr w:type="spellStart"/>
      <w:r w:rsidRPr="007E6407">
        <w:rPr>
          <w:b/>
          <w:bCs/>
        </w:rPr>
        <w:t>SiMR</w:t>
      </w:r>
      <w:proofErr w:type="spellEnd"/>
    </w:p>
    <w:p w14:paraId="51DEC3F9" w14:textId="77777777" w:rsidR="00AE1972" w:rsidRPr="00781112" w:rsidRDefault="00AE1972" w:rsidP="00AE1972">
      <w:pPr>
        <w:rPr>
          <w:rFonts w:cs="Arial"/>
          <w:b/>
          <w:bCs/>
        </w:rPr>
      </w:pPr>
      <w:r w:rsidRPr="00781112">
        <w:rPr>
          <w:rFonts w:cs="Arial"/>
          <w:b/>
          <w:bCs/>
        </w:rPr>
        <w:t>Please provide the data for the specific FFY listed below (expressed as actual number and percentages)</w:t>
      </w:r>
      <w:r w:rsidRPr="00781112">
        <w:rPr>
          <w:rFonts w:cs="Arial"/>
          <w:b/>
          <w:bCs/>
          <w:i/>
          <w:iCs/>
        </w:rPr>
        <w:t xml:space="preserve">. </w:t>
      </w:r>
    </w:p>
    <w:p w14:paraId="6A111227" w14:textId="77777777" w:rsidR="00AE1972" w:rsidRPr="00781112" w:rsidRDefault="00AE1972" w:rsidP="00AE1972">
      <w:pPr>
        <w:rPr>
          <w:b/>
          <w:bCs/>
        </w:rPr>
      </w:pPr>
      <w:r w:rsidRPr="00781112">
        <w:rPr>
          <w:b/>
          <w:bCs/>
        </w:rPr>
        <w:t>Select yes if the State uses two targets for measurement. (yes/no)</w:t>
      </w:r>
    </w:p>
    <w:p w14:paraId="2BF2552F" w14:textId="1ABFEEE3" w:rsidR="00AE1972" w:rsidRDefault="00AE1972" w:rsidP="00AE1972">
      <w:r w:rsidRPr="00781112">
        <w:t>NO</w:t>
      </w:r>
    </w:p>
    <w:p w14:paraId="73EF288E" w14:textId="77777777" w:rsidR="00B41EFC" w:rsidRDefault="00B41EFC" w:rsidP="00B41EFC">
      <w:pPr>
        <w:rPr>
          <w:rFonts w:cs="Arial"/>
          <w:szCs w:val="16"/>
        </w:rPr>
      </w:pPr>
    </w:p>
    <w:p w14:paraId="4446F409" w14:textId="77777777" w:rsidR="00B41EFC" w:rsidRDefault="00B41EFC" w:rsidP="00B41EFC">
      <w:pPr>
        <w:rPr>
          <w:rFonts w:cs="Arial"/>
          <w:b/>
          <w:bCs/>
          <w:szCs w:val="16"/>
        </w:rPr>
      </w:pPr>
    </w:p>
    <w:p w14:paraId="0CE6ADBC" w14:textId="4FD54FDF" w:rsidR="00AE1972" w:rsidRPr="00781112" w:rsidRDefault="00AE1972" w:rsidP="00AE1972">
      <w:pPr>
        <w:rPr>
          <w:rFonts w:cs="Arial"/>
          <w:b/>
          <w:color w:val="000000" w:themeColor="text1"/>
          <w:szCs w:val="16"/>
        </w:rPr>
      </w:pPr>
      <w:r w:rsidRPr="00781112">
        <w:rPr>
          <w:rFonts w:cs="Arial"/>
          <w:b/>
          <w:color w:val="000000" w:themeColor="text1"/>
          <w:szCs w:val="16"/>
        </w:rPr>
        <w:t>Historical Data</w:t>
      </w:r>
    </w:p>
    <w:tbl>
      <w:tblPr>
        <w:tblW w:w="17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7BASELINEDATA"/>
      </w:tblPr>
      <w:tblGrid>
        <w:gridCol w:w="1797"/>
        <w:gridCol w:w="1889"/>
      </w:tblGrid>
      <w:tr w:rsidR="00AE1972" w:rsidRPr="00781112" w14:paraId="1864403F" w14:textId="77777777" w:rsidTr="00597BC3">
        <w:trPr>
          <w:trHeight w:val="350"/>
          <w:tblHeader/>
        </w:trPr>
        <w:tc>
          <w:tcPr>
            <w:tcW w:w="4389" w:type="pct"/>
            <w:tcBorders>
              <w:bottom w:val="single" w:sz="4" w:space="0" w:color="auto"/>
            </w:tcBorders>
            <w:shd w:val="clear" w:color="auto" w:fill="auto"/>
            <w:vAlign w:val="center"/>
          </w:tcPr>
          <w:p w14:paraId="0F193165" w14:textId="77777777" w:rsidR="00AE1972" w:rsidRPr="00781112" w:rsidRDefault="00AE1972" w:rsidP="00FE5C1F">
            <w:pPr>
              <w:jc w:val="center"/>
              <w:rPr>
                <w:b/>
                <w:bCs/>
                <w:color w:val="000000" w:themeColor="text1"/>
              </w:rPr>
            </w:pPr>
            <w:r w:rsidRPr="00781112">
              <w:rPr>
                <w:b/>
                <w:bCs/>
                <w:color w:val="000000" w:themeColor="text1"/>
              </w:rPr>
              <w:t>Baseline Year</w:t>
            </w:r>
          </w:p>
        </w:tc>
        <w:tc>
          <w:tcPr>
            <w:tcW w:w="611" w:type="pct"/>
            <w:shd w:val="clear" w:color="auto" w:fill="auto"/>
            <w:vAlign w:val="center"/>
          </w:tcPr>
          <w:p w14:paraId="54889FB8" w14:textId="77777777" w:rsidR="00AE1972" w:rsidRPr="00781112" w:rsidRDefault="00AE1972" w:rsidP="00FE5C1F">
            <w:pPr>
              <w:jc w:val="center"/>
              <w:rPr>
                <w:b/>
                <w:bCs/>
                <w:color w:val="000000" w:themeColor="text1"/>
              </w:rPr>
            </w:pPr>
            <w:r w:rsidRPr="00781112">
              <w:rPr>
                <w:b/>
                <w:bCs/>
                <w:color w:val="000000" w:themeColor="text1"/>
              </w:rPr>
              <w:t>Baseline Data</w:t>
            </w:r>
          </w:p>
        </w:tc>
      </w:tr>
      <w:tr w:rsidR="00AE1972" w:rsidRPr="00781112" w14:paraId="6F811ED4" w14:textId="77777777" w:rsidTr="00597BC3">
        <w:trPr>
          <w:trHeight w:val="350"/>
        </w:trPr>
        <w:tc>
          <w:tcPr>
            <w:tcW w:w="4389" w:type="pct"/>
            <w:tcBorders>
              <w:bottom w:val="single" w:sz="4" w:space="0" w:color="auto"/>
            </w:tcBorders>
            <w:shd w:val="clear" w:color="auto" w:fill="auto"/>
          </w:tcPr>
          <w:p w14:paraId="590161AA" w14:textId="53B72043" w:rsidR="00AE1972" w:rsidRPr="00781112" w:rsidRDefault="00AE1972" w:rsidP="00FE5C1F">
            <w:pPr>
              <w:jc w:val="center"/>
              <w:rPr>
                <w:b/>
                <w:color w:val="000000" w:themeColor="text1"/>
              </w:rPr>
            </w:pPr>
            <w:r w:rsidRPr="00781112">
              <w:rPr>
                <w:color w:val="000000" w:themeColor="text1"/>
              </w:rPr>
              <w:t>2019</w:t>
            </w:r>
          </w:p>
        </w:tc>
        <w:tc>
          <w:tcPr>
            <w:tcW w:w="611" w:type="pct"/>
            <w:shd w:val="clear" w:color="auto" w:fill="auto"/>
            <w:vAlign w:val="center"/>
          </w:tcPr>
          <w:p w14:paraId="250C9A1D" w14:textId="277095B1" w:rsidR="00AE1972" w:rsidRPr="00781112" w:rsidRDefault="00AE1972" w:rsidP="00FE5C1F">
            <w:pPr>
              <w:jc w:val="center"/>
              <w:rPr>
                <w:color w:val="000000" w:themeColor="text1"/>
              </w:rPr>
            </w:pPr>
            <w:r w:rsidRPr="00781112">
              <w:rPr>
                <w:color w:val="000000" w:themeColor="text1"/>
              </w:rPr>
              <w:t>12.40%</w:t>
            </w:r>
          </w:p>
        </w:tc>
      </w:tr>
    </w:tbl>
    <w:p w14:paraId="4788921E" w14:textId="77777777" w:rsidR="00AE1972" w:rsidRPr="00781112" w:rsidRDefault="00AE1972" w:rsidP="00AE1972">
      <w:pPr>
        <w:rPr>
          <w:rFonts w:cs="Arial"/>
          <w:b/>
          <w:color w:val="000000" w:themeColor="text1"/>
          <w:szCs w:val="16"/>
        </w:rPr>
      </w:pPr>
    </w:p>
    <w:p w14:paraId="0C86853A" w14:textId="443BF373" w:rsidR="00A434C8" w:rsidRDefault="00A434C8" w:rsidP="00AE1972">
      <w:pPr>
        <w:rPr>
          <w:b/>
          <w:color w:val="000000" w:themeColor="text1"/>
        </w:rPr>
      </w:pPr>
    </w:p>
    <w:p w14:paraId="31429C8D" w14:textId="77777777" w:rsidR="00B41EFC" w:rsidRDefault="00B41EFC" w:rsidP="00AE1972">
      <w:pPr>
        <w:rPr>
          <w:b/>
          <w:color w:val="000000" w:themeColor="text1"/>
        </w:rPr>
      </w:pPr>
    </w:p>
    <w:p w14:paraId="5D5A6057" w14:textId="7CB1F16B" w:rsidR="00AE1972" w:rsidRPr="00781112" w:rsidRDefault="00AE1972" w:rsidP="00AE1972">
      <w:pPr>
        <w:rPr>
          <w:color w:val="000000" w:themeColor="text1"/>
        </w:rPr>
      </w:pPr>
      <w:r w:rsidRPr="00781112">
        <w:rPr>
          <w:b/>
          <w:color w:val="000000" w:themeColor="text1"/>
        </w:rPr>
        <w:t>Targets</w:t>
      </w:r>
    </w:p>
    <w:tbl>
      <w:tblPr>
        <w:tblW w:w="42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7TARGETS"/>
      </w:tblPr>
      <w:tblGrid>
        <w:gridCol w:w="806"/>
        <w:gridCol w:w="1666"/>
        <w:gridCol w:w="1665"/>
        <w:gridCol w:w="1665"/>
        <w:gridCol w:w="1665"/>
        <w:gridCol w:w="1663"/>
      </w:tblGrid>
      <w:tr w:rsidR="008A0370" w:rsidRPr="00781112" w14:paraId="6151B608" w14:textId="77777777" w:rsidTr="008A0370">
        <w:trPr>
          <w:trHeight w:val="360"/>
        </w:trPr>
        <w:tc>
          <w:tcPr>
            <w:tcW w:w="441" w:type="pct"/>
            <w:tcBorders>
              <w:bottom w:val="single" w:sz="4" w:space="0" w:color="auto"/>
            </w:tcBorders>
            <w:shd w:val="clear" w:color="auto" w:fill="auto"/>
          </w:tcPr>
          <w:p w14:paraId="6F2EC278" w14:textId="77777777" w:rsidR="008A0370" w:rsidRPr="00781112" w:rsidRDefault="008A0370" w:rsidP="00FE5C1F">
            <w:pPr>
              <w:jc w:val="center"/>
              <w:rPr>
                <w:b/>
                <w:color w:val="000000" w:themeColor="text1"/>
              </w:rPr>
            </w:pPr>
            <w:r w:rsidRPr="00781112">
              <w:rPr>
                <w:b/>
                <w:color w:val="000000" w:themeColor="text1"/>
              </w:rPr>
              <w:lastRenderedPageBreak/>
              <w:t>FFY</w:t>
            </w:r>
          </w:p>
        </w:tc>
        <w:tc>
          <w:tcPr>
            <w:tcW w:w="912" w:type="pct"/>
          </w:tcPr>
          <w:p w14:paraId="2B701BD5" w14:textId="7BC1A8DC" w:rsidR="008A0370" w:rsidRPr="00781112" w:rsidRDefault="008A0370" w:rsidP="00FE5C1F">
            <w:pPr>
              <w:jc w:val="center"/>
              <w:rPr>
                <w:b/>
                <w:color w:val="000000" w:themeColor="text1"/>
              </w:rPr>
            </w:pPr>
            <w:r>
              <w:rPr>
                <w:b/>
                <w:color w:val="000000" w:themeColor="text1"/>
              </w:rPr>
              <w:t>Current Relationship</w:t>
            </w:r>
          </w:p>
        </w:tc>
        <w:tc>
          <w:tcPr>
            <w:tcW w:w="912" w:type="pct"/>
            <w:shd w:val="clear" w:color="auto" w:fill="auto"/>
            <w:vAlign w:val="center"/>
          </w:tcPr>
          <w:p w14:paraId="6FE75FC4" w14:textId="543C615D" w:rsidR="008A0370" w:rsidRPr="00781112" w:rsidRDefault="008A0370" w:rsidP="00FE5C1F">
            <w:pPr>
              <w:jc w:val="center"/>
              <w:rPr>
                <w:b/>
                <w:color w:val="000000" w:themeColor="text1"/>
              </w:rPr>
            </w:pPr>
            <w:r w:rsidRPr="00781112">
              <w:rPr>
                <w:b/>
                <w:color w:val="000000" w:themeColor="text1"/>
              </w:rPr>
              <w:t>2022</w:t>
            </w:r>
          </w:p>
        </w:tc>
        <w:tc>
          <w:tcPr>
            <w:tcW w:w="912" w:type="pct"/>
          </w:tcPr>
          <w:p w14:paraId="1A51CAE1" w14:textId="77777777" w:rsidR="008A0370" w:rsidRPr="00781112" w:rsidRDefault="008A0370" w:rsidP="00FE5C1F">
            <w:pPr>
              <w:jc w:val="center"/>
              <w:rPr>
                <w:b/>
                <w:color w:val="000000" w:themeColor="text1"/>
              </w:rPr>
            </w:pPr>
            <w:r w:rsidRPr="00781112">
              <w:rPr>
                <w:rFonts w:cs="Arial"/>
                <w:b/>
                <w:color w:val="000000" w:themeColor="text1"/>
                <w:szCs w:val="16"/>
              </w:rPr>
              <w:t>2023</w:t>
            </w:r>
          </w:p>
        </w:tc>
        <w:tc>
          <w:tcPr>
            <w:tcW w:w="912" w:type="pct"/>
          </w:tcPr>
          <w:p w14:paraId="4EE0EA23" w14:textId="77777777" w:rsidR="008A0370" w:rsidRPr="00781112" w:rsidRDefault="008A0370" w:rsidP="00FE5C1F">
            <w:pPr>
              <w:jc w:val="center"/>
              <w:rPr>
                <w:b/>
                <w:color w:val="000000" w:themeColor="text1"/>
              </w:rPr>
            </w:pPr>
            <w:r w:rsidRPr="00781112">
              <w:rPr>
                <w:rFonts w:cs="Arial"/>
                <w:b/>
                <w:color w:val="000000" w:themeColor="text1"/>
                <w:szCs w:val="16"/>
              </w:rPr>
              <w:t>2024</w:t>
            </w:r>
          </w:p>
        </w:tc>
        <w:tc>
          <w:tcPr>
            <w:tcW w:w="912" w:type="pct"/>
          </w:tcPr>
          <w:p w14:paraId="258316BC" w14:textId="77777777" w:rsidR="008A0370" w:rsidRPr="00781112" w:rsidRDefault="008A0370" w:rsidP="00FE5C1F">
            <w:pPr>
              <w:jc w:val="center"/>
              <w:rPr>
                <w:b/>
                <w:color w:val="000000" w:themeColor="text1"/>
              </w:rPr>
            </w:pPr>
            <w:r w:rsidRPr="00781112">
              <w:rPr>
                <w:rFonts w:cs="Arial"/>
                <w:b/>
                <w:color w:val="000000" w:themeColor="text1"/>
                <w:szCs w:val="16"/>
              </w:rPr>
              <w:t>2025</w:t>
            </w:r>
          </w:p>
        </w:tc>
      </w:tr>
      <w:tr w:rsidR="008A0370" w:rsidRPr="00781112" w14:paraId="7F5560B1" w14:textId="77777777" w:rsidTr="008A0370">
        <w:trPr>
          <w:trHeight w:val="367"/>
        </w:trPr>
        <w:tc>
          <w:tcPr>
            <w:tcW w:w="441" w:type="pct"/>
            <w:shd w:val="clear" w:color="auto" w:fill="auto"/>
          </w:tcPr>
          <w:p w14:paraId="16C136D0" w14:textId="4A0B58F9" w:rsidR="008A0370" w:rsidRPr="00781112" w:rsidRDefault="008A0370" w:rsidP="00BA3DBE">
            <w:pPr>
              <w:jc w:val="center"/>
              <w:rPr>
                <w:rFonts w:cs="Arial"/>
                <w:color w:val="000000" w:themeColor="text1"/>
                <w:szCs w:val="16"/>
              </w:rPr>
            </w:pPr>
            <w:r w:rsidRPr="00781112">
              <w:rPr>
                <w:rFonts w:cs="Arial"/>
                <w:color w:val="000000" w:themeColor="text1"/>
                <w:szCs w:val="16"/>
              </w:rPr>
              <w:t>Target</w:t>
            </w:r>
          </w:p>
        </w:tc>
        <w:tc>
          <w:tcPr>
            <w:tcW w:w="912" w:type="pct"/>
          </w:tcPr>
          <w:p w14:paraId="1EE4EF8F" w14:textId="2FF13FB0" w:rsidR="008A0370" w:rsidRPr="00781112" w:rsidRDefault="008A0370" w:rsidP="00FE5C1F">
            <w:pPr>
              <w:jc w:val="center"/>
              <w:rPr>
                <w:color w:val="000000" w:themeColor="text1"/>
              </w:rPr>
            </w:pPr>
            <w:r w:rsidRPr="008A0370">
              <w:rPr>
                <w:color w:val="000000" w:themeColor="text1"/>
              </w:rPr>
              <w:t>Data must be greater than or equal to the target</w:t>
            </w:r>
          </w:p>
        </w:tc>
        <w:tc>
          <w:tcPr>
            <w:tcW w:w="912" w:type="pct"/>
            <w:shd w:val="clear" w:color="auto" w:fill="auto"/>
            <w:vAlign w:val="center"/>
          </w:tcPr>
          <w:p w14:paraId="0D607E3E" w14:textId="06E87534" w:rsidR="008A0370" w:rsidRPr="00781112" w:rsidRDefault="008A0370" w:rsidP="00FE5C1F">
            <w:pPr>
              <w:jc w:val="center"/>
              <w:rPr>
                <w:color w:val="000000" w:themeColor="text1"/>
              </w:rPr>
            </w:pPr>
            <w:r w:rsidRPr="00781112">
              <w:rPr>
                <w:color w:val="000000" w:themeColor="text1"/>
              </w:rPr>
              <w:t>17.00%</w:t>
            </w:r>
          </w:p>
        </w:tc>
        <w:tc>
          <w:tcPr>
            <w:tcW w:w="912" w:type="pct"/>
          </w:tcPr>
          <w:p w14:paraId="49D7B83C" w14:textId="5D2EEC9F" w:rsidR="008A0370" w:rsidRPr="00781112" w:rsidRDefault="008A0370" w:rsidP="00FE5C1F">
            <w:pPr>
              <w:jc w:val="center"/>
              <w:rPr>
                <w:color w:val="000000" w:themeColor="text1"/>
              </w:rPr>
            </w:pPr>
            <w:r w:rsidRPr="00781112">
              <w:rPr>
                <w:rFonts w:cs="Arial"/>
                <w:color w:val="000000" w:themeColor="text1"/>
                <w:szCs w:val="16"/>
              </w:rPr>
              <w:t>17.60%</w:t>
            </w:r>
          </w:p>
        </w:tc>
        <w:tc>
          <w:tcPr>
            <w:tcW w:w="912" w:type="pct"/>
          </w:tcPr>
          <w:p w14:paraId="73C3B9F9" w14:textId="4B324AE0" w:rsidR="008A0370" w:rsidRPr="00781112" w:rsidRDefault="008A0370" w:rsidP="00FE5C1F">
            <w:pPr>
              <w:jc w:val="center"/>
              <w:rPr>
                <w:color w:val="000000" w:themeColor="text1"/>
              </w:rPr>
            </w:pPr>
            <w:r w:rsidRPr="00781112">
              <w:rPr>
                <w:rFonts w:cs="Arial"/>
                <w:color w:val="000000" w:themeColor="text1"/>
                <w:szCs w:val="16"/>
              </w:rPr>
              <w:t>18.60%</w:t>
            </w:r>
          </w:p>
        </w:tc>
        <w:tc>
          <w:tcPr>
            <w:tcW w:w="912" w:type="pct"/>
          </w:tcPr>
          <w:p w14:paraId="36C2800A" w14:textId="411CFB34" w:rsidR="008A0370" w:rsidRPr="00781112" w:rsidRDefault="008A0370" w:rsidP="00FE5C1F">
            <w:pPr>
              <w:jc w:val="center"/>
              <w:rPr>
                <w:color w:val="000000" w:themeColor="text1"/>
              </w:rPr>
            </w:pPr>
            <w:r w:rsidRPr="00781112">
              <w:rPr>
                <w:rFonts w:cs="Arial"/>
                <w:color w:val="000000" w:themeColor="text1"/>
                <w:szCs w:val="16"/>
              </w:rPr>
              <w:t>20.10%</w:t>
            </w:r>
          </w:p>
        </w:tc>
      </w:tr>
    </w:tbl>
    <w:p w14:paraId="096B5400" w14:textId="77777777" w:rsidR="00AE1972" w:rsidRPr="00781112" w:rsidRDefault="00AE1972" w:rsidP="00AE1972">
      <w:pPr>
        <w:pStyle w:val="Italic"/>
        <w:rPr>
          <w:rFonts w:cs="Arial"/>
          <w:i w:val="0"/>
          <w:color w:val="000000" w:themeColor="text1"/>
          <w:szCs w:val="16"/>
        </w:rPr>
      </w:pPr>
    </w:p>
    <w:p w14:paraId="7582347A" w14:textId="5B4A14FE" w:rsidR="00AE1972" w:rsidRPr="00781112" w:rsidRDefault="0047313F" w:rsidP="00AE1972">
      <w:pPr>
        <w:rPr>
          <w:b/>
          <w:color w:val="000000" w:themeColor="text1"/>
        </w:rPr>
      </w:pPr>
      <w:r>
        <w:rPr>
          <w:b/>
          <w:color w:val="000000" w:themeColor="text1"/>
        </w:rPr>
        <w:t xml:space="preserve">FFY 2022 SPP/APR Data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7FFYAPRDATA"/>
      </w:tblPr>
      <w:tblGrid>
        <w:gridCol w:w="2515"/>
        <w:gridCol w:w="1890"/>
        <w:gridCol w:w="1439"/>
        <w:gridCol w:w="1351"/>
        <w:gridCol w:w="1260"/>
        <w:gridCol w:w="1260"/>
        <w:gridCol w:w="1075"/>
      </w:tblGrid>
      <w:tr w:rsidR="00B21923" w:rsidRPr="00781112" w14:paraId="6ACE308B" w14:textId="77777777" w:rsidTr="004B2960">
        <w:trPr>
          <w:trHeight w:val="354"/>
        </w:trPr>
        <w:tc>
          <w:tcPr>
            <w:tcW w:w="1165" w:type="pct"/>
            <w:shd w:val="clear" w:color="auto" w:fill="auto"/>
            <w:vAlign w:val="bottom"/>
          </w:tcPr>
          <w:p w14:paraId="1F241A2B" w14:textId="43C3BBEC" w:rsidR="00B21923" w:rsidRPr="00781112" w:rsidRDefault="00B21923" w:rsidP="00B21923">
            <w:pPr>
              <w:jc w:val="center"/>
              <w:rPr>
                <w:b/>
                <w:bCs/>
                <w:color w:val="000000" w:themeColor="text1"/>
                <w:szCs w:val="16"/>
              </w:rPr>
            </w:pPr>
            <w:r w:rsidRPr="00781112">
              <w:rPr>
                <w:b/>
                <w:bCs/>
                <w:color w:val="000000" w:themeColor="text1"/>
                <w:szCs w:val="16"/>
              </w:rPr>
              <w:t>Grade 2 SWD Reading Proficiency</w:t>
            </w:r>
          </w:p>
        </w:tc>
        <w:tc>
          <w:tcPr>
            <w:tcW w:w="876" w:type="pct"/>
            <w:shd w:val="clear" w:color="auto" w:fill="auto"/>
            <w:vAlign w:val="bottom"/>
          </w:tcPr>
          <w:p w14:paraId="470CA230" w14:textId="5C37C1F9" w:rsidR="00B21923" w:rsidRPr="00781112" w:rsidRDefault="00B21923" w:rsidP="00B21923">
            <w:pPr>
              <w:jc w:val="center"/>
              <w:rPr>
                <w:b/>
                <w:bCs/>
                <w:color w:val="000000" w:themeColor="text1"/>
                <w:szCs w:val="16"/>
              </w:rPr>
            </w:pPr>
            <w:r w:rsidRPr="00781112">
              <w:rPr>
                <w:b/>
                <w:bCs/>
                <w:color w:val="000000" w:themeColor="text1"/>
                <w:szCs w:val="16"/>
              </w:rPr>
              <w:t>Total SWDs in Grade 2</w:t>
            </w:r>
          </w:p>
        </w:tc>
        <w:tc>
          <w:tcPr>
            <w:tcW w:w="667" w:type="pct"/>
            <w:shd w:val="clear" w:color="auto" w:fill="auto"/>
            <w:vAlign w:val="bottom"/>
          </w:tcPr>
          <w:p w14:paraId="4AB6D89D" w14:textId="4414280B" w:rsidR="00B21923" w:rsidRPr="00781112" w:rsidRDefault="00B21923" w:rsidP="00B21923">
            <w:pPr>
              <w:jc w:val="center"/>
              <w:rPr>
                <w:b/>
                <w:color w:val="000000" w:themeColor="text1"/>
                <w:szCs w:val="16"/>
              </w:rPr>
            </w:pPr>
            <w:r>
              <w:t>FFY 202</w:t>
            </w:r>
            <w:r w:rsidR="00FC1D83">
              <w:t>1</w:t>
            </w:r>
            <w:r w:rsidRPr="00C318B5">
              <w:t xml:space="preserve"> Data</w:t>
            </w:r>
          </w:p>
        </w:tc>
        <w:tc>
          <w:tcPr>
            <w:tcW w:w="626" w:type="pct"/>
            <w:shd w:val="clear" w:color="auto" w:fill="auto"/>
            <w:vAlign w:val="bottom"/>
          </w:tcPr>
          <w:p w14:paraId="63A0DC52" w14:textId="54510AAE" w:rsidR="00B21923" w:rsidRPr="00781112" w:rsidRDefault="00B21923" w:rsidP="00B21923">
            <w:pPr>
              <w:jc w:val="center"/>
              <w:rPr>
                <w:b/>
                <w:color w:val="000000" w:themeColor="text1"/>
                <w:szCs w:val="16"/>
              </w:rPr>
            </w:pPr>
            <w:r>
              <w:t>FFY 202</w:t>
            </w:r>
            <w:r w:rsidR="00FC1D83">
              <w:t>2</w:t>
            </w:r>
            <w:r w:rsidRPr="00C318B5">
              <w:t xml:space="preserve"> Target</w:t>
            </w:r>
          </w:p>
        </w:tc>
        <w:tc>
          <w:tcPr>
            <w:tcW w:w="584" w:type="pct"/>
            <w:shd w:val="clear" w:color="auto" w:fill="auto"/>
            <w:vAlign w:val="bottom"/>
          </w:tcPr>
          <w:p w14:paraId="2D311519" w14:textId="4413A980" w:rsidR="00B21923" w:rsidRPr="00781112" w:rsidRDefault="00B21923" w:rsidP="00B21923">
            <w:pPr>
              <w:jc w:val="center"/>
              <w:rPr>
                <w:b/>
                <w:color w:val="000000" w:themeColor="text1"/>
                <w:szCs w:val="16"/>
              </w:rPr>
            </w:pPr>
            <w:r>
              <w:t>FFY 202</w:t>
            </w:r>
            <w:r w:rsidR="00FC1D83">
              <w:t>2</w:t>
            </w:r>
            <w:r w:rsidRPr="00C318B5">
              <w:t xml:space="preserve"> Data</w:t>
            </w:r>
          </w:p>
        </w:tc>
        <w:tc>
          <w:tcPr>
            <w:tcW w:w="584" w:type="pct"/>
            <w:shd w:val="clear" w:color="auto" w:fill="auto"/>
            <w:vAlign w:val="bottom"/>
          </w:tcPr>
          <w:p w14:paraId="4F033BB8" w14:textId="77777777" w:rsidR="00B21923" w:rsidRPr="00781112" w:rsidRDefault="00B21923" w:rsidP="00B21923">
            <w:pPr>
              <w:jc w:val="center"/>
              <w:rPr>
                <w:b/>
                <w:color w:val="000000" w:themeColor="text1"/>
                <w:szCs w:val="16"/>
              </w:rPr>
            </w:pPr>
            <w:r w:rsidRPr="00781112">
              <w:rPr>
                <w:b/>
                <w:color w:val="000000" w:themeColor="text1"/>
                <w:szCs w:val="16"/>
              </w:rPr>
              <w:t>Status</w:t>
            </w:r>
          </w:p>
        </w:tc>
        <w:tc>
          <w:tcPr>
            <w:tcW w:w="498" w:type="pct"/>
            <w:shd w:val="clear" w:color="auto" w:fill="auto"/>
            <w:vAlign w:val="bottom"/>
          </w:tcPr>
          <w:p w14:paraId="4A16E14D" w14:textId="77777777" w:rsidR="00B21923" w:rsidRPr="00781112" w:rsidRDefault="00B21923" w:rsidP="00B21923">
            <w:pPr>
              <w:jc w:val="center"/>
              <w:rPr>
                <w:b/>
                <w:color w:val="000000" w:themeColor="text1"/>
                <w:szCs w:val="16"/>
              </w:rPr>
            </w:pPr>
            <w:r w:rsidRPr="00781112">
              <w:rPr>
                <w:b/>
                <w:color w:val="000000" w:themeColor="text1"/>
                <w:szCs w:val="16"/>
              </w:rPr>
              <w:t>Slippage</w:t>
            </w:r>
          </w:p>
        </w:tc>
      </w:tr>
      <w:tr w:rsidR="00AE1972" w:rsidRPr="00781112" w14:paraId="0CC3AF11" w14:textId="77777777" w:rsidTr="004B2960">
        <w:trPr>
          <w:trHeight w:val="287"/>
        </w:trPr>
        <w:tc>
          <w:tcPr>
            <w:tcW w:w="1165" w:type="pct"/>
            <w:shd w:val="clear" w:color="auto" w:fill="auto"/>
            <w:vAlign w:val="center"/>
          </w:tcPr>
          <w:p w14:paraId="03294214" w14:textId="00B9AA4D" w:rsidR="00AE1972" w:rsidRPr="00781112" w:rsidRDefault="00AE1972" w:rsidP="00FE5C1F">
            <w:pPr>
              <w:jc w:val="center"/>
              <w:rPr>
                <w:color w:val="000000" w:themeColor="text1"/>
                <w:szCs w:val="16"/>
              </w:rPr>
            </w:pPr>
            <w:r w:rsidRPr="00781112">
              <w:rPr>
                <w:color w:val="000000" w:themeColor="text1"/>
                <w:szCs w:val="16"/>
              </w:rPr>
              <w:t>21</w:t>
            </w:r>
          </w:p>
        </w:tc>
        <w:tc>
          <w:tcPr>
            <w:tcW w:w="876" w:type="pct"/>
            <w:shd w:val="clear" w:color="auto" w:fill="auto"/>
            <w:vAlign w:val="center"/>
          </w:tcPr>
          <w:p w14:paraId="60D8BD39" w14:textId="04B0428F" w:rsidR="00AE1972" w:rsidRPr="00781112" w:rsidRDefault="00AE1972" w:rsidP="00FE5C1F">
            <w:pPr>
              <w:jc w:val="center"/>
              <w:rPr>
                <w:color w:val="000000" w:themeColor="text1"/>
                <w:szCs w:val="16"/>
              </w:rPr>
            </w:pPr>
            <w:r w:rsidRPr="00781112">
              <w:rPr>
                <w:color w:val="000000" w:themeColor="text1"/>
                <w:szCs w:val="16"/>
              </w:rPr>
              <w:t>202</w:t>
            </w:r>
          </w:p>
        </w:tc>
        <w:tc>
          <w:tcPr>
            <w:tcW w:w="667" w:type="pct"/>
            <w:shd w:val="clear" w:color="auto" w:fill="auto"/>
          </w:tcPr>
          <w:p w14:paraId="75E02A3E" w14:textId="1669E08C" w:rsidR="00AE1972" w:rsidRPr="00781112" w:rsidRDefault="00AE1972" w:rsidP="00FE5C1F">
            <w:pPr>
              <w:jc w:val="center"/>
              <w:rPr>
                <w:color w:val="000000" w:themeColor="text1"/>
                <w:szCs w:val="16"/>
              </w:rPr>
            </w:pPr>
            <w:r w:rsidRPr="00781112">
              <w:rPr>
                <w:rFonts w:cs="Arial"/>
                <w:color w:val="000000" w:themeColor="text1"/>
                <w:szCs w:val="16"/>
              </w:rPr>
              <w:t>16.46%</w:t>
            </w:r>
          </w:p>
        </w:tc>
        <w:tc>
          <w:tcPr>
            <w:tcW w:w="626" w:type="pct"/>
            <w:shd w:val="clear" w:color="auto" w:fill="auto"/>
          </w:tcPr>
          <w:p w14:paraId="33C18B01" w14:textId="595A4E89" w:rsidR="00AE1972" w:rsidRPr="00781112" w:rsidRDefault="00AE1972" w:rsidP="00FE5C1F">
            <w:pPr>
              <w:jc w:val="center"/>
              <w:rPr>
                <w:color w:val="000000" w:themeColor="text1"/>
                <w:szCs w:val="16"/>
              </w:rPr>
            </w:pPr>
            <w:r w:rsidRPr="00781112">
              <w:rPr>
                <w:color w:val="000000" w:themeColor="text1"/>
                <w:szCs w:val="16"/>
              </w:rPr>
              <w:t>17.00%</w:t>
            </w:r>
          </w:p>
        </w:tc>
        <w:tc>
          <w:tcPr>
            <w:tcW w:w="584" w:type="pct"/>
            <w:shd w:val="clear" w:color="auto" w:fill="auto"/>
          </w:tcPr>
          <w:p w14:paraId="22FE7038" w14:textId="7027AD57" w:rsidR="00AE1972" w:rsidRPr="00781112" w:rsidRDefault="00AE1972" w:rsidP="00FE5C1F">
            <w:pPr>
              <w:jc w:val="center"/>
              <w:rPr>
                <w:color w:val="000000" w:themeColor="text1"/>
                <w:szCs w:val="16"/>
              </w:rPr>
            </w:pPr>
            <w:r w:rsidRPr="00781112">
              <w:rPr>
                <w:rFonts w:cs="Arial"/>
                <w:color w:val="000000" w:themeColor="text1"/>
                <w:szCs w:val="16"/>
              </w:rPr>
              <w:t>10.40%</w:t>
            </w:r>
          </w:p>
        </w:tc>
        <w:tc>
          <w:tcPr>
            <w:tcW w:w="584" w:type="pct"/>
            <w:shd w:val="clear" w:color="auto" w:fill="auto"/>
          </w:tcPr>
          <w:p w14:paraId="1623D96E" w14:textId="3DCB7177" w:rsidR="00AE1972" w:rsidRPr="00781112" w:rsidRDefault="00AE1972" w:rsidP="00FE5C1F">
            <w:pPr>
              <w:jc w:val="center"/>
              <w:rPr>
                <w:color w:val="000000" w:themeColor="text1"/>
              </w:rPr>
            </w:pPr>
            <w:r w:rsidRPr="00781112">
              <w:rPr>
                <w:color w:val="000000" w:themeColor="text1"/>
              </w:rPr>
              <w:t>Did not meet target</w:t>
            </w:r>
          </w:p>
        </w:tc>
        <w:tc>
          <w:tcPr>
            <w:tcW w:w="498" w:type="pct"/>
            <w:shd w:val="clear" w:color="auto" w:fill="auto"/>
          </w:tcPr>
          <w:p w14:paraId="78591691" w14:textId="070A8ABA" w:rsidR="00AE1972" w:rsidRPr="00781112" w:rsidRDefault="00AE1972" w:rsidP="00FE5C1F">
            <w:pPr>
              <w:jc w:val="center"/>
              <w:rPr>
                <w:color w:val="000000" w:themeColor="text1"/>
              </w:rPr>
            </w:pPr>
            <w:r w:rsidRPr="00781112">
              <w:rPr>
                <w:color w:val="000000" w:themeColor="text1"/>
              </w:rPr>
              <w:t>Slippage</w:t>
            </w:r>
          </w:p>
        </w:tc>
      </w:tr>
    </w:tbl>
    <w:p w14:paraId="41D5A2DB" w14:textId="77777777" w:rsidR="00AE1972" w:rsidRPr="00781112" w:rsidRDefault="00AE1972" w:rsidP="00AE1972">
      <w:pPr>
        <w:rPr>
          <w:rFonts w:cs="Arial"/>
          <w:b/>
          <w:i/>
          <w:color w:val="000000" w:themeColor="text1"/>
          <w:szCs w:val="16"/>
        </w:rPr>
      </w:pPr>
      <w:r w:rsidRPr="00781112">
        <w:rPr>
          <w:rFonts w:cs="Arial"/>
          <w:b/>
          <w:color w:val="000000" w:themeColor="text1"/>
          <w:szCs w:val="16"/>
        </w:rPr>
        <w:t xml:space="preserve">Provide reasons for slippage, if applicable </w:t>
      </w:r>
    </w:p>
    <w:p w14:paraId="3BD5956F" w14:textId="215BB5DA" w:rsidR="00AE1972" w:rsidRPr="00781112" w:rsidRDefault="00AE1972" w:rsidP="00AE1972">
      <w:pPr>
        <w:rPr>
          <w:color w:val="000000" w:themeColor="text1"/>
        </w:rPr>
      </w:pPr>
      <w:r w:rsidRPr="00781112">
        <w:rPr>
          <w:color w:val="000000" w:themeColor="text1"/>
        </w:rPr>
        <w:t>The year 2022 saw a decline in performance which was attributed to adjustments in program management, the introduction of new coaches, and inadequate communication. In addition to the decline in performance, many schools were still experiencing shifts back to in-person schooling in 2022. These changes in learning environments may have also contributed to the challenges faced by students and educators alike.</w:t>
      </w:r>
    </w:p>
    <w:p w14:paraId="39105459" w14:textId="162D4481" w:rsidR="000F007B" w:rsidRDefault="000F007B" w:rsidP="000F007B"/>
    <w:p w14:paraId="42809EAB" w14:textId="359196D5" w:rsidR="000F007B" w:rsidRDefault="000F007B" w:rsidP="000F007B"/>
    <w:p w14:paraId="66E5C45A" w14:textId="77777777" w:rsidR="00AE1972" w:rsidRPr="00781112" w:rsidRDefault="00AE1972" w:rsidP="00AE1972"/>
    <w:p w14:paraId="30EFC313" w14:textId="0A7FDD02" w:rsidR="005D6EB4" w:rsidRPr="00781112" w:rsidRDefault="004F3929" w:rsidP="005D6EB4">
      <w:pPr>
        <w:rPr>
          <w:b/>
          <w:bCs/>
        </w:rPr>
      </w:pPr>
      <w:r>
        <w:rPr>
          <w:b/>
          <w:bCs/>
        </w:rPr>
        <w:t>Provide the data source for the FFY 2022 data.</w:t>
      </w:r>
    </w:p>
    <w:p w14:paraId="791B79B4" w14:textId="2C5B8D5E" w:rsidR="005D6EB4" w:rsidRPr="00781112" w:rsidRDefault="005D6EB4" w:rsidP="005D6EB4">
      <w:pPr>
        <w:rPr>
          <w:color w:val="000000" w:themeColor="text1"/>
        </w:rPr>
      </w:pPr>
      <w:r w:rsidRPr="00781112">
        <w:rPr>
          <w:color w:val="000000" w:themeColor="text1"/>
        </w:rPr>
        <w:t>The FFY 2022 data source is the End of Year (EOY) collection of Istation data as reported by the Accountability Office of the New Mexico Public Education Department.</w:t>
      </w:r>
    </w:p>
    <w:p w14:paraId="17AAB1A6" w14:textId="2D1007DB" w:rsidR="00AE1972" w:rsidRPr="00781112" w:rsidRDefault="00AE1972" w:rsidP="00AE1972">
      <w:r w:rsidRPr="00781112">
        <w:rPr>
          <w:b/>
          <w:bCs/>
        </w:rPr>
        <w:lastRenderedPageBreak/>
        <w:t xml:space="preserve">Please describe how data are collected and analyzed for the </w:t>
      </w:r>
      <w:proofErr w:type="spellStart"/>
      <w:r w:rsidRPr="00781112">
        <w:rPr>
          <w:b/>
          <w:bCs/>
        </w:rPr>
        <w:t>SiMR</w:t>
      </w:r>
      <w:proofErr w:type="spellEnd"/>
      <w:r w:rsidRPr="00781112">
        <w:t>.</w:t>
      </w:r>
    </w:p>
    <w:p w14:paraId="0A6DF7F0" w14:textId="29C12277" w:rsidR="00AE1972" w:rsidRPr="00781112" w:rsidRDefault="00AE1972" w:rsidP="00AE1972">
      <w:pPr>
        <w:rPr>
          <w:color w:val="000000" w:themeColor="text1"/>
        </w:rPr>
      </w:pPr>
      <w:r w:rsidRPr="00781112">
        <w:rPr>
          <w:color w:val="000000" w:themeColor="text1"/>
        </w:rPr>
        <w:t>The SIMR targets the reading proficiency of 2nd-grade students with disabilities in ECLIPSE participating schools and is measured using the Istation assessment data. Student performance scores are collected and compiled by the Istation software after assessment completion. Istation shares the data with the New Mexico Public Education Department's Accountability Office, which then sends the data for the 40 schools to the ECLIPSE team for evaluation purposes. The ECLIPSE team reviews and analyzes the data of 2nd-grade students with disabilities by averaging proficiency rates and the overall proficiency rates at the 40 participating schools. The proficiency rate of EOY Istation scores will determine progress toward the SIMR target.</w:t>
      </w:r>
    </w:p>
    <w:p w14:paraId="37CD625E" w14:textId="77777777" w:rsidR="00AE1972" w:rsidRPr="00781112" w:rsidRDefault="00AE1972" w:rsidP="00AE1972"/>
    <w:p w14:paraId="5D43821E" w14:textId="77777777" w:rsidR="00AE1972" w:rsidRPr="00781112" w:rsidRDefault="00AE1972" w:rsidP="00AE1972">
      <w:pPr>
        <w:rPr>
          <w:rFonts w:cs="Arial"/>
          <w:b/>
          <w:bCs/>
        </w:rPr>
      </w:pPr>
      <w:r w:rsidRPr="00781112">
        <w:rPr>
          <w:rFonts w:cs="Arial"/>
          <w:b/>
          <w:bCs/>
        </w:rPr>
        <w:t xml:space="preserve">Optional: Has the State collected additional data </w:t>
      </w:r>
      <w:r w:rsidRPr="00781112">
        <w:rPr>
          <w:rFonts w:cs="Arial"/>
          <w:b/>
          <w:bCs/>
          <w:i/>
          <w:iCs/>
        </w:rPr>
        <w:t>(i.e., benchmark, CQI, survey)</w:t>
      </w:r>
      <w:r w:rsidRPr="00781112">
        <w:rPr>
          <w:rFonts w:cs="Arial"/>
          <w:b/>
          <w:bCs/>
        </w:rPr>
        <w:t xml:space="preserve"> that demonstrates progress toward the </w:t>
      </w:r>
      <w:proofErr w:type="spellStart"/>
      <w:r w:rsidRPr="00781112">
        <w:rPr>
          <w:rFonts w:cs="Arial"/>
          <w:b/>
          <w:bCs/>
        </w:rPr>
        <w:t>SiMR</w:t>
      </w:r>
      <w:proofErr w:type="spellEnd"/>
      <w:r w:rsidRPr="00781112">
        <w:rPr>
          <w:rFonts w:cs="Arial"/>
          <w:b/>
          <w:bCs/>
        </w:rPr>
        <w:t>?</w:t>
      </w:r>
      <w:r w:rsidRPr="00781112">
        <w:rPr>
          <w:b/>
          <w:bCs/>
        </w:rPr>
        <w:t xml:space="preserve"> (yes/no)</w:t>
      </w:r>
      <w:r w:rsidRPr="00781112">
        <w:rPr>
          <w:rFonts w:cs="Arial"/>
          <w:b/>
          <w:bCs/>
        </w:rPr>
        <w:t xml:space="preserve">  </w:t>
      </w:r>
    </w:p>
    <w:p w14:paraId="01E3AE2A" w14:textId="671ECC26" w:rsidR="00AE1972" w:rsidRDefault="00AE1972" w:rsidP="00AE1972">
      <w:pPr>
        <w:rPr>
          <w:color w:val="000000" w:themeColor="text1"/>
        </w:rPr>
      </w:pPr>
      <w:r w:rsidRPr="00781112">
        <w:rPr>
          <w:color w:val="000000" w:themeColor="text1"/>
        </w:rPr>
        <w:t/>
      </w:r>
    </w:p>
    <w:p w14:paraId="2F248282" w14:textId="77777777" w:rsidR="00AE1972" w:rsidRPr="00781112" w:rsidRDefault="00AE1972" w:rsidP="00AE1972">
      <w:pPr>
        <w:rPr>
          <w:b/>
          <w:bCs/>
        </w:rPr>
      </w:pPr>
    </w:p>
    <w:p w14:paraId="26AF875A" w14:textId="77777777" w:rsidR="00AE1972" w:rsidRPr="00781112" w:rsidRDefault="00AE1972" w:rsidP="00AE1972">
      <w:pPr>
        <w:spacing w:after="0"/>
        <w:rPr>
          <w:rFonts w:cs="Arial"/>
          <w:b/>
          <w:bCs/>
        </w:rPr>
      </w:pPr>
      <w:r w:rsidRPr="00781112">
        <w:rPr>
          <w:rFonts w:cs="Arial"/>
          <w:b/>
          <w:bCs/>
        </w:rPr>
        <w:t xml:space="preserve">Did the State identify any general data quality concerns, unrelated to COVID-19, that affected progress toward the </w:t>
      </w:r>
      <w:proofErr w:type="spellStart"/>
      <w:r w:rsidRPr="00781112">
        <w:rPr>
          <w:rFonts w:cs="Arial"/>
          <w:b/>
          <w:bCs/>
        </w:rPr>
        <w:t>SiMR</w:t>
      </w:r>
      <w:proofErr w:type="spellEnd"/>
      <w:r w:rsidRPr="00781112">
        <w:rPr>
          <w:rFonts w:cs="Arial"/>
          <w:b/>
          <w:bCs/>
        </w:rPr>
        <w:t xml:space="preserve"> during the reporting period? </w:t>
      </w:r>
      <w:r w:rsidRPr="00781112">
        <w:rPr>
          <w:b/>
          <w:bCs/>
        </w:rPr>
        <w:t>(yes/no)</w:t>
      </w:r>
    </w:p>
    <w:p w14:paraId="36E83E2B" w14:textId="1C140CC0" w:rsidR="00AE1972" w:rsidRDefault="00AE1972" w:rsidP="00AE1972">
      <w:pPr>
        <w:spacing w:after="0"/>
        <w:rPr>
          <w:color w:val="000000" w:themeColor="text1"/>
        </w:rPr>
      </w:pPr>
      <w:r w:rsidRPr="00781112">
        <w:rPr>
          <w:color w:val="000000" w:themeColor="text1"/>
        </w:rPr>
        <w:t>NO</w:t>
      </w:r>
    </w:p>
    <w:p w14:paraId="30214B92" w14:textId="77777777" w:rsidR="00AE1972" w:rsidRPr="00781112" w:rsidRDefault="00AE1972" w:rsidP="00AE1972">
      <w:pPr>
        <w:rPr>
          <w:b/>
          <w:bCs/>
        </w:rPr>
      </w:pPr>
    </w:p>
    <w:p w14:paraId="085CF862" w14:textId="77777777" w:rsidR="00AE1972" w:rsidRPr="00781112" w:rsidRDefault="00AE1972" w:rsidP="00AE1972">
      <w:pPr>
        <w:rPr>
          <w:b/>
          <w:bCs/>
        </w:rPr>
      </w:pPr>
      <w:r w:rsidRPr="00781112">
        <w:rPr>
          <w:b/>
          <w:bCs/>
        </w:rPr>
        <w:t>Did the State identify any data quality concerns directly related to the COVID-19 pandemic during the reporting period? (yes/no)</w:t>
      </w:r>
    </w:p>
    <w:p w14:paraId="71B180FE" w14:textId="5A61759D" w:rsidR="00AE1972" w:rsidRDefault="00AE1972" w:rsidP="00AE1972">
      <w:pPr>
        <w:rPr>
          <w:color w:val="000000" w:themeColor="text1"/>
        </w:rPr>
      </w:pPr>
      <w:r w:rsidRPr="00781112">
        <w:rPr>
          <w:color w:val="000000" w:themeColor="text1"/>
        </w:rPr>
        <w:t>YES</w:t>
      </w:r>
    </w:p>
    <w:p w14:paraId="41AE95B9" w14:textId="77777777" w:rsidR="00AE1972" w:rsidRPr="00781112" w:rsidRDefault="00AE1972" w:rsidP="00AE1972">
      <w:pPr>
        <w:rPr>
          <w:b/>
          <w:bCs/>
        </w:rPr>
      </w:pPr>
      <w:r w:rsidRPr="00781112">
        <w:rPr>
          <w:b/>
          <w:bCs/>
        </w:rPr>
        <w:t>If data for this reporting period were impacted specifically by COVID-19, the State must include in the narrative for the indicator: (1) the impact on data completeness, validity and reliability for the indicator; (2) an explanation of how COVID-19 specifically impacted the State’s ability to collect the data for the indicator; and (3) any steps the State took to mitigate the impact of COVID-19 on the data collection.</w:t>
      </w:r>
    </w:p>
    <w:p w14:paraId="61B2A103" w14:textId="25692643" w:rsidR="00AE1972" w:rsidRDefault="00AE1972" w:rsidP="00AE1972">
      <w:pPr>
        <w:rPr>
          <w:color w:val="000000" w:themeColor="text1"/>
        </w:rPr>
      </w:pPr>
      <w:r w:rsidRPr="00781112">
        <w:rPr>
          <w:color w:val="000000" w:themeColor="text1"/>
        </w:rPr>
        <w:t>The lingering impact of COVID-19 is still prevalent in our state. The COVID-19 pandemic has presented unique challenges for New Mexico's data collection efforts regarding the indicator. The pandemic's restrictions on some in-person data collection, coupled with the rural nature of certain schools and the strain on resources, have made it difficult to accurately gather data. This will have long-term implications on the state's ability to meet federal requirements. To address this issue, steps were taken to mitigate the impact of COVID-19 on data collection. The state has provided guidance to schools and districts on remote data collection methods, such as online platforms and other technology. The state has also increased communication with schools and districts to ensure they understand the importance of data collection and have the necessary support to collect accurate data. Despite these efforts, the lingering effects of the pandemic continue to impact data completeness, validity, and reliability. Therefore, the state will continue monitoring the pandemic's impact on data collection and take appropriate measures to address any ongoing challenges. This is necessary to ensure that reliable data is collected, enabling informed decision-making and progress tracking for the indicator.</w:t>
      </w:r>
    </w:p>
    <w:p w14:paraId="1CD7E2E2" w14:textId="77777777" w:rsidR="00AE1972" w:rsidRPr="00781112" w:rsidRDefault="00AE1972" w:rsidP="00AE1972">
      <w:pPr>
        <w:rPr>
          <w:b/>
          <w:bCs/>
        </w:rPr>
      </w:pPr>
    </w:p>
    <w:p w14:paraId="2127B612" w14:textId="77777777" w:rsidR="00AE1972" w:rsidRPr="00074B33" w:rsidRDefault="00AE1972" w:rsidP="00074B33">
      <w:pPr>
        <w:rPr>
          <w:b/>
          <w:bCs/>
        </w:rPr>
      </w:pPr>
      <w:r w:rsidRPr="00074B33">
        <w:rPr>
          <w:b/>
          <w:bCs/>
        </w:rPr>
        <w:t>Section B: Implementation, Analysis and Evaluation</w:t>
      </w:r>
    </w:p>
    <w:p w14:paraId="08E78A8E" w14:textId="77777777" w:rsidR="00E84BDF" w:rsidRPr="00E84BDF" w:rsidRDefault="00E84BDF" w:rsidP="00E84BDF">
      <w:pPr>
        <w:rPr>
          <w:rFonts w:cs="Arial"/>
          <w:b/>
          <w:bCs/>
        </w:rPr>
      </w:pPr>
      <w:r w:rsidRPr="00E84BDF">
        <w:rPr>
          <w:rFonts w:cs="Arial"/>
          <w:b/>
          <w:bCs/>
        </w:rPr>
        <w:t>Please provide a link to the State’s current evaluation plan.</w:t>
      </w:r>
    </w:p>
    <w:p w14:paraId="0A6517E8" w14:textId="77777777" w:rsidR="00E84BDF" w:rsidRDefault="00E84BDF" w:rsidP="00E84BDF">
      <w:pPr>
        <w:rPr>
          <w:color w:val="000000" w:themeColor="text1"/>
        </w:rPr>
      </w:pPr>
      <w:r w:rsidRPr="00781112">
        <w:rPr>
          <w:color w:val="000000" w:themeColor="text1"/>
        </w:rPr>
        <w:t>https://webnew.ped.state.nm.us/wp-content/uploads/2024/02/SSIP-Implementation-Evaluation-Plan-FFY-2022.pdf</w:t>
      </w:r>
    </w:p>
    <w:p w14:paraId="0B808C56" w14:textId="786EB067" w:rsidR="00AE1972" w:rsidRPr="00781112" w:rsidRDefault="00E84BDF" w:rsidP="00AE1972">
      <w:pPr>
        <w:rPr>
          <w:rFonts w:cs="Arial"/>
          <w:b/>
          <w:bCs/>
        </w:rPr>
      </w:pPr>
      <w:r w:rsidRPr="00E84BDF">
        <w:rPr>
          <w:rFonts w:cs="Arial"/>
          <w:b/>
          <w:bCs/>
        </w:rPr>
        <w:t xml:space="preserve">Is the State’s evaluation plan new or revised since the previous submission? </w:t>
      </w:r>
      <w:r w:rsidR="00AE1972" w:rsidRPr="00781112">
        <w:rPr>
          <w:b/>
          <w:bCs/>
        </w:rPr>
        <w:t>(yes/no)</w:t>
      </w:r>
    </w:p>
    <w:p w14:paraId="5D9470C5" w14:textId="1F552EB5" w:rsidR="00AE1972" w:rsidRDefault="00AE1972" w:rsidP="00AE1972">
      <w:pPr>
        <w:rPr>
          <w:color w:val="000000" w:themeColor="text1"/>
        </w:rPr>
      </w:pPr>
      <w:r w:rsidRPr="00781112">
        <w:rPr>
          <w:color w:val="000000" w:themeColor="text1"/>
        </w:rPr>
        <w:t>NO</w:t>
      </w:r>
    </w:p>
    <w:p w14:paraId="19DFF8CC" w14:textId="77777777" w:rsidR="00AE1972" w:rsidRPr="00781112" w:rsidRDefault="00AE1972" w:rsidP="00AE1972">
      <w:pPr>
        <w:rPr>
          <w:rFonts w:cs="Arial"/>
          <w:b/>
          <w:bCs/>
        </w:rPr>
      </w:pPr>
    </w:p>
    <w:p w14:paraId="405861A2" w14:textId="55A85451" w:rsidR="00AE1972" w:rsidRPr="00781112" w:rsidRDefault="00AB11F1" w:rsidP="00AE1972">
      <w:pPr>
        <w:rPr>
          <w:rFonts w:cs="Arial"/>
          <w:b/>
          <w:bCs/>
        </w:rPr>
      </w:pPr>
      <w:r w:rsidRPr="00AB11F1">
        <w:rPr>
          <w:rFonts w:cs="Arial"/>
          <w:b/>
          <w:bCs/>
        </w:rPr>
        <w:t>Provide a summary of each infrastructure improvement strategy implemented in the reporting period:</w:t>
      </w:r>
    </w:p>
    <w:p w14:paraId="19A64E2F" w14:textId="09FED9B3" w:rsidR="00AE1972" w:rsidRPr="00781112" w:rsidRDefault="00AE1972" w:rsidP="00AE1972">
      <w:pPr>
        <w:rPr>
          <w:b/>
          <w:bCs/>
        </w:rPr>
      </w:pPr>
      <w:r w:rsidRPr="00781112">
        <w:rPr>
          <w:color w:val="000000" w:themeColor="text1"/>
        </w:rPr>
        <w:t>In the third year under the management of the Special Education Division of the New Mexico Public Education Department (NMPED), ECLIPSE prioritized improving its program's support through planning and operations activities. The team relied on data analysis to guide decision-making, conducting an internal evaluation of the program using a variety of qualitative and quantitative tools. These included Google Forms, Excel, Tableau, participant surveys, interviews, observations, Istation scores, coaching logs, contractors' invoices, and other program artifacts. Based on the overall program evaluation results, we gauged the performance of our program contractors and identified the need to hire an outside program evaluator during the 2021 school year to support improvement strategies. This trial period was beneficial and will be fully utilized moving forward.</w:t>
        <w:br/>
        <w:t>Stakeholder engagement was also a key focus for ECLIPSE program, encompassing family, school team participants, community, and contracted support specialist engagement. All levels of stakeholder engagement relied on data to determine areas for improvement and support. To facilitate collaboration, the ECLIPSE team implemented internal processes such as using Google Docs to co-develop protocols, held regular meetings with participants and program and agency partners, published a newsletter, and established a web page. ECLIPSE team members also communicated  values, vision, mission, and goals to all stakeholders. In addition, select community representatives gathered as members of the IDEA B panel five times during the reporting period, during which the ECLIPSE team presented the strategic plan based on data analysis.</w:t>
      </w:r>
    </w:p>
    <w:p w14:paraId="1C121BBF" w14:textId="77777777" w:rsidR="00AE1972" w:rsidRPr="00781112" w:rsidRDefault="00AE1972" w:rsidP="00AE1972">
      <w:pPr>
        <w:rPr>
          <w:rFonts w:cs="Arial"/>
          <w:b/>
          <w:bCs/>
        </w:rPr>
      </w:pPr>
    </w:p>
    <w:p w14:paraId="2116126D" w14:textId="03C97716" w:rsidR="00AB11F1" w:rsidRPr="00781112" w:rsidRDefault="00AB11F1" w:rsidP="00AE1972">
      <w:pPr>
        <w:rPr>
          <w:rFonts w:cs="Arial"/>
          <w:b/>
          <w:bCs/>
        </w:rPr>
      </w:pPr>
      <w:r w:rsidRPr="00AB11F1">
        <w:rPr>
          <w:rFonts w:cs="Arial"/>
          <w:b/>
          <w:bCs/>
        </w:rPr>
        <w:t xml:space="preserve">Describe the short-term or intermediate outcomes achieved for each infrastructure improvement strategy during the reporting period including the measures or rationale used by the State and stakeholders to assess and communicate achievement. Please relate short-term outcomes to one or more areas of a systems framework (e.g., governance, data, finance, accountability/monitoring, quality standards, professional development and/or technical assistance) and explain how these strategies support system change and are necessary for: (a) achievement of the </w:t>
      </w:r>
      <w:proofErr w:type="spellStart"/>
      <w:r w:rsidRPr="00AB11F1">
        <w:rPr>
          <w:rFonts w:cs="Arial"/>
          <w:b/>
          <w:bCs/>
        </w:rPr>
        <w:t>SiMR</w:t>
      </w:r>
      <w:proofErr w:type="spellEnd"/>
      <w:r w:rsidRPr="00AB11F1">
        <w:rPr>
          <w:rFonts w:cs="Arial"/>
          <w:b/>
          <w:bCs/>
        </w:rPr>
        <w:t>; (b) sustainability of systems improvement efforts; and/or (c) scale-up.</w:t>
      </w:r>
    </w:p>
    <w:p w14:paraId="29CD7E16" w14:textId="62EA3FF0" w:rsidR="00AE1972" w:rsidRPr="00781112" w:rsidRDefault="00AE1972" w:rsidP="00AE1972">
      <w:pPr>
        <w:rPr>
          <w:b/>
          <w:bCs/>
        </w:rPr>
      </w:pPr>
      <w:r w:rsidRPr="00781112">
        <w:rPr>
          <w:color w:val="000000" w:themeColor="text1"/>
        </w:rPr>
        <w:t xml:space="preserve">Planning/operational activities: </w:t>
        <w:br/>
        <w:t>Thirty-seven schools were provided with support through the ECLIPSE program for systemic improvement efforts, as Istation data continued to show that students with disabilities (SWDs) at these schools had been among the lowest in the state. The program faced issues due to a continued lack of communication among participants. To address these issues, collaborative efforts were made to define updated program values and goals, along with the creation of a newsletter, web page, and an updated guidance manual. These initiatives helped to clear up misconceptions, fostered greater stakeholder motivation, trust, and collaboration, enhancing program participation sustainability. After conducting evaluations of contractor work, it was discovered that there were areas of overlap in roles and responsibilities. As a result, non-negotiables, staff accountability and monitoring increased, and sustainability was improved in the long term. Bi-monthly meetings with all contractors were established and organized by the ECLIPSE team. A review and update of the strategic plan should cover all aspects of the systemic framework, including governance, data, finance, staffing, accountability, quality standards, professional development, and technical assistance. A program evaluator was hired to fully support improvement strategies. Short-term and intermediate outcomes include maintaining timelines, improving data collection and analysis, and developing new areas. Collaborating with evaluators will enhance sustainability and progress towards the SiMR.</w:t>
        <w:br/>
        <w:t xml:space="preserve">Support for Schools: </w:t>
        <w:br/>
        <w:t>Data analysis through state REC Data-Based Targeted Assistance informed targeted assistance decisions, with student Istation data indicating specific areas of weakness in literacy. This led to the provision of professional development support and targeted assistance, resulting in short-term outcomes that supported ECLIPSE schools in analyzing data and making decisions that impacted progress toward the SiMR. The outcomes of this data analysis included the development of school teams with strong data literacy, moving towards long-term goals of sustainability. The short-term outcomes of administrative coaching supported by PSB for principals include analyzing data on teacher coaching, instructional outcomes, and professional development. These decisions have an impact on the progress toward the SiMR. An intermediate outcome of this coaching is the intentional use of evidence-based practices to move toward the SiMR. The coaching program at CORE NMSU had a positive impact on internal processes and strategic planning, with both short-term and intermediate outcomes observed. One of the short-term outcomes was the identification of differing coaching log topics, leading to clear coaching and professional development needs. An intermediate outcome was the improved use of evidence-based practices by teachers, resulting in progress toward the SiMR..</w:t>
        <w:br/>
        <w:t>ECLIPSE's school allocation strategy is designed to cater to the specific needs of each classroom, ensuring that essential materials and supplies are provided to support Structured Literacy in SWD classrooms. The allocation of resources not only facilitates teacher coaching and professional development but also incorporates elements of accountability, monitoring, data analysis, and financial planning. Ultimately, the intermediate outcomes of this system are geared toward driving student learning, leading to tangible progress toward the SiMR.</w:t>
        <w:br/>
        <w:t xml:space="preserve">Instructional Coaching provided teachers with innovative strategies and objectives to enhance literacy outcomes for SWD by utilizing professional development and data within the framework of established systems. The data collected indicated a positive short-term effect of the teachers feeling more supported. Instructional coaching aims to transform adult behavior and implementation towards SWD, resulting in the attainment of the SiMR and long-term sustainability. </w:t>
        <w:br/>
        <w:t xml:space="preserve">Stakeholder Engagement: </w:t>
        <w:br/>
        <w:t>Continuing with our commitment to literacy, we have implemented ongoing training programs for families with a stronger focus on Structured Literacy. Through these programs, families are equipped with effective strategies to support students with disabilities (SWDs) in the home, thereby increasing opportunities for student learning and achievement. Additionally, we have family literacy events where families receive hands-on supplies to support literacy-based activities at home. Our surveys have shown that families feel better prepared to support their students at home, which ultimately contributes to our SiMR achievement goals. These training programs for families are an essential component of our data and accountability/monitoring framework.</w:t>
        <w:br/>
        <w:t>According to surveys conducted by the district/school, Special Education Instructional Providers (SIPs) greatly valued the collaborative opportunities and support provided by SIP gatherings. These gatherings offered SIPs a chance to connect with fellow educators, share strategies, and receive emotional support, resulting in positive short-term impacts on their social-emotional well-being. This, in turn, contributes to the long-term sustainability of the program, including teacher retention. To achieve this, we worked closely with APS teacher support specialists, curriculum and instruction, special education, and behavioral health experts, resulting in the creation of ECLIPSE toolkits as a tangible outcome.</w:t>
        <w:br/>
        <w:t>During interactions between ECLIPSE and contractors, it became evident that there is a need for improved communication. This will ensure that service providers maintain consistency in their philosophies and messaging, thereby reducing confusion and supporting their roles and responsibilities. As an intermediate outcome, monthly individual contractor and large group meetings have been established to facilitate communication and collaboration. During agency collaborative conversations, the team discussed and reinforced their newly adopted philosophies of the mission, vision, values, and goals. This helped to reduce overlapping and redundant requirements among agency teams, including Structured Literacy initiatives and Multi-Layered Systems of Support (MLSS).</w:t>
      </w:r>
    </w:p>
    <w:p w14:paraId="4B6ADDE5" w14:textId="77777777" w:rsidR="00AE1972" w:rsidRPr="00781112" w:rsidRDefault="00AE1972" w:rsidP="00AE1972">
      <w:pPr>
        <w:rPr>
          <w:rFonts w:cs="Arial"/>
          <w:b/>
          <w:bCs/>
        </w:rPr>
      </w:pPr>
    </w:p>
    <w:p w14:paraId="5DCF741B" w14:textId="77777777" w:rsidR="00AE1972" w:rsidRPr="00781112" w:rsidRDefault="00AE1972" w:rsidP="00AE1972">
      <w:pPr>
        <w:rPr>
          <w:rFonts w:cs="Arial"/>
          <w:b/>
          <w:bCs/>
        </w:rPr>
      </w:pPr>
      <w:r w:rsidRPr="00781112">
        <w:rPr>
          <w:rFonts w:cs="Arial"/>
          <w:b/>
          <w:bCs/>
        </w:rPr>
        <w:t xml:space="preserve">Did the State implement any </w:t>
      </w:r>
      <w:r w:rsidRPr="00781112">
        <w:rPr>
          <w:rFonts w:cs="Arial"/>
          <w:b/>
          <w:bCs/>
          <w:u w:val="single"/>
        </w:rPr>
        <w:t>new</w:t>
      </w:r>
      <w:r w:rsidRPr="00781112">
        <w:rPr>
          <w:rFonts w:cs="Arial"/>
          <w:b/>
          <w:bCs/>
        </w:rPr>
        <w:t xml:space="preserve"> (newly identified) infrastructure improvement strategies during the reporting period?</w:t>
      </w:r>
      <w:r w:rsidRPr="00781112">
        <w:rPr>
          <w:b/>
          <w:bCs/>
        </w:rPr>
        <w:t xml:space="preserve"> (yes/no)</w:t>
      </w:r>
    </w:p>
    <w:p w14:paraId="7AA60872" w14:textId="7A06C54C" w:rsidR="00AE1972" w:rsidRDefault="00AE1972" w:rsidP="00AE1972">
      <w:pPr>
        <w:rPr>
          <w:color w:val="000000" w:themeColor="text1"/>
        </w:rPr>
      </w:pPr>
      <w:r w:rsidRPr="00781112">
        <w:rPr>
          <w:color w:val="000000" w:themeColor="text1"/>
        </w:rPr>
        <w:t>NO</w:t>
      </w:r>
    </w:p>
    <w:p w14:paraId="7A07D856" w14:textId="77777777" w:rsidR="00AE1972" w:rsidRPr="00781112" w:rsidRDefault="00AE1972" w:rsidP="00AE1972">
      <w:pPr>
        <w:rPr>
          <w:rFonts w:cs="Arial"/>
          <w:b/>
          <w:bCs/>
        </w:rPr>
      </w:pPr>
      <w:r w:rsidRPr="00781112">
        <w:rPr>
          <w:rFonts w:cs="Arial"/>
          <w:b/>
          <w:bCs/>
        </w:rPr>
        <w:t xml:space="preserve">Provide a summary of the next steps for each infrastructure improvement strategy and the anticipated outcomes to be attained during the next reporting period. </w:t>
      </w:r>
    </w:p>
    <w:p w14:paraId="1A03571A" w14:textId="0DF7AD96" w:rsidR="00AE1972" w:rsidRPr="00781112" w:rsidRDefault="00AE1972" w:rsidP="00AE1972">
      <w:pPr>
        <w:rPr>
          <w:b/>
          <w:bCs/>
        </w:rPr>
      </w:pPr>
      <w:r w:rsidRPr="00781112">
        <w:rPr>
          <w:color w:val="000000" w:themeColor="text1"/>
        </w:rPr>
        <w:t>The State plans to continue with the current strategic plan and include few adjustments, as summarized in the following steps:</w:t>
        <w:br/>
        <w:t>1. Planning/Operational Activities: Expand the ECLIPSE team by adding another coordinator and hiring an additional curriculum specialist to increase capacity for expansion.</w:t>
        <w:br/>
        <w:t>Expand the role of the external evaluator further to contribute more to data, planning, and operational activities. This will result in a more comprehensive operational plan and increased accountability in meeting timelines.2. Data Analysis</w:t>
        <w:br/>
        <w:t>Develop a comprehensive data analysis component that includes collection and analysis from educators, coaches, and contractors based on insights from the pilot.</w:t>
        <w:br/>
        <w:t>A new data analysis protocol will be implemented with the help of an outside evaluator. The protocol will establish timelines for data collection and analysis involving various stakeholders. The goal is to continue to improve accountability for adhering to the established timelines and protocols.</w:t>
        <w:br/>
        <w:t xml:space="preserve">2. School Support Services: Expand the family literacy component by including EPICS. EPICS is a community parent resource center that serves New Mexico families who have Native American children with disabilities. The anticipated outcome of this strategy is to improve understanding of student literacy expectations and support their child to improve their literacy skills at home. </w:t>
        <w:br/>
        <w:t>3. Stakeholder Engagement: Create a Networked Improvement Community to involve stakeholders from different groups such as higher education institutions, parent advocacy groups, agencies, contractors, districts, and parents. This will improve collaboration and build a sustainable program.</w:t>
      </w:r>
    </w:p>
    <w:p w14:paraId="0D313DAA" w14:textId="77777777" w:rsidR="00AE1972" w:rsidRPr="00781112" w:rsidRDefault="00AE1972" w:rsidP="00AE1972">
      <w:pPr>
        <w:rPr>
          <w:rFonts w:cs="Arial"/>
          <w:b/>
          <w:bCs/>
        </w:rPr>
      </w:pPr>
    </w:p>
    <w:p w14:paraId="35176598" w14:textId="77777777" w:rsidR="00AE1972" w:rsidRPr="00781112" w:rsidRDefault="00AE1972" w:rsidP="00AE1972">
      <w:pPr>
        <w:rPr>
          <w:rFonts w:cs="Arial"/>
          <w:b/>
          <w:bCs/>
        </w:rPr>
      </w:pPr>
      <w:r w:rsidRPr="00781112">
        <w:rPr>
          <w:rFonts w:cs="Arial"/>
          <w:b/>
          <w:bCs/>
        </w:rPr>
        <w:t>List the selected evidence-based practices implement in the reporting period:</w:t>
      </w:r>
    </w:p>
    <w:p w14:paraId="5DA152F5" w14:textId="71CAFB34" w:rsidR="00AE1972" w:rsidRPr="00781112" w:rsidRDefault="00AE1972" w:rsidP="00AE1972">
      <w:pPr>
        <w:rPr>
          <w:b/>
          <w:bCs/>
        </w:rPr>
      </w:pPr>
      <w:r w:rsidRPr="00781112">
        <w:rPr>
          <w:color w:val="000000" w:themeColor="text1"/>
        </w:rPr>
        <w:lastRenderedPageBreak/>
        <w:t xml:space="preserve">For the FFY 2022 SSIP reporting period, the New Mexico ECLIPSE (Indicator 17) program continued its implementation of evidence-based practices. The Special Education Division has five evidence-based practices that provide a framework for improvement throughout the state's public education system. These include: </w:t>
        <w:br/>
        <w:t xml:space="preserve">1) Data Driven Instruction </w:t>
        <w:br/>
        <w:t xml:space="preserve">2) Leadership, Observation, Coaching and Feedback Cycles </w:t>
        <w:br/>
        <w:t xml:space="preserve">3) School/District Culture: Family/Community Engagement </w:t>
        <w:br/>
        <w:t xml:space="preserve">4) School Culture: Teacher Collaboration </w:t>
        <w:br/>
        <w:t>5) Structured Literacy PD and Implementation. New Mexico is now focusing on statewide structured literacy initiatives following evidence from the science of reading which has been championed by the governor.</w:t>
      </w:r>
    </w:p>
    <w:p w14:paraId="10F85993" w14:textId="77777777" w:rsidR="00AE1972" w:rsidRPr="00781112" w:rsidRDefault="00AE1972" w:rsidP="00AE1972">
      <w:pPr>
        <w:rPr>
          <w:rFonts w:cs="Arial"/>
          <w:b/>
          <w:bCs/>
        </w:rPr>
      </w:pPr>
    </w:p>
    <w:p w14:paraId="22910457" w14:textId="77777777" w:rsidR="00AE1972" w:rsidRPr="00781112" w:rsidRDefault="00AE1972" w:rsidP="00AE1972">
      <w:pPr>
        <w:rPr>
          <w:rFonts w:cs="Arial"/>
          <w:b/>
          <w:bCs/>
        </w:rPr>
      </w:pPr>
      <w:r w:rsidRPr="00781112">
        <w:rPr>
          <w:rFonts w:cs="Arial"/>
          <w:b/>
          <w:bCs/>
        </w:rPr>
        <w:t>Provide a summary of each evidence-based practices.</w:t>
      </w:r>
    </w:p>
    <w:p w14:paraId="30605054" w14:textId="1313DE13" w:rsidR="00AE1972" w:rsidRPr="00781112" w:rsidRDefault="00AE1972" w:rsidP="00AE1972">
      <w:pPr>
        <w:rPr>
          <w:b/>
          <w:bCs/>
        </w:rPr>
      </w:pPr>
      <w:r w:rsidRPr="00781112">
        <w:rPr>
          <w:color w:val="000000" w:themeColor="text1"/>
        </w:rPr>
        <w:t xml:space="preserve">Each of the following evidence-based practices supports the SiMR because they lead to changes in adult behavior that support students with disabilities improvement in reading outcomes. </w:t>
        <w:br/>
        <w:t xml:space="preserve">1. Data-Driven Instruction: The Regional Education Cooperatives (RECs) in the state provided online or in-person data-driven instruction to school principals and special education teachers. ECLIPSE schools were able to complete formative assessments during the school year. RECs analyzed the assessment data and provided data-driven instruction training. CORE NMSU provided instructional coaching to ECLIPSE special education teachers; anecdotal assessment data was analyzed, and the next steps were determined. </w:t>
        <w:br/>
        <w:t xml:space="preserve">2. Leadership, Observation, Coaching, and Feedback Cycles: Priority Schools Bureau, an interagency partner, provided year-long professional development training to administrators. </w:t>
        <w:br/>
        <w:t xml:space="preserve">3. School/District Culture: Family/Community Engagement: An REC and Parents Reaching Out (PRO) provided online and or in-person parent/family literacy events focused on SWDs. Parents/families were provided tote bags with hands-on literacy materials (for example index cards, activities, and whiteboards) to support their child's reading at home. </w:t>
        <w:br/>
        <w:t xml:space="preserve">4. School Culture: Teacher Collaboration: CORE NMSU instructional coaches supported special education teachers and their general education partners by facilitating collaborative discussions about shared students with disabilities. </w:t>
        <w:br/>
        <w:t>5. Structured Literacy PD and Implementation: CORE NMSU and REC partners received ongoing Structured Literacy training to aid in their support of teachers at ECLIPSE schools with implementing Structured Literacy methodologies.</w:t>
      </w:r>
    </w:p>
    <w:p w14:paraId="79F66E5E" w14:textId="77777777" w:rsidR="00AE1972" w:rsidRPr="00781112" w:rsidRDefault="00AE1972" w:rsidP="00AE1972">
      <w:pPr>
        <w:rPr>
          <w:rFonts w:cs="Arial"/>
          <w:b/>
          <w:bCs/>
        </w:rPr>
      </w:pPr>
      <w:r w:rsidRPr="00781112">
        <w:rPr>
          <w:rFonts w:cs="Arial"/>
          <w:b/>
          <w:bCs/>
        </w:rPr>
        <w:t xml:space="preserve"> </w:t>
      </w:r>
    </w:p>
    <w:p w14:paraId="7DF513C4" w14:textId="5FBB7389" w:rsidR="00AE1972" w:rsidRPr="00781112" w:rsidRDefault="00AE1972" w:rsidP="00AE1972">
      <w:pPr>
        <w:rPr>
          <w:rFonts w:cs="Arial"/>
          <w:b/>
          <w:bCs/>
        </w:rPr>
      </w:pPr>
      <w:bookmarkStart w:id="118" w:name="_Hlk88409387"/>
      <w:r w:rsidRPr="00781112">
        <w:rPr>
          <w:rFonts w:cs="Arial"/>
          <w:b/>
          <w:bCs/>
        </w:rPr>
        <w:t xml:space="preserve">Provide a summary of how each evidence-based practice and activities or strategies that support its use, is intended to impact the </w:t>
      </w:r>
      <w:proofErr w:type="spellStart"/>
      <w:r w:rsidRPr="00781112">
        <w:rPr>
          <w:rFonts w:cs="Arial"/>
          <w:b/>
          <w:bCs/>
        </w:rPr>
        <w:t>SiMR</w:t>
      </w:r>
      <w:proofErr w:type="spellEnd"/>
      <w:r w:rsidRPr="00781112">
        <w:rPr>
          <w:rFonts w:cs="Arial"/>
          <w:b/>
          <w:bCs/>
        </w:rPr>
        <w:t xml:space="preserve"> by changing program/district policies, procedures, and/or practices, teacher/provider practices (e.g. behaviors), parent/caregiver outcomes, and/or child /outcomes. </w:t>
      </w:r>
    </w:p>
    <w:bookmarkEnd w:id="118"/>
    <w:p w14:paraId="3E043DB7" w14:textId="7C3B2CD4" w:rsidR="00AE1972" w:rsidRPr="00781112" w:rsidRDefault="00AE1972" w:rsidP="00AE1972">
      <w:pPr>
        <w:rPr>
          <w:b/>
          <w:bCs/>
        </w:rPr>
      </w:pPr>
      <w:r w:rsidRPr="00781112">
        <w:rPr>
          <w:color w:val="000000" w:themeColor="text1"/>
        </w:rPr>
        <w:t xml:space="preserve">1. Data-Driven Instruction: With data-driven instruction, teachers use data to make instructional decisions based on their individual students’ performance and the trends and patterns they identify at a classroom and school level. When done successfully, teachers will change instructional practices based on individual student needs. Specifically, ECLIPSE focuses on analyzing student performance on Istation components. For example, if Istation data consistently indicates a weakness in kindergarten phonemic awareness, ECLIPSE specialists support teachers with adjusting their instruction to target that skill. Making instructional decisions based on student data increases student outcomes by providing them with the instruction they need. </w:t>
        <w:br/>
        <w:t xml:space="preserve">2. Leadership, Observation, Coaching, and Feedback cycles: School principals play a crucial role in affecting school change. They can directly impact positive change in teachers and teaching strategies which impacts student performance by consistently observing teachers and providing feedback. </w:t>
        <w:br/>
        <w:t xml:space="preserve">3. School/District Culture: Family/Community Engagement: ECLIPSE supports schools to increase their family engagement. The literacy events help train parents in hands-on fun literacy-based activities to support their child’s reaching at home. This increases the knowledge and skills of our parents/guardians about literacy development, which then supports child outcomes and progress toward the SIMR.  </w:t>
        <w:br/>
        <w:t xml:space="preserve">4. School Culture: Teacher Collaboration: ECLIPSE provides partner teachers with time and a framework for collaborative dialogues about shared students with disabilities. Collaboration between special education teachers and their general education partners is critical in ensuring that students with disabilities are successful in their Least Restrictive Environment. For example, collaboration provides general education teachers with the support needed to implement IEPs with fidelity. </w:t>
        <w:br/>
        <w:t>5. Structured Literacy PD and Implementation: Evidence suggests that most students can learn how to read when taught with Structured Literacy methods. ECLIPSE coaches provide teachers with support in implementing Structured Literacy principles and practices.</w:t>
      </w:r>
    </w:p>
    <w:p w14:paraId="43C06488" w14:textId="77777777" w:rsidR="00AE1972" w:rsidRPr="00781112" w:rsidRDefault="00AE1972" w:rsidP="00AE1972">
      <w:pPr>
        <w:rPr>
          <w:rFonts w:cs="Arial"/>
          <w:b/>
          <w:bCs/>
        </w:rPr>
      </w:pPr>
      <w:r w:rsidRPr="00781112">
        <w:rPr>
          <w:rFonts w:cs="Arial"/>
          <w:b/>
          <w:bCs/>
        </w:rPr>
        <w:t xml:space="preserve"> </w:t>
      </w:r>
    </w:p>
    <w:p w14:paraId="46DD8115" w14:textId="77777777" w:rsidR="00AE1972" w:rsidRPr="00781112" w:rsidRDefault="00AE1972" w:rsidP="00AE1972">
      <w:pPr>
        <w:rPr>
          <w:rFonts w:cs="Arial"/>
          <w:b/>
          <w:bCs/>
        </w:rPr>
      </w:pPr>
      <w:r w:rsidRPr="00781112">
        <w:rPr>
          <w:rFonts w:cs="Arial"/>
          <w:b/>
          <w:bCs/>
        </w:rPr>
        <w:t xml:space="preserve">Describe the data collected to monitor fidelity of implementation and to assess practice change. </w:t>
      </w:r>
    </w:p>
    <w:p w14:paraId="3AADEE00" w14:textId="0533CE7C" w:rsidR="00AE1972" w:rsidRPr="00781112" w:rsidRDefault="00AE1972" w:rsidP="00AE1972">
      <w:pPr>
        <w:rPr>
          <w:b/>
          <w:bCs/>
        </w:rPr>
      </w:pPr>
      <w:r w:rsidRPr="00781112">
        <w:rPr>
          <w:color w:val="000000" w:themeColor="text1"/>
        </w:rPr>
        <w:t xml:space="preserve">To monitor the fidelity of implementation of the selected evidence-based practices and assess practice change we used data obtained from ECLIPSE participant surveys, verbal feedback gained during interviews, coaching and targeted assistance logs, REC and coaching invoices, observations, meeting notes, anecdotal records, and formative student reading assessments (Istation). The ECLIPSE program team used a variety of analysis tools and diagrams to evaluate the efficacy of the program and to identify change initiatives. Data was analyzed to monitor program efficacy and modifications were made in response to individual school and teacher needs. For example, if observations and coaching logs noted staff needed additional training in early literacy instruction, steps were taken to provide that training. ECLIPSE identified the need to streamline the response to data analysis and has modified internal processes to better address the fidelity of implementation and assess practice change. </w:t>
      </w:r>
    </w:p>
    <w:p w14:paraId="3D905B01" w14:textId="77777777" w:rsidR="00AE1972" w:rsidRPr="00781112" w:rsidRDefault="00AE1972" w:rsidP="00AE1972">
      <w:pPr>
        <w:rPr>
          <w:rFonts w:cs="Arial"/>
          <w:b/>
          <w:bCs/>
        </w:rPr>
      </w:pPr>
    </w:p>
    <w:p w14:paraId="7A09B895" w14:textId="1AAA50A4" w:rsidR="00AE1972" w:rsidRPr="00781112" w:rsidRDefault="00C87801" w:rsidP="00AE1972">
      <w:pPr>
        <w:rPr>
          <w:rFonts w:cs="Arial"/>
          <w:b/>
          <w:bCs/>
        </w:rPr>
      </w:pPr>
      <w:r w:rsidRPr="00C87801">
        <w:rPr>
          <w:rFonts w:cs="Arial"/>
          <w:b/>
          <w:bCs/>
        </w:rPr>
        <w:t>Describe any additional data (e.g. progress monitoring) that was collected that supports the decision to continue the ongoing use of each evidence-based practice.</w:t>
      </w:r>
    </w:p>
    <w:p w14:paraId="61FB2284" w14:textId="795DBC6E" w:rsidR="00AE1972" w:rsidRDefault="00AE1972" w:rsidP="00AE1972">
      <w:pPr>
        <w:rPr>
          <w:color w:val="000000" w:themeColor="text1"/>
        </w:rPr>
      </w:pPr>
      <w:r w:rsidRPr="00781112">
        <w:rPr>
          <w:color w:val="000000" w:themeColor="text1"/>
        </w:rPr>
        <w:t>No other data was collected that would support the decision to continue the ongoing use of each evidence-based practice.</w:t>
      </w:r>
    </w:p>
    <w:p w14:paraId="1C12C4CB" w14:textId="17146AE7" w:rsidR="00C87801" w:rsidRDefault="00C87801" w:rsidP="00AE1972">
      <w:pPr>
        <w:rPr>
          <w:color w:val="000000" w:themeColor="text1"/>
        </w:rPr>
      </w:pPr>
    </w:p>
    <w:p w14:paraId="00E7E41D" w14:textId="77777777" w:rsidR="00C87801" w:rsidRPr="00C87801" w:rsidRDefault="00C87801" w:rsidP="00C87801">
      <w:pPr>
        <w:rPr>
          <w:b/>
          <w:bCs/>
          <w:color w:val="000000" w:themeColor="text1"/>
        </w:rPr>
      </w:pPr>
      <w:r w:rsidRPr="00730C62">
        <w:rPr>
          <w:b/>
          <w:bCs/>
          <w:color w:val="000000" w:themeColor="text1"/>
        </w:rPr>
        <w:t xml:space="preserve">Provide a summary of the next steps for each evidence-based practices and the anticipated outcomes to be attained during the next reporting period. </w:t>
      </w:r>
    </w:p>
    <w:p w14:paraId="3EDD1FBC" w14:textId="4546113E" w:rsidR="00C87801" w:rsidRDefault="00C87801" w:rsidP="00C87801">
      <w:pPr>
        <w:rPr>
          <w:color w:val="000000" w:themeColor="text1"/>
        </w:rPr>
      </w:pPr>
      <w:r w:rsidRPr="00781112">
        <w:rPr>
          <w:color w:val="000000" w:themeColor="text1"/>
        </w:rPr>
        <w:t xml:space="preserve">ECLIPSE plans to make improvements to current activities and strategies within the identified EBPs along with an expansion of ECLIPSE school teams in the future.  </w:t>
        <w:br/>
        <w:t>1. Data-Driven Instruction - Our primary goal is to provide reliable data analysis that will aid in making informed instructional decisions. We will also conduct training sessions for school teams to enable them to recognize trends, categories, and patterns in student performance. Additionally, we will teach them how to conduct a root cause analysis to identify any barriers to student learning. As a result, we expect to see an improvement in their ability to conduct data analysis and an increased capacity to identify obstacles to student learning, particularly in reading.</w:t>
        <w:br/>
        <w:t>2. Leadership Observation, Coaching, and Feedback Cycles - Administrators at the school will be provided with continued professional development on Structured Literacy. The purpose of this training is to enable them to observe, coach, and offer feedback to teachers. By doing so, they will be reinforcing the learned strategies, leading to a greater adoption of evidence-based practices, and ultimately making a significant impact on student reading proficiency.</w:t>
        <w:br/>
        <w:t>3. School/District Culture: Family/Community Engagement - We will continue providing family literacy events in FFY 2023. Schools will have a choice between remote and in-person events. To measure participation, we will track attendees and their feedback, with the goal of increasing participation. Parents Reaching Out and EPICS will also conduct literacy events. The aim is to improve parents' ability to support their children's literacy at home.</w:t>
        <w:br/>
        <w:t>4. School Culture: Teacher Collaboration – New Mexico is currently experiencing a shortage of specialized educators and substitutes, which is affecting the quality of education for students with disabilities. As a solution, the state continues to request salary increases and has actively engaged with stakeholders to promote collaboration. With the continued help of CORE NMSU, partner teachers will receive support to enhance student reading proficiency and achieve progress toward SiMR goals.</w:t>
        <w:br/>
        <w:t>5. Structured Literacy PD and Implementation - We are planning to host a Special Education Structured Literacy Summit to enhance coaches' and teachers’ content knowledge of implementing Structured Literacy methods when teaching students with disabilities. The Summit will aid in exploring strategies for adapting Structured Literacy methods for specialized instruction. We anticipate that this will improve student reading proficiency and progress toward the SiMR. Additionally, we plan to adjust and enhance the online orientation course in Canvas, the NMPED learning management system, which will support greater adoption of EBPs, ultimately impacting student reading proficiency.</w:t>
      </w:r>
    </w:p>
    <w:p w14:paraId="0555DA84" w14:textId="3045F812" w:rsidR="00C87801" w:rsidRDefault="00C87801" w:rsidP="00AE1972">
      <w:pPr>
        <w:rPr>
          <w:color w:val="000000" w:themeColor="text1"/>
        </w:rPr>
      </w:pPr>
    </w:p>
    <w:p w14:paraId="6D882D9B" w14:textId="77777777" w:rsidR="00987BD2" w:rsidRDefault="00987BD2" w:rsidP="00987BD2">
      <w:pPr>
        <w:rPr>
          <w:b/>
          <w:bCs/>
        </w:rPr>
      </w:pPr>
      <w:r w:rsidRPr="00730C62">
        <w:rPr>
          <w:b/>
          <w:bCs/>
        </w:rPr>
        <w:t>Does the State intend to continue implementing the SSIP without modifications? (yes/no)</w:t>
      </w:r>
    </w:p>
    <w:p w14:paraId="1C4A7F35" w14:textId="77777777" w:rsidR="00987BD2" w:rsidRDefault="00987BD2" w:rsidP="00987BD2">
      <w:r w:rsidRPr="00781112">
        <w:t>YES</w:t>
      </w:r>
    </w:p>
    <w:p w14:paraId="37EC807A" w14:textId="77777777" w:rsidR="00987BD2" w:rsidRPr="00730C62" w:rsidRDefault="00987BD2" w:rsidP="00987BD2">
      <w:pPr>
        <w:rPr>
          <w:b/>
          <w:bCs/>
        </w:rPr>
      </w:pPr>
      <w:r w:rsidRPr="00730C62">
        <w:rPr>
          <w:b/>
          <w:bCs/>
          <w:szCs w:val="16"/>
        </w:rPr>
        <w:t>If yes, describe how evaluation data support the decision to implement without any modifications to the SSIP.</w:t>
      </w:r>
    </w:p>
    <w:p w14:paraId="0709A4EF" w14:textId="77777777" w:rsidR="00987BD2" w:rsidRDefault="00987BD2" w:rsidP="00987BD2">
      <w:r w:rsidRPr="00781112">
        <w:t>The evaluation data has indicated that the changes made are starting to have a positive effect on student proficiency rates. We plan to continue to implement the SSIP without modifications and closely monitoring the trends towards the program goals.</w:t>
      </w:r>
    </w:p>
    <w:p w14:paraId="074AA68E" w14:textId="77777777" w:rsidR="00987BD2" w:rsidRPr="00781112" w:rsidRDefault="00987BD2" w:rsidP="00AE1972">
      <w:pPr>
        <w:rPr>
          <w:color w:val="000000" w:themeColor="text1"/>
        </w:rPr>
      </w:pPr>
    </w:p>
    <w:p w14:paraId="4216CFE7" w14:textId="77777777" w:rsidR="00C2635F" w:rsidRPr="00781112" w:rsidRDefault="00C2635F" w:rsidP="00AE1972">
      <w:pPr>
        <w:rPr>
          <w:b/>
          <w:bCs/>
        </w:rPr>
      </w:pPr>
    </w:p>
    <w:p w14:paraId="7350AAE8" w14:textId="77777777" w:rsidR="00C2635F" w:rsidRPr="00781112" w:rsidRDefault="00AE1972" w:rsidP="00AE1972">
      <w:pPr>
        <w:rPr>
          <w:rFonts w:cs="Arial"/>
          <w:b/>
          <w:bCs/>
        </w:rPr>
      </w:pPr>
      <w:r w:rsidRPr="00781112">
        <w:rPr>
          <w:rFonts w:cs="Arial"/>
          <w:b/>
          <w:bCs/>
        </w:rPr>
        <w:t>Section C: Stakeholder Engagement</w:t>
      </w:r>
    </w:p>
    <w:p w14:paraId="7EBFA7EE" w14:textId="77777777" w:rsidR="00C2635F" w:rsidRPr="00781112" w:rsidRDefault="00C2635F" w:rsidP="00C2635F">
      <w:pPr>
        <w:pStyle w:val="Bold"/>
        <w:rPr>
          <w:color w:val="000000" w:themeColor="text1"/>
        </w:rPr>
      </w:pPr>
      <w:r w:rsidRPr="00781112">
        <w:rPr>
          <w:color w:val="000000" w:themeColor="text1"/>
        </w:rPr>
        <w:t>Description of Stakeholder Input</w:t>
      </w:r>
    </w:p>
    <w:p w14:paraId="513CA7D9" w14:textId="77777777" w:rsidR="00C2635F" w:rsidRPr="00781112" w:rsidRDefault="00C2635F" w:rsidP="00C2635F">
      <w:pPr>
        <w:rPr>
          <w:color w:val="000000" w:themeColor="text1"/>
        </w:rPr>
      </w:pPr>
      <w:r w:rsidRPr="00781112">
        <w:rPr>
          <w:color w:val="000000" w:themeColor="text1"/>
        </w:rPr>
        <w:t>Mechanism for Broad Stakeholder Input:</w:t>
        <w:br/>
        <w:t xml:space="preserve">During FFY2022, the State held stakeholder meetings as the mechanism for soliciting broad stakeholder input on the State’s targets in the SPP/APR and any subsequent revisions. The meetings were held in-person for the first time following the COVID-19 pandemic. An online option was available for stakeholders that were not able to meet in person. In the meetings, Stakeholder groups reviewed the FFY2021 data, and the baselines and targets established for FFY 2020-2025. The groups analyzed the data to determine if established baselines and targets established in the prior year, were still an accurate depiction of the state’s performance trajectory. The meetings also allowed time for stakeholders to provide input on improvement strategies and progress for the SPP/APR indicators. The State also revised its methodology for Indicators 4a and 4b in which the information was shared with stakeholders and input was sought. In addition, the State also proposed a revised LEA annual determination rubric to include target indicators. The revised rubric will be used with FFY2023 LEA annual determinations and is consistent with the information in the OSEP Question and Answer document QA 23-01. </w:t>
        <w:br/>
        <w:t/>
        <w:br/>
        <w:t xml:space="preserve">Stakeholder meeting information including meeting logistics and presentations are available on the Special Education Division (SED) website for the public and any interested individual to access. Flyers were created and LEAs were asked to disseminate the information to their staff, parents, and students. The Parent Training Centers (PTCs) were asked to share the meeting information with parents including through social media. Other groups such as tribes, IDEA panel members, the State Special Education Ombud, and other parent advocacy groups were sent invitations to each of the meetings. </w:t>
        <w:br/>
        <w:t/>
        <w:br/>
        <w:t>Any stakeholder that wanted to provide feedback but could not attend the meetings, had an opportunity to do so. On the State’s stakeholder page, individuals can click on the link and share their input with the state staff by completing an input form. The feedback received from the website is also considered when making revisions and establishing targets.</w:t>
        <w:br/>
        <w:t/>
        <w:br/>
        <w:t>Feedback Summary:</w:t>
        <w:br/>
        <w:t>For Indicators 4a and 4b, the State’s methodology was proposed to be changed to meet OSEP requirements as indicated in the FFY2021, SPP/APR OSEP Responses and Required Actions. Stakeholders were presented with the new proposed methodology in which the cell size of 10 requirement was removed, the N size was reduced to 10 and a rate ratio of 3.0 was introduced. In comparison to the previous methodology, where a cell size and N size of 10 were required as well as a risk ratio of 1 percentage point above the state rate. Stakeholders had no objections or concerns with the new methodology. The State will use the new methodology to apply to the Indicator 4 data reported in this FFY2022 State Performance Plan/Annual Performance Report (SPP/APR).</w:t>
        <w:br/>
        <w:t/>
        <w:br/>
        <w:t>Indicator 17, State Systemic Improvement Plan:</w:t>
        <w:br/>
        <w:t xml:space="preserve">1. ECLIPSE program coordinators presented data and program updates to the state IDEA Panel (members include parents, advocates, state staff, and educators) during the 2022-2023 school year. IDEA panel members were engaged in the ECLIPSE program presentation on Indicator 17 and updates. An ECLIPSE panel committee provided qualitative feedback via a Google Form survey. The panel members conveyed the program is making progress in improving literacy outcomes forward for students with disabilities. Recommendations included increasing parental involvement and increased awareness of the program's successes. </w:t>
        <w:br/>
        <w:t>2. A virtual ECLIPSE stakeholder meeting was held during the 2022-2023 school year. Stakeholders in attendance included the ECLIPSE staff, Regional Education Cooperative (REC) coordinators, Special Education Directors, and ECLIPSE school principals. Stakeholders in attendance were provided with ECLIPSE program details for the upcoming school year and verbal feedback about the ECLIPSE Program at the end of the meeting.</w:t>
        <w:br/>
        <w:t xml:space="preserve">3. Parent engagement stakeholder meetings were held in-person and through online platforms where they were provided direct literacy training via hands-on activities. If the meeting was online, materials were provided to the schools prior to the meeting. The Regional Education Cooperative (REC) contractors provided materials, activities, and training to parents in-person. The REC initiated Google Pre and Post surveys following the trainings and it indicated that the level of understanding to support reading at home increased. Parental understanding of what the predicator of reading success was increased dramatically between pre and post surveys. A summary of parent comments included that the engagement sessions provided a lot of great information, it was a fun learning experience, and they looked forward to future meetings. </w:t>
        <w:br/>
        <w:t xml:space="preserve">4. The ECLIPSE staff initiated surveys during 2022-2023 to principals and teachers through Google Forms survey. Teachers showed dramatic increases in their knowledge of the incorporation of engagement strategies with their students due to their coaches. In a pre-survey, administrators listed that professional development on literacy is one of the greatest needs of the teachers they support. They also stated that time and equitable feedback were areas of administrative need. </w:t>
        <w:br/>
        <w:t>5. An online end of year survey was sent to all ECLIPSE stakeholders as the 2022-2023 school year ended. The main consensus from the survey supported the ongoing development of the program to illustrate its impact so adjustments can be made to better inform ourselves and our stakeholders of progress.</w:t>
      </w:r>
    </w:p>
    <w:p w14:paraId="613D691C" w14:textId="77777777" w:rsidR="00C2635F" w:rsidRPr="00781112" w:rsidRDefault="00C2635F" w:rsidP="00C2635F">
      <w:pPr>
        <w:pStyle w:val="Bold"/>
        <w:rPr>
          <w:b w:val="0"/>
          <w:color w:val="000000" w:themeColor="text1"/>
        </w:rPr>
      </w:pPr>
      <w:r w:rsidRPr="00781112">
        <w:rPr>
          <w:rFonts w:cs="Arial"/>
          <w:b w:val="0"/>
          <w:color w:val="000000" w:themeColor="text1"/>
          <w:szCs w:val="16"/>
        </w:rPr>
        <w:t/>
      </w:r>
    </w:p>
    <w:p w14:paraId="0227ECF0" w14:textId="4A877DBA" w:rsidR="00AE1972" w:rsidRPr="00781112" w:rsidRDefault="00AE1972" w:rsidP="00AE1972">
      <w:pPr>
        <w:rPr>
          <w:rFonts w:cs="Arial"/>
          <w:b/>
          <w:bCs/>
        </w:rPr>
      </w:pPr>
      <w:r w:rsidRPr="00781112">
        <w:rPr>
          <w:rFonts w:cs="Arial"/>
          <w:b/>
          <w:bCs/>
        </w:rPr>
        <w:t xml:space="preserve"> Describe the specific strategies implemented to engage stakeholders in key improvement efforts. </w:t>
      </w:r>
    </w:p>
    <w:p w14:paraId="50B976D9" w14:textId="4AEF384A" w:rsidR="00AE1972" w:rsidRPr="00781112" w:rsidRDefault="00AE1972" w:rsidP="00AE1972">
      <w:pPr>
        <w:rPr>
          <w:b/>
          <w:bCs/>
        </w:rPr>
      </w:pPr>
      <w:r w:rsidRPr="00781112">
        <w:rPr>
          <w:color w:val="000000" w:themeColor="text1"/>
        </w:rPr>
        <w:t>The ECLIPSE program engaged stakeholders in key improvement efforts with the following strategies:</w:t>
        <w:br/>
        <w:t xml:space="preserve">1. ECLIPSE program coordinators presented data and program updates to the state IDEA Panel (members include: parents, advocates, state staff, and educators) during the 2022-2023 school year. IDEA Panel members participated and were engaged in the ECLIPSE program presentations and breakouts with a panel committee. An ECLIPSE IDEA Panel committee met as a small group to discuss the program. The ECLIPSE IDEA Panel Committee provided EOY qualitative program feedback via a Google survey. </w:t>
        <w:br/>
        <w:t>2. One ECLIPSE stakeholder meeting was held during 2022-2023 via the Zoom online platform. Stakeholders included the ECLIPSE staff, Regional Education Cooperative Executive Directors (REC'S), Special Education Directors, ECLIPSE Principals, ECLIPSE Special Education Teachers, CORE NMSU Director, and Regional Education Cooperative Contractors. Stakeholders were provided with ECLIPSE program details for the school year and stakeholders provided feedback at the conclusion of the meeting.</w:t>
        <w:br/>
        <w:t xml:space="preserve">3. Parent engagement stakeholder meetings were held in-person and through online platforms where they were provided direct literacy training via hands-on activities. If the meeting was online, materials were provided to the schools prior to the meeting. The Regional Education Cooperative (REC) contractors provided materials, activities, and training to parents in-person. The REC initiated Google Pre and Post surveys following the trainings and it indicated that the level of understanding to support reading at home increased and parental understanding of what the predicator of reading success was increased dramatically between pre and post surveys. Parents' comments included that it was a lot of great information, was a fun learning experience, and the presenters were enthusiastic and enjoyable.   </w:t>
        <w:br/>
        <w:t xml:space="preserve">4. The ECLIPSE staff initiated surveys during 2022-2023 to principals and teachers through Google Forms survey. Teachers showed dramatic increases in their knowledge of the incorporation of engagement strategies with their students due to their coaches. In a pre-survey, administrators listed that professional development on literacy is one of the greatest needs of the teachers they support. They also stated that time and equitable feedback were areas of administrative need. </w:t>
        <w:br/>
        <w:t>5. An online end-of-year survey was sent to all ECLIPSE stakeholders as the 2022-2023 school year ended. The main consensus from the survey supported the ongoing development of the impact of the program to illustrate the impact of the program more so adjustments can be made to better inform ourselves and our stakeholders of progress.</w:t>
      </w:r>
    </w:p>
    <w:p w14:paraId="0E7119BD" w14:textId="77777777" w:rsidR="00AE1972" w:rsidRPr="00781112" w:rsidRDefault="00AE1972" w:rsidP="00AE1972">
      <w:pPr>
        <w:rPr>
          <w:rFonts w:cs="Arial"/>
          <w:b/>
          <w:bCs/>
        </w:rPr>
      </w:pPr>
      <w:r w:rsidRPr="00781112">
        <w:rPr>
          <w:rFonts w:cs="Arial"/>
          <w:b/>
          <w:bCs/>
        </w:rPr>
        <w:t>Were there any concerns expressed by stakeholders during engagement activities?</w:t>
      </w:r>
      <w:r w:rsidRPr="00781112">
        <w:rPr>
          <w:b/>
          <w:bCs/>
        </w:rPr>
        <w:t xml:space="preserve"> (yes/no)</w:t>
      </w:r>
    </w:p>
    <w:p w14:paraId="23F53104" w14:textId="7B375F38" w:rsidR="00AE1972" w:rsidRDefault="00AE1972" w:rsidP="00AE1972">
      <w:pPr>
        <w:rPr>
          <w:color w:val="000000" w:themeColor="text1"/>
        </w:rPr>
      </w:pPr>
      <w:r w:rsidRPr="00781112">
        <w:rPr>
          <w:color w:val="000000" w:themeColor="text1"/>
        </w:rPr>
        <w:t>YES</w:t>
      </w:r>
    </w:p>
    <w:p w14:paraId="106639A0" w14:textId="39A5DE64" w:rsidR="00AE1972" w:rsidRPr="00781112" w:rsidRDefault="00C2635F" w:rsidP="00AE1972">
      <w:pPr>
        <w:rPr>
          <w:rFonts w:cs="Arial"/>
          <w:b/>
          <w:bCs/>
        </w:rPr>
      </w:pPr>
      <w:r w:rsidRPr="00781112">
        <w:rPr>
          <w:rFonts w:cs="Arial"/>
          <w:b/>
          <w:bCs/>
        </w:rPr>
        <w:t xml:space="preserve">Describe how the State addressed the concerns expressed by stakeholders. </w:t>
      </w:r>
    </w:p>
    <w:p w14:paraId="3CBD7A6E" w14:textId="0BCE4D81" w:rsidR="00AE1972" w:rsidRDefault="00AE1972" w:rsidP="00AE1972">
      <w:pPr>
        <w:rPr>
          <w:color w:val="000000" w:themeColor="text1"/>
        </w:rPr>
      </w:pPr>
      <w:r w:rsidRPr="00781112">
        <w:rPr>
          <w:color w:val="000000" w:themeColor="text1"/>
        </w:rPr>
        <w:t>To address concerns communicated by stakeholders, the State proposed the following strategies:</w:t>
        <w:br/>
        <w:t>1. Interviews with school participants and participant surveys revealed common themes for improving the program. These included: communicating clearer participant roles and responsibilities, participant non-negotiables, and expectations; sharing timelines earlier in the school year; and clarifying the program mission, goals, and values. To address these concerns, the ECLIPSE team developed expectations descriptions that were shared at the end of Spring 2022. In addition, the ECLIPSE team developed an ECLIPSE informational packet detailing program specifics and emailed ECLIPSE newsletters to program participants.</w:t>
        <w:br/>
        <w:t>2. School administrators felt teachers needed more support with data analysis and their school staff. Targeted assistance for data analysis was increased to support school staff.</w:t>
        <w:br/>
        <w:t>3. Special education teachers felt they did not have enough time to collaborate with general education teachers, which limited their ability to support students effectively. To address the need for increased collaboration time, school teams will have opportunities to participate in training together. For example, coaches will work with school administrators and teaching partners (special education and general education teachers who share students with disabilities). In addition, school teams with administrative involvement will work together to analyze data and conduct a root cause analysis.</w:t>
      </w:r>
    </w:p>
    <w:p w14:paraId="4C0E967E" w14:textId="77777777" w:rsidR="00AE1972" w:rsidRPr="00781112" w:rsidRDefault="00AE1972" w:rsidP="00AE1972">
      <w:pPr>
        <w:rPr>
          <w:rFonts w:cs="Arial"/>
          <w:b/>
          <w:bCs/>
        </w:rPr>
      </w:pPr>
    </w:p>
    <w:p w14:paraId="66B03304" w14:textId="77777777" w:rsidR="00AE1972" w:rsidRPr="00781112" w:rsidRDefault="00AE1972" w:rsidP="00AE1972">
      <w:pPr>
        <w:rPr>
          <w:rFonts w:cstheme="minorHAnsi"/>
          <w:b/>
          <w:bCs/>
        </w:rPr>
      </w:pPr>
      <w:r w:rsidRPr="00781112">
        <w:rPr>
          <w:rFonts w:cstheme="minorHAnsi"/>
          <w:b/>
          <w:bCs/>
        </w:rPr>
        <w:t>Additional Implementation Activities</w:t>
      </w:r>
    </w:p>
    <w:p w14:paraId="10A21917" w14:textId="46068090" w:rsidR="00AE1972" w:rsidRPr="00781112" w:rsidRDefault="00AE1972" w:rsidP="00AE1972">
      <w:pPr>
        <w:rPr>
          <w:b/>
          <w:bCs/>
        </w:rPr>
      </w:pPr>
      <w:r w:rsidRPr="00781112">
        <w:rPr>
          <w:b/>
          <w:bCs/>
        </w:rPr>
        <w:t xml:space="preserve">List any activities not already described that the State intends to implement in the next fiscal year that are related to the </w:t>
      </w:r>
      <w:proofErr w:type="spellStart"/>
      <w:r w:rsidRPr="00781112">
        <w:rPr>
          <w:b/>
          <w:bCs/>
        </w:rPr>
        <w:t>SiMR</w:t>
      </w:r>
      <w:proofErr w:type="spellEnd"/>
      <w:r w:rsidRPr="00781112">
        <w:rPr>
          <w:b/>
          <w:bCs/>
        </w:rPr>
        <w:t>.</w:t>
      </w:r>
    </w:p>
    <w:p w14:paraId="35A94BC4" w14:textId="6D7D4D2A" w:rsidR="00AE1972" w:rsidRPr="00781112" w:rsidRDefault="00AE1972" w:rsidP="00AE1972">
      <w:pPr>
        <w:rPr>
          <w:color w:val="000000" w:themeColor="text1"/>
        </w:rPr>
      </w:pPr>
      <w:r w:rsidRPr="00781112">
        <w:rPr>
          <w:color w:val="000000" w:themeColor="text1"/>
        </w:rPr>
        <w:t>In the next fiscal year, the program goal is to increase participation in family literacy activities. Engaging families in literacy events supports progress towards the SIMR because families learn about how to reinforce EBPs their students are being taught at school. During COVID, we learned families like having the option of attending events in person or remotely. We will continue to offer both options. To measure participation in the events, we will continue to track the number of attendees at each event and obtain their feedback following the events via surveys. The ECLIPSE program did not meet our goal of a 10% increase. Five hundred forty-five (545) parents participated in the 22-23 SY which is a decrease from the 21-22 SY of 1%. We have set a target of increasing participation in family literacy events for the 2023-2024 School Year by 10%.</w:t>
      </w:r>
    </w:p>
    <w:p w14:paraId="3ACC71D3" w14:textId="77777777" w:rsidR="00AE1972" w:rsidRPr="00781112" w:rsidRDefault="00AE1972" w:rsidP="00AE1972">
      <w:pPr>
        <w:rPr>
          <w:rFonts w:cs="Arial"/>
          <w:b/>
          <w:bCs/>
        </w:rPr>
      </w:pPr>
      <w:r w:rsidRPr="00781112">
        <w:rPr>
          <w:rFonts w:cs="Arial"/>
          <w:b/>
          <w:bCs/>
        </w:rPr>
        <w:t xml:space="preserve">Provide a timeline, anticipated data collection and measures, and expected outcomes for these activities that are related to the </w:t>
      </w:r>
      <w:proofErr w:type="spellStart"/>
      <w:r w:rsidRPr="00781112">
        <w:rPr>
          <w:rFonts w:cs="Arial"/>
          <w:b/>
          <w:bCs/>
        </w:rPr>
        <w:t>SiMR</w:t>
      </w:r>
      <w:proofErr w:type="spellEnd"/>
      <w:r w:rsidRPr="00781112">
        <w:rPr>
          <w:rFonts w:cs="Arial"/>
          <w:b/>
          <w:bCs/>
        </w:rPr>
        <w:t xml:space="preserve">. </w:t>
      </w:r>
    </w:p>
    <w:p w14:paraId="50377A67" w14:textId="7B063CE4" w:rsidR="00AE1972" w:rsidRPr="00781112" w:rsidRDefault="00AE1972" w:rsidP="00AE1972">
      <w:pPr>
        <w:rPr>
          <w:color w:val="000000" w:themeColor="text1"/>
        </w:rPr>
      </w:pPr>
      <w:r w:rsidRPr="00781112">
        <w:rPr>
          <w:color w:val="000000" w:themeColor="text1"/>
        </w:rPr>
        <w:t>In FFY 2022, family literacy events will continue to be provided. As Regional Education Cooperatives (RECs) supporting the program and additional support specialists prepare for the 23-24 SY, schools will have a choice about whether to have events remotely or in-person. To measure participation in the events, we will continue to track the number of attendees at each event and obtain their feedback following the events. A target for increasing participation in family literacy events by 10% has been set.  To attain this goal the RECs will continue to be utilized to provide support to participating schools.  In addition, a support group to provide additional family literacy events will be developed.</w:t>
      </w:r>
    </w:p>
    <w:p w14:paraId="7B5F9795" w14:textId="77777777" w:rsidR="00AE1972" w:rsidRPr="00781112" w:rsidRDefault="00AE1972" w:rsidP="00AE1972">
      <w:pPr>
        <w:rPr>
          <w:color w:val="000000" w:themeColor="text1"/>
        </w:rPr>
      </w:pPr>
    </w:p>
    <w:p w14:paraId="1D472AFD" w14:textId="77777777" w:rsidR="00AE1972" w:rsidRPr="00781112" w:rsidRDefault="00AE1972" w:rsidP="00AE1972">
      <w:pPr>
        <w:rPr>
          <w:rFonts w:cs="Arial"/>
          <w:b/>
          <w:bCs/>
        </w:rPr>
      </w:pPr>
      <w:r w:rsidRPr="00781112">
        <w:rPr>
          <w:rFonts w:cs="Arial"/>
          <w:b/>
          <w:bCs/>
        </w:rPr>
        <w:t>Describe any newly identified barriers and include steps to address these barriers.</w:t>
      </w:r>
    </w:p>
    <w:p w14:paraId="4E48E920" w14:textId="395AE1C0" w:rsidR="00AE1972" w:rsidRPr="00781112" w:rsidRDefault="00AE1972" w:rsidP="00AE1972">
      <w:pPr>
        <w:rPr>
          <w:color w:val="000000" w:themeColor="text1"/>
        </w:rPr>
      </w:pPr>
      <w:r w:rsidRPr="00781112">
        <w:rPr>
          <w:color w:val="000000" w:themeColor="text1"/>
        </w:rPr>
        <w:t>Throughout the state, there is a shortage of special education teachers, general education teachers, and available substitute teachers. The teacher shortage is having a profound effect on schools and the ability for teachers to deliver specialized instruction to their students with disabilities. To address these barriers, the state continues to plan to pass additional legislation to increase salaries and allow retired teachers to return and teach full-time with no penalty to their retirement benefits. The state has engaged with stakeholders (teachers, LEAs, parents, and community members) to address these issues and to continue to build trust and collaboration.</w:t>
      </w:r>
    </w:p>
    <w:p w14:paraId="5E2459D3" w14:textId="77777777" w:rsidR="00AE1972" w:rsidRPr="00781112" w:rsidRDefault="00AE1972" w:rsidP="00AE1972">
      <w:pPr>
        <w:rPr>
          <w:rFonts w:cs="Arial"/>
          <w:b/>
          <w:bCs/>
        </w:rPr>
      </w:pPr>
    </w:p>
    <w:p w14:paraId="3396CE64" w14:textId="77777777" w:rsidR="00AE1972" w:rsidRPr="00781112" w:rsidRDefault="00AE1972" w:rsidP="00AE1972">
      <w:pPr>
        <w:rPr>
          <w:rFonts w:cs="Arial"/>
          <w:b/>
          <w:bCs/>
        </w:rPr>
      </w:pPr>
      <w:r w:rsidRPr="00781112">
        <w:rPr>
          <w:rFonts w:cs="Arial"/>
          <w:b/>
          <w:bCs/>
        </w:rPr>
        <w:t>Provide additional information about this indicator (optional).</w:t>
      </w:r>
    </w:p>
    <w:p w14:paraId="3B78AAE5" w14:textId="1BDEAF09" w:rsidR="00AE1972" w:rsidRPr="00781112" w:rsidRDefault="00AE1972" w:rsidP="00AE1972">
      <w:pPr>
        <w:rPr>
          <w:color w:val="000000" w:themeColor="text1"/>
        </w:rPr>
      </w:pPr>
      <w:r w:rsidRPr="00781112">
        <w:rPr>
          <w:color w:val="000000" w:themeColor="text1"/>
        </w:rPr>
        <w:t/>
      </w:r>
    </w:p>
    <w:p w14:paraId="1717717F" w14:textId="77777777" w:rsidR="00AE1972" w:rsidRPr="00781112" w:rsidRDefault="00AE1972" w:rsidP="00AE1972">
      <w:pPr>
        <w:rPr>
          <w:b/>
          <w:bCs/>
        </w:rPr>
      </w:pPr>
    </w:p>
    <w:p w14:paraId="7969DCFD" w14:textId="313BCCCE" w:rsidR="00AE1972" w:rsidRPr="00781112" w:rsidRDefault="00AE1972" w:rsidP="00AE1972">
      <w:pPr>
        <w:pStyle w:val="Heading2"/>
      </w:pPr>
      <w:r w:rsidRPr="00781112">
        <w:t>1</w:t>
      </w:r>
      <w:r w:rsidR="00B90835" w:rsidRPr="00781112">
        <w:t>7</w:t>
      </w:r>
      <w:r w:rsidRPr="00781112">
        <w:t xml:space="preserve"> - Prior FFY Required Actions</w:t>
      </w:r>
    </w:p>
    <w:p w14:paraId="6D4FDD87" w14:textId="61973738" w:rsidR="00AE1972" w:rsidRPr="00781112" w:rsidRDefault="00AE1972" w:rsidP="00AE1972">
      <w:pPr>
        <w:rPr>
          <w:color w:val="000000" w:themeColor="text1"/>
        </w:rPr>
      </w:pPr>
      <w:r w:rsidRPr="00781112">
        <w:rPr>
          <w:color w:val="000000" w:themeColor="text1"/>
        </w:rPr>
        <w:t>None</w:t>
      </w:r>
    </w:p>
    <w:p w14:paraId="26525888" w14:textId="754A2C29" w:rsidR="00AE1972" w:rsidRPr="00781112" w:rsidRDefault="00AE1972" w:rsidP="00AE1972">
      <w:pPr>
        <w:pStyle w:val="Heading2"/>
      </w:pPr>
      <w:r w:rsidRPr="00781112">
        <w:t>1</w:t>
      </w:r>
      <w:r w:rsidR="00B90835" w:rsidRPr="00781112">
        <w:t>7</w:t>
      </w:r>
      <w:r w:rsidRPr="00781112">
        <w:t xml:space="preserve"> - OSEP Response</w:t>
      </w:r>
    </w:p>
    <w:p w14:paraId="401B2D8D" w14:textId="470B927C" w:rsidR="00AE1972" w:rsidRPr="00781112" w:rsidRDefault="00AE1972" w:rsidP="00AE1972">
      <w:pPr>
        <w:rPr>
          <w:color w:val="000000" w:themeColor="text1"/>
        </w:rPr>
      </w:pPr>
      <w:r w:rsidRPr="00781112">
        <w:rPr>
          <w:color w:val="000000" w:themeColor="text1"/>
        </w:rPr>
        <w:t>
</w:t>
      </w:r>
    </w:p>
    <w:p w14:paraId="6DAF5363" w14:textId="73CEA9C3" w:rsidR="00AE1972" w:rsidRPr="00781112" w:rsidRDefault="00AE1972" w:rsidP="00AE1972">
      <w:pPr>
        <w:pStyle w:val="Heading2"/>
      </w:pPr>
      <w:r w:rsidRPr="00781112">
        <w:t>1</w:t>
      </w:r>
      <w:r w:rsidR="00B90835" w:rsidRPr="00781112">
        <w:t>7</w:t>
      </w:r>
      <w:r w:rsidRPr="00781112">
        <w:t xml:space="preserve"> - Required Actions</w:t>
      </w:r>
    </w:p>
    <w:p w14:paraId="54E94584" w14:textId="132794BB" w:rsidR="00066BAA" w:rsidRDefault="00AE1972" w:rsidP="000532EB">
      <w:pPr>
        <w:rPr>
          <w:color w:val="000000" w:themeColor="text1"/>
        </w:rPr>
      </w:pPr>
      <w:r w:rsidRPr="00781112">
        <w:rPr>
          <w:color w:val="000000" w:themeColor="text1"/>
        </w:rPr>
        <w:t/>
      </w:r>
    </w:p>
    <w:p w14:paraId="7081808E" w14:textId="332DB163" w:rsidR="000532EB" w:rsidRDefault="000532EB">
      <w:pPr>
        <w:spacing w:before="0" w:after="200" w:line="276" w:lineRule="auto"/>
        <w:rPr>
          <w:color w:val="000000" w:themeColor="text1"/>
        </w:rPr>
      </w:pPr>
      <w:r>
        <w:rPr>
          <w:color w:val="000000" w:themeColor="text1"/>
        </w:rPr>
        <w:br w:type="page"/>
      </w:r>
    </w:p>
    <w:p w14:paraId="47A15380" w14:textId="2BFE46A7" w:rsidR="00251CC0" w:rsidRPr="00781112" w:rsidRDefault="00755AF7" w:rsidP="00D01281">
      <w:pPr>
        <w:pStyle w:val="Heading1"/>
        <w:rPr>
          <w:color w:val="000000" w:themeColor="text1"/>
        </w:rPr>
      </w:pPr>
      <w:r w:rsidRPr="00781112">
        <w:rPr>
          <w:color w:val="000000" w:themeColor="text1"/>
        </w:rPr>
        <w:lastRenderedPageBreak/>
        <w:t>Certification</w:t>
      </w:r>
    </w:p>
    <w:p w14:paraId="49BAFEB2" w14:textId="460D7FCE" w:rsidR="00EC1064" w:rsidRPr="00781112" w:rsidRDefault="00EC1064" w:rsidP="00A018D4">
      <w:pPr>
        <w:rPr>
          <w:color w:val="000000" w:themeColor="text1"/>
          <w:szCs w:val="20"/>
        </w:rPr>
      </w:pPr>
      <w:r w:rsidRPr="00781112">
        <w:rPr>
          <w:b/>
          <w:color w:val="000000" w:themeColor="text1"/>
          <w:sz w:val="20"/>
          <w:szCs w:val="20"/>
        </w:rPr>
        <w:t>Instructions</w:t>
      </w:r>
    </w:p>
    <w:p w14:paraId="1D3FABB8" w14:textId="49984077" w:rsidR="00EC1064" w:rsidRPr="00781112" w:rsidRDefault="00C723F9" w:rsidP="00EC1064">
      <w:pPr>
        <w:autoSpaceDE w:val="0"/>
        <w:autoSpaceDN w:val="0"/>
        <w:adjustRightInd w:val="0"/>
        <w:rPr>
          <w:rFonts w:cs="Arial"/>
          <w:b/>
          <w:bCs/>
          <w:color w:val="000000" w:themeColor="text1"/>
          <w:szCs w:val="16"/>
        </w:rPr>
      </w:pPr>
      <w:r w:rsidRPr="00781112">
        <w:rPr>
          <w:rFonts w:cs="Arial"/>
          <w:b/>
          <w:bCs/>
          <w:color w:val="000000" w:themeColor="text1"/>
          <w:szCs w:val="16"/>
        </w:rPr>
        <w:t>Choose the appropriate selection and complete all the certification information fields. Then click the "Submit" button to submit your APR.</w:t>
      </w:r>
    </w:p>
    <w:p w14:paraId="01D5737F" w14:textId="0EECE8DE" w:rsidR="00EC1064" w:rsidRPr="00781112" w:rsidRDefault="00EC1064" w:rsidP="00EE0028">
      <w:pPr>
        <w:pStyle w:val="NoSpacing"/>
        <w:rPr>
          <w:rFonts w:ascii="Arial" w:hAnsi="Arial" w:cs="Arial"/>
          <w:b/>
          <w:bCs/>
          <w:color w:val="000000" w:themeColor="text1"/>
          <w:sz w:val="16"/>
          <w:szCs w:val="16"/>
        </w:rPr>
      </w:pPr>
      <w:r w:rsidRPr="00781112">
        <w:rPr>
          <w:rFonts w:ascii="Arial" w:hAnsi="Arial" w:cs="Arial"/>
          <w:b/>
          <w:bCs/>
          <w:color w:val="000000" w:themeColor="text1"/>
          <w:sz w:val="16"/>
          <w:szCs w:val="16"/>
        </w:rPr>
        <w:t>Certify</w:t>
      </w:r>
    </w:p>
    <w:p w14:paraId="55390454" w14:textId="09D075B1" w:rsidR="00262BC0" w:rsidRPr="00781112" w:rsidRDefault="00262BC0" w:rsidP="00262BC0">
      <w:pPr>
        <w:autoSpaceDE w:val="0"/>
        <w:autoSpaceDN w:val="0"/>
        <w:adjustRightInd w:val="0"/>
        <w:rPr>
          <w:rFonts w:cs="Arial"/>
          <w:b/>
          <w:bCs/>
          <w:color w:val="000000" w:themeColor="text1"/>
          <w:szCs w:val="16"/>
        </w:rPr>
      </w:pPr>
      <w:r w:rsidRPr="00781112">
        <w:rPr>
          <w:rFonts w:cs="Arial"/>
          <w:b/>
          <w:bCs/>
          <w:color w:val="000000" w:themeColor="text1"/>
          <w:szCs w:val="16"/>
        </w:rPr>
        <w:t>I certify that I am the Chief State School Officer of the State, or his or her designee, and that the State's submission of its IDEA Part B State Performance Plan/Annual Performance Report is accurate.</w:t>
      </w:r>
    </w:p>
    <w:p w14:paraId="6B93509D" w14:textId="70EDDFDB" w:rsidR="008D2663" w:rsidRPr="00781112" w:rsidRDefault="00262BC0" w:rsidP="00262BC0">
      <w:pPr>
        <w:autoSpaceDE w:val="0"/>
        <w:autoSpaceDN w:val="0"/>
        <w:adjustRightInd w:val="0"/>
        <w:rPr>
          <w:rFonts w:cs="Arial"/>
          <w:b/>
          <w:bCs/>
          <w:color w:val="000000" w:themeColor="text1"/>
          <w:szCs w:val="16"/>
        </w:rPr>
      </w:pPr>
      <w:r w:rsidRPr="00781112">
        <w:rPr>
          <w:rFonts w:cs="Arial"/>
          <w:b/>
          <w:bCs/>
          <w:color w:val="000000" w:themeColor="text1"/>
          <w:szCs w:val="16"/>
        </w:rPr>
        <w:t>Select the certifier’s role:</w:t>
      </w:r>
    </w:p>
    <w:p w14:paraId="0767E5C8" w14:textId="70B1D176" w:rsidR="00262BC0" w:rsidRPr="00781112" w:rsidRDefault="002B7490" w:rsidP="00262BC0">
      <w:pPr>
        <w:autoSpaceDE w:val="0"/>
        <w:autoSpaceDN w:val="0"/>
        <w:adjustRightInd w:val="0"/>
        <w:rPr>
          <w:rFonts w:cs="Arial"/>
          <w:bCs/>
          <w:color w:val="000000" w:themeColor="text1"/>
          <w:szCs w:val="16"/>
        </w:rPr>
      </w:pPr>
      <w:r w:rsidRPr="00781112">
        <w:rPr>
          <w:rFonts w:cs="Arial"/>
          <w:bCs/>
          <w:color w:val="000000" w:themeColor="text1"/>
          <w:szCs w:val="16"/>
        </w:rPr>
        <w:t>Designated by the Chief State School Officer to certify</w:t>
      </w:r>
    </w:p>
    <w:p w14:paraId="0D4B9819" w14:textId="38C2D4E8" w:rsidR="00262BC0" w:rsidRPr="00781112" w:rsidRDefault="00262BC0" w:rsidP="00262BC0">
      <w:pPr>
        <w:autoSpaceDE w:val="0"/>
        <w:autoSpaceDN w:val="0"/>
        <w:adjustRightInd w:val="0"/>
        <w:rPr>
          <w:rFonts w:cs="Arial"/>
          <w:b/>
          <w:bCs/>
          <w:color w:val="000000" w:themeColor="text1"/>
          <w:szCs w:val="16"/>
        </w:rPr>
      </w:pPr>
      <w:r w:rsidRPr="00781112">
        <w:rPr>
          <w:rFonts w:cs="Arial"/>
          <w:b/>
          <w:bCs/>
          <w:color w:val="000000" w:themeColor="text1"/>
          <w:szCs w:val="16"/>
        </w:rPr>
        <w:t>Name and title of the individual certifying the accuracy of the State's submission of its IDEA Part B State Performance Plan/Annual Performance Report.</w:t>
      </w:r>
    </w:p>
    <w:p w14:paraId="3B5F1CED" w14:textId="77777777" w:rsidR="00755AF7" w:rsidRPr="00781112" w:rsidRDefault="00755AF7" w:rsidP="00755AF7">
      <w:pPr>
        <w:autoSpaceDE w:val="0"/>
        <w:autoSpaceDN w:val="0"/>
        <w:adjustRightInd w:val="0"/>
        <w:rPr>
          <w:rFonts w:cs="Arial"/>
          <w:b/>
          <w:bCs/>
          <w:color w:val="000000" w:themeColor="text1"/>
          <w:szCs w:val="16"/>
        </w:rPr>
      </w:pPr>
      <w:bookmarkStart w:id="119" w:name="_Hlk20318241"/>
      <w:r w:rsidRPr="00781112">
        <w:rPr>
          <w:rFonts w:cs="Arial"/>
          <w:b/>
          <w:bCs/>
          <w:color w:val="000000" w:themeColor="text1"/>
          <w:szCs w:val="16"/>
        </w:rPr>
        <w:t xml:space="preserve">Name: </w:t>
      </w:r>
    </w:p>
    <w:p w14:paraId="4AE58D3C" w14:textId="25F9FA75" w:rsidR="00755AF7" w:rsidRPr="00781112" w:rsidRDefault="002B7490" w:rsidP="00755AF7">
      <w:pPr>
        <w:autoSpaceDE w:val="0"/>
        <w:autoSpaceDN w:val="0"/>
        <w:adjustRightInd w:val="0"/>
        <w:rPr>
          <w:rFonts w:cs="Arial"/>
          <w:color w:val="000000" w:themeColor="text1"/>
          <w:szCs w:val="16"/>
        </w:rPr>
      </w:pPr>
      <w:r w:rsidRPr="00781112">
        <w:rPr>
          <w:rFonts w:cs="Arial"/>
          <w:color w:val="000000" w:themeColor="text1"/>
          <w:szCs w:val="16"/>
        </w:rPr>
        <w:t>Charlene Marcotte</w:t>
      </w:r>
    </w:p>
    <w:p w14:paraId="6368082B" w14:textId="28AD55BD" w:rsidR="00755AF7" w:rsidRPr="00781112" w:rsidRDefault="00EF4A6B" w:rsidP="00755AF7">
      <w:pPr>
        <w:autoSpaceDE w:val="0"/>
        <w:autoSpaceDN w:val="0"/>
        <w:adjustRightInd w:val="0"/>
        <w:rPr>
          <w:rFonts w:cs="Arial"/>
          <w:b/>
          <w:bCs/>
          <w:color w:val="000000" w:themeColor="text1"/>
          <w:szCs w:val="16"/>
        </w:rPr>
      </w:pPr>
      <w:r w:rsidRPr="00781112">
        <w:rPr>
          <w:rFonts w:cs="Arial"/>
          <w:b/>
          <w:bCs/>
          <w:color w:val="000000" w:themeColor="text1"/>
          <w:szCs w:val="16"/>
        </w:rPr>
        <w:t xml:space="preserve">Title: </w:t>
      </w:r>
    </w:p>
    <w:p w14:paraId="290E3D81" w14:textId="5C618752" w:rsidR="00755AF7" w:rsidRPr="00781112" w:rsidRDefault="002B7490" w:rsidP="00755AF7">
      <w:pPr>
        <w:autoSpaceDE w:val="0"/>
        <w:autoSpaceDN w:val="0"/>
        <w:adjustRightInd w:val="0"/>
        <w:rPr>
          <w:rFonts w:cs="Arial"/>
          <w:color w:val="000000" w:themeColor="text1"/>
          <w:szCs w:val="16"/>
        </w:rPr>
      </w:pPr>
      <w:r w:rsidRPr="00781112">
        <w:rPr>
          <w:rFonts w:cs="Arial"/>
          <w:color w:val="000000" w:themeColor="text1"/>
          <w:szCs w:val="16"/>
        </w:rPr>
        <w:t>Deputy Director of Data and Finance</w:t>
      </w:r>
    </w:p>
    <w:p w14:paraId="67DC6813" w14:textId="6EF07192" w:rsidR="00755AF7" w:rsidRPr="00781112" w:rsidRDefault="00925E33" w:rsidP="00755AF7">
      <w:pPr>
        <w:autoSpaceDE w:val="0"/>
        <w:autoSpaceDN w:val="0"/>
        <w:adjustRightInd w:val="0"/>
        <w:rPr>
          <w:rFonts w:cs="Arial"/>
          <w:b/>
          <w:bCs/>
          <w:color w:val="000000" w:themeColor="text1"/>
          <w:szCs w:val="16"/>
        </w:rPr>
      </w:pPr>
      <w:r w:rsidRPr="00781112">
        <w:rPr>
          <w:rFonts w:cs="Arial"/>
          <w:b/>
          <w:bCs/>
          <w:color w:val="000000" w:themeColor="text1"/>
          <w:szCs w:val="16"/>
        </w:rPr>
        <w:t xml:space="preserve">Email: </w:t>
      </w:r>
    </w:p>
    <w:p w14:paraId="0D9187A2" w14:textId="72ED05AF" w:rsidR="00755AF7" w:rsidRPr="00781112" w:rsidRDefault="002B7490" w:rsidP="00755AF7">
      <w:pPr>
        <w:autoSpaceDE w:val="0"/>
        <w:autoSpaceDN w:val="0"/>
        <w:adjustRightInd w:val="0"/>
        <w:rPr>
          <w:rFonts w:cs="Arial"/>
          <w:color w:val="000000" w:themeColor="text1"/>
          <w:szCs w:val="16"/>
        </w:rPr>
      </w:pPr>
      <w:r w:rsidRPr="00781112">
        <w:rPr>
          <w:rFonts w:cs="Arial"/>
          <w:color w:val="000000" w:themeColor="text1"/>
          <w:szCs w:val="16"/>
        </w:rPr>
        <w:t>charlene.marcotte@ped.nm.gov</w:t>
      </w:r>
    </w:p>
    <w:p w14:paraId="230D0674" w14:textId="3A323DD4" w:rsidR="00755AF7" w:rsidRPr="00781112" w:rsidRDefault="00EF4A6B" w:rsidP="00755AF7">
      <w:pPr>
        <w:autoSpaceDE w:val="0"/>
        <w:autoSpaceDN w:val="0"/>
        <w:adjustRightInd w:val="0"/>
        <w:rPr>
          <w:rFonts w:cs="Arial"/>
          <w:b/>
          <w:color w:val="000000" w:themeColor="text1"/>
          <w:szCs w:val="16"/>
        </w:rPr>
      </w:pPr>
      <w:r w:rsidRPr="00781112">
        <w:rPr>
          <w:rFonts w:cs="Arial"/>
          <w:b/>
          <w:color w:val="000000" w:themeColor="text1"/>
          <w:szCs w:val="16"/>
        </w:rPr>
        <w:t>Phone:</w:t>
      </w:r>
    </w:p>
    <w:p w14:paraId="5A421E1A" w14:textId="3C4EA133" w:rsidR="00DD2023" w:rsidRPr="00781112" w:rsidRDefault="002B7490" w:rsidP="00DD2023">
      <w:pPr>
        <w:autoSpaceDE w:val="0"/>
        <w:autoSpaceDN w:val="0"/>
        <w:adjustRightInd w:val="0"/>
        <w:rPr>
          <w:rFonts w:cs="Arial"/>
          <w:color w:val="000000" w:themeColor="text1"/>
          <w:szCs w:val="16"/>
        </w:rPr>
      </w:pPr>
      <w:r w:rsidRPr="00781112">
        <w:rPr>
          <w:rFonts w:cs="Arial"/>
          <w:color w:val="000000" w:themeColor="text1"/>
          <w:szCs w:val="16"/>
        </w:rPr>
        <w:t>505-309-1688</w:t>
      </w:r>
    </w:p>
    <w:bookmarkEnd w:id="119"/>
    <w:p w14:paraId="17E495D6" w14:textId="2B4E1FA8" w:rsidR="000657F0" w:rsidRPr="00781112" w:rsidRDefault="00C773DB" w:rsidP="000657F0">
      <w:pPr>
        <w:autoSpaceDE w:val="0"/>
        <w:autoSpaceDN w:val="0"/>
        <w:adjustRightInd w:val="0"/>
        <w:rPr>
          <w:rFonts w:cs="Arial"/>
          <w:b/>
          <w:color w:val="000000" w:themeColor="text1"/>
          <w:szCs w:val="16"/>
        </w:rPr>
      </w:pPr>
      <w:r w:rsidRPr="00781112">
        <w:rPr>
          <w:rFonts w:cs="Arial"/>
          <w:b/>
          <w:color w:val="000000" w:themeColor="text1"/>
          <w:szCs w:val="16"/>
        </w:rPr>
        <w:t>Submitted on:</w:t>
      </w:r>
    </w:p>
    <w:p w14:paraId="3754F1D5" w14:textId="5487A8BD" w:rsidR="00371FAA" w:rsidRPr="00395B6C" w:rsidRDefault="006879FA" w:rsidP="00371FAA">
      <w:r w:rsidRPr="00395B6C">
        <w:t>04/25/24  2:27:16 PM</w:t>
      </w:r>
    </w:p>
    <w:p w14:paraId="137CE14B" w14:textId="38DBB8E3" w:rsidR="00371FAA" w:rsidRPr="00395B6C" w:rsidRDefault="00D12506" w:rsidP="00D12506">
      <w:pPr>
        <w:spacing w:before="0" w:after="200" w:line="276" w:lineRule="auto"/>
      </w:pPr>
      <w:r w:rsidRPr="00395B6C">
        <w:br w:type="page"/>
      </w:r>
    </w:p>
    <w:p w14:paraId="66D36872" w14:textId="52ECB6DB" w:rsidR="00BE0EEF" w:rsidRPr="00395B6C" w:rsidRDefault="00AF2BDA" w:rsidP="00AF2BDA">
      <w:pPr>
        <w:pStyle w:val="Heading1"/>
        <w:rPr>
          <w:color w:val="000000" w:themeColor="text1"/>
        </w:rPr>
      </w:pPr>
      <w:r w:rsidRPr="00395B6C">
        <w:rPr>
          <w:color w:val="000000" w:themeColor="text1"/>
        </w:rPr>
        <w:lastRenderedPageBreak/>
        <w:t>Determination Enclosures</w:t>
      </w:r>
    </w:p>
    <w:p w14:paraId="7F6A87DA" w14:textId="7873ABE7" w:rsidR="00BE0EEF" w:rsidRDefault="00BE0EEF" w:rsidP="00BE0EEF">
      <w:pPr>
        <w:pStyle w:val="Heading2"/>
      </w:pPr>
      <w:r w:rsidRPr="00395B6C">
        <w:t>RDA Matrix</w:t>
      </w:r>
    </w:p>
    <w:p w14:paraId="6C62C296" w14:textId="77777777" w:rsidR="00862001" w:rsidRDefault="00862001" w:rsidP="00D1413B">
      <w:pPr>
        <w:rPr>
          <w:b/>
          <w:bCs/>
          <w:sz w:val="18"/>
          <w:szCs w:val="18"/>
        </w:rPr>
      </w:pPr>
    </w:p>
    <w:p w14:paraId="693B2C3A" w14:textId="77777777" w:rsidR="000E0BA2" w:rsidRDefault="00D1413B" w:rsidP="00862001">
      <w:pPr>
        <w:jc w:val="center"/>
        <w:rPr>
          <w:sz w:val="32"/>
          <w:szCs w:val="32"/>
        </w:rPr>
      </w:pPr>
      <w:r w:rsidRPr="00862001">
        <w:rPr>
          <w:sz w:val="32"/>
          <w:szCs w:val="32"/>
        </w:rPr>
        <w:t>New Mexico</w:t>
      </w:r>
    </w:p>
    <w:p w14:paraId="34FD6914" w14:textId="4D08E4B7" w:rsidR="00824D00" w:rsidRDefault="00BE0EEF" w:rsidP="00862001">
      <w:pPr>
        <w:jc w:val="center"/>
        <w:rPr>
          <w:sz w:val="32"/>
          <w:szCs w:val="32"/>
        </w:rPr>
      </w:pPr>
      <w:r w:rsidRPr="00824D00">
        <w:rPr>
          <w:sz w:val="32"/>
          <w:szCs w:val="32"/>
        </w:rPr>
        <w:t>2024 Part B Results-Driven Accountability Matrix</w:t>
      </w:r>
    </w:p>
    <w:p w14:paraId="10239889" w14:textId="77777777" w:rsidR="00862001" w:rsidRDefault="00862001" w:rsidP="00862001">
      <w:pPr>
        <w:rPr>
          <w:b/>
          <w:bCs/>
          <w:sz w:val="18"/>
          <w:szCs w:val="18"/>
        </w:rPr>
      </w:pPr>
    </w:p>
    <w:p w14:paraId="2A7E4326" w14:textId="0994F40B" w:rsidR="00BE0EEF" w:rsidRPr="00210AC6" w:rsidRDefault="00BE0EEF" w:rsidP="00BE0EEF">
      <w:pPr>
        <w:rPr>
          <w:rFonts w:cs="Arial"/>
          <w:b/>
          <w:bCs/>
          <w:szCs w:val="16"/>
        </w:rPr>
      </w:pPr>
      <w:r w:rsidRPr="00210AC6">
        <w:rPr>
          <w:rFonts w:cs="Arial"/>
          <w:b/>
          <w:bCs/>
          <w:szCs w:val="16"/>
        </w:rPr>
        <w:t xml:space="preserve">Results-Driven Accountability Percentage and Determination </w:t>
      </w:r>
      <w:r w:rsidR="0007196B" w:rsidRPr="0007196B">
        <w:rPr>
          <w:rFonts w:cs="Arial"/>
          <w:szCs w:val="16"/>
        </w:rPr>
        <w:t>(1)</w:t>
      </w:r>
    </w:p>
    <w:tbl>
      <w:tblPr>
        <w:tblStyle w:val="TableGrid1"/>
        <w:tblW w:w="5009" w:type="pct"/>
        <w:tblLook w:val="04A0" w:firstRow="1" w:lastRow="0" w:firstColumn="1" w:lastColumn="0" w:noHBand="0" w:noVBand="1"/>
        <w:tblCaption w:val="BENNSRSTRDACFFYSTAT"/>
      </w:tblPr>
      <w:tblGrid>
        <w:gridCol w:w="5404"/>
        <w:gridCol w:w="5405"/>
      </w:tblGrid>
      <w:tr w:rsidR="00BE0EEF" w:rsidRPr="00210AC6" w14:paraId="441F44A8" w14:textId="77777777" w:rsidTr="0064778E">
        <w:trPr>
          <w:tblHeader/>
        </w:trPr>
        <w:tc>
          <w:tcPr>
            <w:tcW w:w="2500" w:type="pct"/>
          </w:tcPr>
          <w:p w14:paraId="48E2D994" w14:textId="77777777" w:rsidR="00BE0EEF" w:rsidRPr="00210AC6" w:rsidRDefault="00BE0EEF" w:rsidP="00EE6889">
            <w:pPr>
              <w:rPr>
                <w:rFonts w:cs="Arial"/>
                <w:b/>
                <w:bCs/>
                <w:szCs w:val="16"/>
              </w:rPr>
            </w:pPr>
            <w:r w:rsidRPr="00210AC6">
              <w:rPr>
                <w:rFonts w:cs="Arial"/>
                <w:b/>
                <w:bCs/>
                <w:szCs w:val="16"/>
              </w:rPr>
              <w:t>Percentage (%)</w:t>
            </w:r>
          </w:p>
        </w:tc>
        <w:tc>
          <w:tcPr>
            <w:tcW w:w="2500" w:type="pct"/>
          </w:tcPr>
          <w:p w14:paraId="41C1D543" w14:textId="77777777" w:rsidR="00BE0EEF" w:rsidRPr="00210AC6" w:rsidRDefault="00BE0EEF" w:rsidP="00EE6889">
            <w:pPr>
              <w:rPr>
                <w:rFonts w:cs="Arial"/>
                <w:b/>
                <w:bCs/>
                <w:szCs w:val="16"/>
              </w:rPr>
            </w:pPr>
            <w:r w:rsidRPr="00210AC6">
              <w:rPr>
                <w:rFonts w:cs="Arial"/>
                <w:b/>
                <w:bCs/>
                <w:szCs w:val="16"/>
              </w:rPr>
              <w:t>Determination</w:t>
            </w:r>
          </w:p>
        </w:tc>
      </w:tr>
      <w:tr w:rsidR="00416463" w:rsidRPr="00210AC6" w14:paraId="2EA9543B" w14:textId="77777777" w:rsidTr="00FB3F34">
        <w:tc>
          <w:tcPr>
            <w:tcW w:w="2500" w:type="pct"/>
          </w:tcPr>
          <w:p w14:paraId="7E99A849" w14:textId="1196736B" w:rsidR="00416463" w:rsidRPr="00210AC6" w:rsidRDefault="00416463" w:rsidP="00416463">
            <w:pPr>
              <w:rPr>
                <w:rFonts w:cs="Arial"/>
                <w:szCs w:val="16"/>
              </w:rPr>
            </w:pPr>
            <w:r w:rsidRPr="00210AC6">
              <w:rPr>
                <w:rFonts w:cs="Arial"/>
                <w:szCs w:val="16"/>
              </w:rPr>
              <w:t>70.00%</w:t>
            </w:r>
          </w:p>
        </w:tc>
        <w:tc>
          <w:tcPr>
            <w:tcW w:w="2500" w:type="pct"/>
          </w:tcPr>
          <w:p w14:paraId="67D9EEC1" w14:textId="53D67E7A" w:rsidR="00416463" w:rsidRPr="00210AC6" w:rsidRDefault="00416463" w:rsidP="00416463">
            <w:pPr>
              <w:rPr>
                <w:rFonts w:cs="Arial"/>
                <w:szCs w:val="16"/>
              </w:rPr>
            </w:pPr>
            <w:r w:rsidRPr="00210AC6">
              <w:rPr>
                <w:rFonts w:cs="Arial"/>
                <w:noProof/>
                <w:szCs w:val="16"/>
              </w:rPr>
              <w:t>Needs Assistance</w:t>
            </w:r>
          </w:p>
        </w:tc>
      </w:tr>
    </w:tbl>
    <w:p w14:paraId="3111276A" w14:textId="77777777" w:rsidR="00BE0EEF" w:rsidRPr="00210AC6" w:rsidRDefault="00BE0EEF" w:rsidP="00BE0EEF">
      <w:pPr>
        <w:rPr>
          <w:rFonts w:cs="Arial"/>
          <w:b/>
          <w:bCs/>
          <w:szCs w:val="16"/>
        </w:rPr>
      </w:pPr>
      <w:r w:rsidRPr="00210AC6">
        <w:rPr>
          <w:rFonts w:cs="Arial"/>
          <w:b/>
          <w:bCs/>
          <w:szCs w:val="16"/>
        </w:rPr>
        <w:t>Results and Compliance Overall Scoring</w:t>
      </w:r>
    </w:p>
    <w:tbl>
      <w:tblPr>
        <w:tblStyle w:val="TableGrid1"/>
        <w:tblW w:w="5005" w:type="pct"/>
        <w:tblLayout w:type="fixed"/>
        <w:tblLook w:val="04A0" w:firstRow="1" w:lastRow="0" w:firstColumn="1" w:lastColumn="0" w:noHBand="0" w:noVBand="1"/>
        <w:tblCaption w:val="BENNSRSTCMPCFFYSTAT"/>
      </w:tblPr>
      <w:tblGrid>
        <w:gridCol w:w="2724"/>
        <w:gridCol w:w="2724"/>
        <w:gridCol w:w="2722"/>
        <w:gridCol w:w="2631"/>
      </w:tblGrid>
      <w:tr w:rsidR="00BE0EEF" w:rsidRPr="00210AC6" w14:paraId="171A34FE" w14:textId="77777777" w:rsidTr="00851F98">
        <w:trPr>
          <w:tblHeader/>
        </w:trPr>
        <w:tc>
          <w:tcPr>
            <w:tcW w:w="1261" w:type="pct"/>
          </w:tcPr>
          <w:p w14:paraId="7A21C806" w14:textId="7B705064" w:rsidR="00BE0EEF" w:rsidRPr="00210AC6" w:rsidRDefault="00512718" w:rsidP="00EE6889">
            <w:pPr>
              <w:rPr>
                <w:rFonts w:cs="Arial"/>
                <w:b/>
                <w:bCs/>
                <w:szCs w:val="16"/>
              </w:rPr>
            </w:pPr>
            <w:r>
              <w:rPr>
                <w:rFonts w:cs="Arial"/>
                <w:b/>
                <w:bCs/>
                <w:szCs w:val="16"/>
              </w:rPr>
              <w:t>Section</w:t>
            </w:r>
          </w:p>
        </w:tc>
        <w:tc>
          <w:tcPr>
            <w:tcW w:w="1261" w:type="pct"/>
          </w:tcPr>
          <w:p w14:paraId="7D03890F" w14:textId="77777777" w:rsidR="00BE0EEF" w:rsidRPr="00210AC6" w:rsidRDefault="00BE0EEF" w:rsidP="00EE6889">
            <w:pPr>
              <w:rPr>
                <w:rFonts w:cs="Arial"/>
                <w:b/>
                <w:bCs/>
                <w:szCs w:val="16"/>
              </w:rPr>
            </w:pPr>
            <w:r w:rsidRPr="00210AC6">
              <w:rPr>
                <w:rFonts w:cs="Arial"/>
                <w:b/>
                <w:bCs/>
                <w:szCs w:val="16"/>
              </w:rPr>
              <w:t>Total Points Available</w:t>
            </w:r>
          </w:p>
        </w:tc>
        <w:tc>
          <w:tcPr>
            <w:tcW w:w="1260" w:type="pct"/>
          </w:tcPr>
          <w:p w14:paraId="0BAE0076" w14:textId="77777777" w:rsidR="00BE0EEF" w:rsidRPr="00210AC6" w:rsidRDefault="00BE0EEF" w:rsidP="00EE6889">
            <w:pPr>
              <w:rPr>
                <w:rFonts w:cs="Arial"/>
                <w:b/>
                <w:bCs/>
                <w:szCs w:val="16"/>
              </w:rPr>
            </w:pPr>
            <w:r w:rsidRPr="00210AC6">
              <w:rPr>
                <w:rFonts w:cs="Arial"/>
                <w:b/>
                <w:bCs/>
                <w:szCs w:val="16"/>
              </w:rPr>
              <w:t>Points Earned</w:t>
            </w:r>
          </w:p>
        </w:tc>
        <w:tc>
          <w:tcPr>
            <w:tcW w:w="1218" w:type="pct"/>
          </w:tcPr>
          <w:p w14:paraId="2D5453A9" w14:textId="77777777" w:rsidR="00BE0EEF" w:rsidRPr="00210AC6" w:rsidRDefault="00BE0EEF" w:rsidP="00EE6889">
            <w:pPr>
              <w:rPr>
                <w:rFonts w:cs="Arial"/>
                <w:b/>
                <w:bCs/>
                <w:szCs w:val="16"/>
              </w:rPr>
            </w:pPr>
            <w:r w:rsidRPr="00210AC6">
              <w:rPr>
                <w:rFonts w:cs="Arial"/>
                <w:b/>
                <w:bCs/>
                <w:szCs w:val="16"/>
              </w:rPr>
              <w:t>Score (%)</w:t>
            </w:r>
          </w:p>
        </w:tc>
      </w:tr>
      <w:tr w:rsidR="00E1330D" w:rsidRPr="00210AC6" w14:paraId="24CD0491" w14:textId="77777777" w:rsidTr="00851F98">
        <w:tc>
          <w:tcPr>
            <w:tcW w:w="1261" w:type="pct"/>
          </w:tcPr>
          <w:p w14:paraId="636FA965" w14:textId="77777777" w:rsidR="00E1330D" w:rsidRPr="00210AC6" w:rsidRDefault="00E1330D" w:rsidP="00E1330D">
            <w:pPr>
              <w:rPr>
                <w:rFonts w:cs="Arial"/>
                <w:b/>
                <w:bCs/>
                <w:szCs w:val="16"/>
              </w:rPr>
            </w:pPr>
            <w:r w:rsidRPr="00210AC6">
              <w:rPr>
                <w:rFonts w:cs="Arial"/>
                <w:b/>
                <w:bCs/>
                <w:szCs w:val="16"/>
              </w:rPr>
              <w:t>Results</w:t>
            </w:r>
          </w:p>
        </w:tc>
        <w:tc>
          <w:tcPr>
            <w:tcW w:w="1261" w:type="pct"/>
          </w:tcPr>
          <w:p w14:paraId="4DC27F93" w14:textId="2A310F59" w:rsidR="00E1330D" w:rsidRPr="00210AC6" w:rsidRDefault="00E1330D" w:rsidP="00E1330D">
            <w:pPr>
              <w:rPr>
                <w:rFonts w:cs="Arial"/>
                <w:noProof/>
                <w:szCs w:val="16"/>
              </w:rPr>
            </w:pPr>
            <w:r w:rsidRPr="00210AC6">
              <w:rPr>
                <w:rFonts w:cs="Arial"/>
                <w:szCs w:val="16"/>
              </w:rPr>
              <w:t>20</w:t>
            </w:r>
          </w:p>
        </w:tc>
        <w:tc>
          <w:tcPr>
            <w:tcW w:w="1260" w:type="pct"/>
          </w:tcPr>
          <w:p w14:paraId="39A51C38" w14:textId="16E843D2" w:rsidR="00E1330D" w:rsidRPr="00210AC6" w:rsidRDefault="00E1330D" w:rsidP="00E1330D">
            <w:pPr>
              <w:rPr>
                <w:rFonts w:cs="Arial"/>
                <w:szCs w:val="16"/>
              </w:rPr>
            </w:pPr>
            <w:r w:rsidRPr="00210AC6">
              <w:rPr>
                <w:rFonts w:cs="Arial"/>
                <w:szCs w:val="16"/>
              </w:rPr>
              <w:t>8</w:t>
            </w:r>
          </w:p>
        </w:tc>
        <w:tc>
          <w:tcPr>
            <w:tcW w:w="1218" w:type="pct"/>
          </w:tcPr>
          <w:p w14:paraId="0E3866D0" w14:textId="74D5D84B" w:rsidR="00E1330D" w:rsidRPr="00210AC6" w:rsidRDefault="00E1330D" w:rsidP="00E1330D">
            <w:pPr>
              <w:rPr>
                <w:rFonts w:cs="Arial"/>
                <w:szCs w:val="16"/>
              </w:rPr>
            </w:pPr>
            <w:r w:rsidRPr="00210AC6">
              <w:rPr>
                <w:rFonts w:cs="Arial"/>
                <w:szCs w:val="16"/>
              </w:rPr>
              <w:t>40.00%</w:t>
            </w:r>
          </w:p>
        </w:tc>
      </w:tr>
      <w:tr w:rsidR="00E1330D" w:rsidRPr="00210AC6" w14:paraId="6160CFE2" w14:textId="77777777" w:rsidTr="00851F98">
        <w:tc>
          <w:tcPr>
            <w:tcW w:w="1261" w:type="pct"/>
          </w:tcPr>
          <w:p w14:paraId="683501B2" w14:textId="77777777" w:rsidR="00E1330D" w:rsidRPr="00210AC6" w:rsidRDefault="00E1330D" w:rsidP="00E1330D">
            <w:pPr>
              <w:rPr>
                <w:rFonts w:cs="Arial"/>
                <w:b/>
                <w:bCs/>
                <w:szCs w:val="16"/>
              </w:rPr>
            </w:pPr>
            <w:r w:rsidRPr="00210AC6">
              <w:rPr>
                <w:rFonts w:cs="Arial"/>
                <w:b/>
                <w:bCs/>
                <w:szCs w:val="16"/>
              </w:rPr>
              <w:t>Compliance</w:t>
            </w:r>
          </w:p>
        </w:tc>
        <w:tc>
          <w:tcPr>
            <w:tcW w:w="1261" w:type="pct"/>
          </w:tcPr>
          <w:p w14:paraId="548EED65" w14:textId="52CD3569" w:rsidR="00E1330D" w:rsidRPr="00210AC6" w:rsidRDefault="00E1330D" w:rsidP="00E1330D">
            <w:pPr>
              <w:rPr>
                <w:rFonts w:cs="Arial"/>
                <w:szCs w:val="16"/>
              </w:rPr>
            </w:pPr>
            <w:r w:rsidRPr="00210AC6">
              <w:rPr>
                <w:rFonts w:cs="Arial"/>
                <w:szCs w:val="16"/>
              </w:rPr>
              <w:t>20</w:t>
            </w:r>
          </w:p>
        </w:tc>
        <w:tc>
          <w:tcPr>
            <w:tcW w:w="1260" w:type="pct"/>
          </w:tcPr>
          <w:p w14:paraId="0A360C78" w14:textId="7DE98E29" w:rsidR="00E1330D" w:rsidRPr="00210AC6" w:rsidRDefault="00E1330D" w:rsidP="00E1330D">
            <w:pPr>
              <w:rPr>
                <w:rFonts w:cs="Arial"/>
                <w:szCs w:val="16"/>
              </w:rPr>
            </w:pPr>
            <w:r w:rsidRPr="00210AC6">
              <w:rPr>
                <w:rFonts w:cs="Arial"/>
                <w:szCs w:val="16"/>
              </w:rPr>
              <w:t>20</w:t>
            </w:r>
          </w:p>
        </w:tc>
        <w:tc>
          <w:tcPr>
            <w:tcW w:w="1218" w:type="pct"/>
          </w:tcPr>
          <w:p w14:paraId="568903BA" w14:textId="193CF7F1" w:rsidR="00E1330D" w:rsidRPr="00210AC6" w:rsidRDefault="00E1330D" w:rsidP="00E1330D">
            <w:pPr>
              <w:rPr>
                <w:rFonts w:cs="Arial"/>
                <w:szCs w:val="16"/>
              </w:rPr>
            </w:pPr>
            <w:r w:rsidRPr="00210AC6">
              <w:rPr>
                <w:rFonts w:cs="Arial"/>
                <w:szCs w:val="16"/>
              </w:rPr>
              <w:t>100.00%</w:t>
            </w:r>
          </w:p>
        </w:tc>
      </w:tr>
    </w:tbl>
    <w:p w14:paraId="19632BB2" w14:textId="77777777" w:rsidR="00DB4C39" w:rsidRPr="00372273" w:rsidRDefault="00DB4C39" w:rsidP="00DB4C39">
      <w:pPr>
        <w:rPr>
          <w:b/>
          <w:bCs/>
          <w:color w:val="000000" w:themeColor="text1"/>
        </w:rPr>
      </w:pPr>
      <w:r w:rsidRPr="00372273">
        <w:rPr>
          <w:b/>
          <w:bCs/>
          <w:color w:val="000000" w:themeColor="text1"/>
        </w:rPr>
        <w:t>(1) For a detailed explanation of how the Compliance Score, Results Score, and the Results-Driven Accountability Percentage and Determination were calculated, review "How the Department Made Determinations under Section 616(d) of the Individuals with Disabilities Education Act in 2024: Part B."</w:t>
      </w:r>
    </w:p>
    <w:p w14:paraId="26AB7DC2" w14:textId="77777777" w:rsidR="0007196B" w:rsidRDefault="0007196B" w:rsidP="00BE0EEF">
      <w:pPr>
        <w:rPr>
          <w:rFonts w:cs="Arial"/>
          <w:b/>
          <w:bCs/>
          <w:szCs w:val="16"/>
        </w:rPr>
      </w:pPr>
    </w:p>
    <w:p w14:paraId="5A13FEB8" w14:textId="326310E1" w:rsidR="00BE0EEF" w:rsidRDefault="00BE0EEF" w:rsidP="00BE0EEF">
      <w:pPr>
        <w:rPr>
          <w:rFonts w:cs="Arial"/>
          <w:b/>
          <w:bCs/>
          <w:szCs w:val="16"/>
        </w:rPr>
      </w:pPr>
      <w:r w:rsidRPr="00210AC6">
        <w:rPr>
          <w:rFonts w:cs="Arial"/>
          <w:b/>
          <w:bCs/>
          <w:szCs w:val="16"/>
        </w:rPr>
        <w:t>2024 Part B Results Matrix</w:t>
      </w:r>
    </w:p>
    <w:p w14:paraId="54FF45BF" w14:textId="4C5619B9" w:rsidR="00353EB1" w:rsidRPr="00210AC6" w:rsidRDefault="00353EB1" w:rsidP="00353EB1">
      <w:pPr>
        <w:rPr>
          <w:rFonts w:cs="Arial"/>
          <w:b/>
          <w:bCs/>
          <w:szCs w:val="16"/>
        </w:rPr>
      </w:pPr>
      <w:r w:rsidRPr="00210AC6">
        <w:rPr>
          <w:rFonts w:cs="Arial"/>
          <w:b/>
          <w:bCs/>
          <w:szCs w:val="16"/>
        </w:rPr>
        <w:t>Reading Assessment Elements</w:t>
      </w:r>
    </w:p>
    <w:tbl>
      <w:tblPr>
        <w:tblStyle w:val="TableGrid1"/>
        <w:tblW w:w="5000" w:type="pct"/>
        <w:tblLayout w:type="fixed"/>
        <w:tblLook w:val="04A0" w:firstRow="1" w:lastRow="0" w:firstColumn="1" w:lastColumn="0" w:noHBand="0" w:noVBand="1"/>
        <w:tblCaption w:val="BRLAENNSRSTCFFY"/>
      </w:tblPr>
      <w:tblGrid>
        <w:gridCol w:w="5396"/>
        <w:gridCol w:w="1798"/>
        <w:gridCol w:w="1798"/>
        <w:gridCol w:w="1798"/>
      </w:tblGrid>
      <w:tr w:rsidR="00DB4C39" w:rsidRPr="00210AC6" w14:paraId="6C98717E" w14:textId="77777777" w:rsidTr="00D4744F">
        <w:trPr>
          <w:tblHeader/>
        </w:trPr>
        <w:tc>
          <w:tcPr>
            <w:tcW w:w="2500" w:type="pct"/>
          </w:tcPr>
          <w:p w14:paraId="7B58243A" w14:textId="77777777" w:rsidR="00DB4C39" w:rsidRPr="00210AC6" w:rsidRDefault="00DB4C39" w:rsidP="00EE6889">
            <w:pPr>
              <w:rPr>
                <w:rFonts w:cs="Arial"/>
                <w:b/>
                <w:bCs/>
                <w:szCs w:val="16"/>
              </w:rPr>
            </w:pPr>
            <w:bookmarkStart w:id="120" w:name="_Hlk159657038"/>
            <w:r w:rsidRPr="00210AC6">
              <w:rPr>
                <w:rFonts w:cs="Arial"/>
                <w:b/>
                <w:bCs/>
                <w:szCs w:val="16"/>
              </w:rPr>
              <w:t>Reading Assessment Elements</w:t>
            </w:r>
          </w:p>
        </w:tc>
        <w:tc>
          <w:tcPr>
            <w:tcW w:w="833" w:type="pct"/>
          </w:tcPr>
          <w:p w14:paraId="4CAFAF67" w14:textId="5D81C419" w:rsidR="00DB4C39" w:rsidRPr="00210AC6" w:rsidRDefault="00D22450" w:rsidP="00D22450">
            <w:pPr>
              <w:jc w:val="center"/>
              <w:rPr>
                <w:rFonts w:cs="Arial"/>
                <w:b/>
                <w:bCs/>
                <w:szCs w:val="16"/>
              </w:rPr>
            </w:pPr>
            <w:r>
              <w:rPr>
                <w:rFonts w:cs="Arial"/>
                <w:b/>
                <w:bCs/>
                <w:szCs w:val="16"/>
              </w:rPr>
              <w:t>Grade</w:t>
            </w:r>
          </w:p>
        </w:tc>
        <w:tc>
          <w:tcPr>
            <w:tcW w:w="833" w:type="pct"/>
          </w:tcPr>
          <w:p w14:paraId="7F72CFD5" w14:textId="2BEA0ADE" w:rsidR="00DB4C39" w:rsidRPr="00210AC6" w:rsidRDefault="00DB4C39" w:rsidP="00EE6889">
            <w:pPr>
              <w:rPr>
                <w:rFonts w:cs="Arial"/>
                <w:b/>
                <w:bCs/>
                <w:szCs w:val="16"/>
              </w:rPr>
            </w:pPr>
            <w:r w:rsidRPr="00210AC6">
              <w:rPr>
                <w:rFonts w:cs="Arial"/>
                <w:b/>
                <w:bCs/>
                <w:szCs w:val="16"/>
              </w:rPr>
              <w:t>Performance (%)</w:t>
            </w:r>
          </w:p>
        </w:tc>
        <w:tc>
          <w:tcPr>
            <w:tcW w:w="833" w:type="pct"/>
          </w:tcPr>
          <w:p w14:paraId="729C2DDD" w14:textId="77777777" w:rsidR="00DB4C39" w:rsidRPr="00210AC6" w:rsidRDefault="00DB4C39" w:rsidP="00EE6889">
            <w:pPr>
              <w:rPr>
                <w:rFonts w:cs="Arial"/>
                <w:b/>
                <w:bCs/>
                <w:szCs w:val="16"/>
              </w:rPr>
            </w:pPr>
            <w:r w:rsidRPr="00210AC6">
              <w:rPr>
                <w:rFonts w:cs="Arial"/>
                <w:b/>
                <w:bCs/>
                <w:szCs w:val="16"/>
              </w:rPr>
              <w:t>Score</w:t>
            </w:r>
          </w:p>
        </w:tc>
      </w:tr>
      <w:tr w:rsidR="00D22450" w:rsidRPr="00210AC6" w14:paraId="0D44FAAA" w14:textId="77777777" w:rsidTr="00D4744F">
        <w:tc>
          <w:tcPr>
            <w:tcW w:w="2500" w:type="pct"/>
          </w:tcPr>
          <w:p w14:paraId="76D9D397" w14:textId="2D982B45" w:rsidR="00D22450" w:rsidRPr="0089112C" w:rsidRDefault="00D22450" w:rsidP="00D22450">
            <w:pPr>
              <w:rPr>
                <w:rFonts w:cs="Arial"/>
                <w:szCs w:val="16"/>
              </w:rPr>
            </w:pPr>
            <w:r w:rsidRPr="002C44AD">
              <w:rPr>
                <w:b/>
                <w:bCs/>
              </w:rPr>
              <w:t>Percentage of</w:t>
            </w:r>
            <w:r>
              <w:rPr>
                <w:b/>
                <w:bCs/>
              </w:rPr>
              <w:t xml:space="preserve"> </w:t>
            </w:r>
            <w:r w:rsidRPr="002C44AD">
              <w:rPr>
                <w:b/>
                <w:bCs/>
              </w:rPr>
              <w:t>Children with Disabilities Participating in Statewide Assessment</w:t>
            </w:r>
            <w:r w:rsidR="0089112C">
              <w:t xml:space="preserve"> (2)</w:t>
            </w:r>
          </w:p>
        </w:tc>
        <w:tc>
          <w:tcPr>
            <w:tcW w:w="833" w:type="pct"/>
            <w:vAlign w:val="center"/>
          </w:tcPr>
          <w:p w14:paraId="247BA8F3" w14:textId="171FAF82" w:rsidR="00D22450" w:rsidRPr="00210AC6" w:rsidRDefault="00D22450" w:rsidP="00D22450">
            <w:pPr>
              <w:jc w:val="center"/>
              <w:rPr>
                <w:rFonts w:cs="Arial"/>
                <w:szCs w:val="16"/>
              </w:rPr>
            </w:pPr>
            <w:r w:rsidRPr="00781112">
              <w:rPr>
                <w:rFonts w:cs="Arial"/>
                <w:color w:val="000000" w:themeColor="text1"/>
                <w:szCs w:val="16"/>
              </w:rPr>
              <w:t>Grade 4</w:t>
            </w:r>
          </w:p>
        </w:tc>
        <w:tc>
          <w:tcPr>
            <w:tcW w:w="833" w:type="pct"/>
          </w:tcPr>
          <w:p w14:paraId="1D973F25" w14:textId="35284105" w:rsidR="00D22450" w:rsidRPr="00210AC6" w:rsidRDefault="008B60AB" w:rsidP="00D22450">
            <w:pPr>
              <w:rPr>
                <w:rFonts w:cs="Arial"/>
                <w:szCs w:val="16"/>
              </w:rPr>
            </w:pPr>
            <w:r>
              <w:rPr>
                <w:rFonts w:cs="Arial"/>
                <w:szCs w:val="16"/>
              </w:rPr>
              <w:t>98%</w:t>
            </w:r>
          </w:p>
        </w:tc>
        <w:tc>
          <w:tcPr>
            <w:tcW w:w="833" w:type="pct"/>
          </w:tcPr>
          <w:p w14:paraId="4E5E2883" w14:textId="054F533D" w:rsidR="00D22450" w:rsidRPr="008B60AB" w:rsidRDefault="008B60AB" w:rsidP="008B60AB">
            <w:pPr>
              <w:rPr>
                <w:rFonts w:cs="Arial"/>
                <w:color w:val="000000"/>
                <w:szCs w:val="16"/>
              </w:rPr>
            </w:pPr>
            <w:r>
              <w:rPr>
                <w:rFonts w:cs="Arial"/>
                <w:color w:val="000000"/>
                <w:szCs w:val="16"/>
              </w:rPr>
              <w:t>1</w:t>
            </w:r>
          </w:p>
        </w:tc>
      </w:tr>
      <w:tr w:rsidR="00D22450" w:rsidRPr="00210AC6" w14:paraId="274AEF55" w14:textId="77777777" w:rsidTr="00D4744F">
        <w:tc>
          <w:tcPr>
            <w:tcW w:w="2500" w:type="pct"/>
          </w:tcPr>
          <w:p w14:paraId="2A5113C4" w14:textId="41C0C770" w:rsidR="00D22450" w:rsidRPr="00210AC6" w:rsidRDefault="00D22450" w:rsidP="00D22450">
            <w:pPr>
              <w:rPr>
                <w:rFonts w:cs="Arial"/>
                <w:b/>
                <w:bCs/>
                <w:szCs w:val="16"/>
              </w:rPr>
            </w:pPr>
            <w:r w:rsidRPr="002C44AD">
              <w:rPr>
                <w:b/>
                <w:bCs/>
              </w:rPr>
              <w:t>Percentage of Children with Disabilities Participating in Statewide Assessment</w:t>
            </w:r>
          </w:p>
        </w:tc>
        <w:tc>
          <w:tcPr>
            <w:tcW w:w="833" w:type="pct"/>
            <w:vAlign w:val="center"/>
          </w:tcPr>
          <w:p w14:paraId="1122EF9F" w14:textId="359CD915" w:rsidR="00D22450" w:rsidRPr="00210AC6" w:rsidRDefault="00D22450" w:rsidP="00D22450">
            <w:pPr>
              <w:jc w:val="center"/>
              <w:rPr>
                <w:rFonts w:cs="Arial"/>
                <w:szCs w:val="16"/>
              </w:rPr>
            </w:pPr>
            <w:r w:rsidRPr="00781112">
              <w:rPr>
                <w:rFonts w:cs="Arial"/>
                <w:color w:val="000000" w:themeColor="text1"/>
                <w:szCs w:val="16"/>
              </w:rPr>
              <w:t>Grade 8</w:t>
            </w:r>
          </w:p>
        </w:tc>
        <w:tc>
          <w:tcPr>
            <w:tcW w:w="833" w:type="pct"/>
          </w:tcPr>
          <w:p w14:paraId="03700F0A" w14:textId="26892C52" w:rsidR="00D22450" w:rsidRPr="00210AC6" w:rsidRDefault="008B60AB" w:rsidP="00D22450">
            <w:pPr>
              <w:rPr>
                <w:rFonts w:cs="Arial"/>
                <w:szCs w:val="16"/>
              </w:rPr>
            </w:pPr>
            <w:r>
              <w:rPr>
                <w:rFonts w:cs="Arial"/>
                <w:szCs w:val="16"/>
              </w:rPr>
              <w:t>94%</w:t>
            </w:r>
          </w:p>
        </w:tc>
        <w:tc>
          <w:tcPr>
            <w:tcW w:w="833" w:type="pct"/>
          </w:tcPr>
          <w:p w14:paraId="7CFD9506" w14:textId="5577211F" w:rsidR="00D22450" w:rsidRPr="008B60AB" w:rsidRDefault="008B60AB" w:rsidP="008B60AB">
            <w:pPr>
              <w:rPr>
                <w:rFonts w:cs="Arial"/>
                <w:color w:val="000000"/>
                <w:szCs w:val="16"/>
              </w:rPr>
            </w:pPr>
            <w:r>
              <w:rPr>
                <w:rFonts w:cs="Arial"/>
                <w:color w:val="000000"/>
                <w:szCs w:val="16"/>
              </w:rPr>
              <w:t>0</w:t>
            </w:r>
          </w:p>
        </w:tc>
      </w:tr>
      <w:tr w:rsidR="00D22450" w:rsidRPr="00210AC6" w14:paraId="3DAECFCC" w14:textId="77777777" w:rsidTr="00D4744F">
        <w:tc>
          <w:tcPr>
            <w:tcW w:w="2500" w:type="pct"/>
          </w:tcPr>
          <w:p w14:paraId="7F5E9165" w14:textId="23439088" w:rsidR="00D22450" w:rsidRPr="00210AC6" w:rsidRDefault="00D22450" w:rsidP="00D22450">
            <w:pPr>
              <w:rPr>
                <w:rFonts w:cs="Arial"/>
                <w:b/>
                <w:bCs/>
                <w:szCs w:val="16"/>
              </w:rPr>
            </w:pPr>
            <w:r w:rsidRPr="00210AC6">
              <w:rPr>
                <w:rFonts w:cs="Arial"/>
                <w:b/>
                <w:bCs/>
                <w:szCs w:val="16"/>
              </w:rPr>
              <w:t>Percentage of Children with Disabilities Scoring at Basic or Above on the National Assessment of Educational Progress</w:t>
            </w:r>
          </w:p>
        </w:tc>
        <w:tc>
          <w:tcPr>
            <w:tcW w:w="833" w:type="pct"/>
          </w:tcPr>
          <w:p w14:paraId="08EAF17F" w14:textId="7E9398CC" w:rsidR="00D22450" w:rsidRPr="00210AC6" w:rsidRDefault="00D22450" w:rsidP="00D22450">
            <w:pPr>
              <w:jc w:val="center"/>
              <w:rPr>
                <w:rFonts w:cs="Arial"/>
                <w:szCs w:val="16"/>
              </w:rPr>
            </w:pPr>
            <w:r>
              <w:rPr>
                <w:rFonts w:cs="Arial"/>
                <w:szCs w:val="16"/>
              </w:rPr>
              <w:t>Grade 4</w:t>
            </w:r>
          </w:p>
        </w:tc>
        <w:tc>
          <w:tcPr>
            <w:tcW w:w="833" w:type="pct"/>
          </w:tcPr>
          <w:p w14:paraId="69FCD5E3" w14:textId="13B7B016" w:rsidR="00D22450" w:rsidRPr="00210AC6" w:rsidRDefault="00D22450" w:rsidP="00D22450">
            <w:pPr>
              <w:rPr>
                <w:rFonts w:cs="Arial"/>
                <w:szCs w:val="16"/>
              </w:rPr>
            </w:pPr>
            <w:r w:rsidRPr="00210AC6">
              <w:rPr>
                <w:rFonts w:cs="Arial"/>
                <w:szCs w:val="16"/>
              </w:rPr>
              <w:t>13%</w:t>
            </w:r>
          </w:p>
        </w:tc>
        <w:tc>
          <w:tcPr>
            <w:tcW w:w="833" w:type="pct"/>
          </w:tcPr>
          <w:p w14:paraId="23A64B98" w14:textId="5F4E05F3" w:rsidR="00D22450" w:rsidRPr="00210AC6" w:rsidRDefault="00D22450" w:rsidP="00D22450">
            <w:pPr>
              <w:rPr>
                <w:rFonts w:cs="Arial"/>
                <w:szCs w:val="16"/>
              </w:rPr>
            </w:pPr>
            <w:r w:rsidRPr="00210AC6">
              <w:rPr>
                <w:rFonts w:cs="Arial"/>
                <w:szCs w:val="16"/>
              </w:rPr>
              <w:t>0</w:t>
            </w:r>
          </w:p>
        </w:tc>
      </w:tr>
      <w:tr w:rsidR="00D22450" w:rsidRPr="00210AC6" w14:paraId="2B48B4E0" w14:textId="77777777" w:rsidTr="00D4744F">
        <w:tc>
          <w:tcPr>
            <w:tcW w:w="2500" w:type="pct"/>
          </w:tcPr>
          <w:p w14:paraId="7666AD2F" w14:textId="720C6E65" w:rsidR="00D22450" w:rsidRPr="00210AC6" w:rsidRDefault="00D22450" w:rsidP="00D22450">
            <w:pPr>
              <w:rPr>
                <w:rFonts w:cs="Arial"/>
                <w:b/>
                <w:bCs/>
                <w:szCs w:val="16"/>
              </w:rPr>
            </w:pPr>
            <w:r w:rsidRPr="00210AC6">
              <w:rPr>
                <w:rFonts w:cs="Arial"/>
                <w:b/>
                <w:bCs/>
                <w:szCs w:val="16"/>
              </w:rPr>
              <w:t>Percentage of Children with Disabilities Included in Testing on the National Assessment of Educational Progress</w:t>
            </w:r>
          </w:p>
        </w:tc>
        <w:tc>
          <w:tcPr>
            <w:tcW w:w="833" w:type="pct"/>
          </w:tcPr>
          <w:p w14:paraId="6D0B5523" w14:textId="7D7E3270" w:rsidR="00D22450" w:rsidRPr="00210AC6" w:rsidRDefault="00D22450" w:rsidP="00D22450">
            <w:pPr>
              <w:jc w:val="center"/>
              <w:rPr>
                <w:rFonts w:cs="Arial"/>
                <w:szCs w:val="16"/>
              </w:rPr>
            </w:pPr>
            <w:r>
              <w:rPr>
                <w:rFonts w:cs="Arial"/>
                <w:szCs w:val="16"/>
              </w:rPr>
              <w:t>Grade 4</w:t>
            </w:r>
          </w:p>
        </w:tc>
        <w:tc>
          <w:tcPr>
            <w:tcW w:w="833" w:type="pct"/>
          </w:tcPr>
          <w:p w14:paraId="5C0EC960" w14:textId="383F3CC6" w:rsidR="00D22450" w:rsidRPr="00210AC6" w:rsidRDefault="00D22450" w:rsidP="00D22450">
            <w:pPr>
              <w:rPr>
                <w:rFonts w:cs="Arial"/>
                <w:szCs w:val="16"/>
              </w:rPr>
            </w:pPr>
            <w:r w:rsidRPr="00210AC6">
              <w:rPr>
                <w:rFonts w:cs="Arial"/>
                <w:szCs w:val="16"/>
              </w:rPr>
              <w:t>93%</w:t>
            </w:r>
          </w:p>
        </w:tc>
        <w:tc>
          <w:tcPr>
            <w:tcW w:w="833" w:type="pct"/>
          </w:tcPr>
          <w:p w14:paraId="3E5057E5" w14:textId="74D3F3A3" w:rsidR="00D22450" w:rsidRPr="00210AC6" w:rsidRDefault="00D22450" w:rsidP="00D22450">
            <w:pPr>
              <w:rPr>
                <w:rFonts w:cs="Arial"/>
                <w:szCs w:val="16"/>
              </w:rPr>
            </w:pPr>
            <w:r w:rsidRPr="00210AC6">
              <w:rPr>
                <w:rFonts w:cs="Arial"/>
                <w:szCs w:val="16"/>
              </w:rPr>
              <w:t>1</w:t>
            </w:r>
          </w:p>
        </w:tc>
      </w:tr>
      <w:tr w:rsidR="00D22450" w:rsidRPr="00210AC6" w14:paraId="558A8BBA" w14:textId="77777777" w:rsidTr="00D4744F">
        <w:tc>
          <w:tcPr>
            <w:tcW w:w="2500" w:type="pct"/>
          </w:tcPr>
          <w:p w14:paraId="1F4FB032" w14:textId="61F41359" w:rsidR="00D22450" w:rsidRPr="00210AC6" w:rsidRDefault="00D22450" w:rsidP="00D22450">
            <w:pPr>
              <w:rPr>
                <w:rFonts w:cs="Arial"/>
                <w:b/>
                <w:bCs/>
                <w:szCs w:val="16"/>
              </w:rPr>
            </w:pPr>
            <w:r w:rsidRPr="00210AC6">
              <w:rPr>
                <w:rFonts w:cs="Arial"/>
                <w:b/>
                <w:bCs/>
                <w:szCs w:val="16"/>
              </w:rPr>
              <w:t>Percentage of Children with Disabilities Scoring at Basic or Above on the National Assessment of Educational Progress</w:t>
            </w:r>
          </w:p>
        </w:tc>
        <w:tc>
          <w:tcPr>
            <w:tcW w:w="833" w:type="pct"/>
          </w:tcPr>
          <w:p w14:paraId="0C71CEB5" w14:textId="19CCB39A" w:rsidR="00D22450" w:rsidRPr="00210AC6" w:rsidRDefault="00D22450" w:rsidP="00D22450">
            <w:pPr>
              <w:jc w:val="center"/>
              <w:rPr>
                <w:rFonts w:cs="Arial"/>
                <w:szCs w:val="16"/>
              </w:rPr>
            </w:pPr>
            <w:r>
              <w:rPr>
                <w:rFonts w:cs="Arial"/>
                <w:szCs w:val="16"/>
              </w:rPr>
              <w:t>Grade 8</w:t>
            </w:r>
          </w:p>
        </w:tc>
        <w:tc>
          <w:tcPr>
            <w:tcW w:w="833" w:type="pct"/>
          </w:tcPr>
          <w:p w14:paraId="4F273831" w14:textId="66CE1E6B" w:rsidR="00D22450" w:rsidRPr="00210AC6" w:rsidRDefault="00D22450" w:rsidP="00D22450">
            <w:pPr>
              <w:rPr>
                <w:rFonts w:cs="Arial"/>
                <w:szCs w:val="16"/>
              </w:rPr>
            </w:pPr>
            <w:r w:rsidRPr="00210AC6">
              <w:rPr>
                <w:rFonts w:cs="Arial"/>
                <w:szCs w:val="16"/>
              </w:rPr>
              <w:t>22%</w:t>
            </w:r>
          </w:p>
        </w:tc>
        <w:tc>
          <w:tcPr>
            <w:tcW w:w="833" w:type="pct"/>
          </w:tcPr>
          <w:p w14:paraId="2EA39B53" w14:textId="06051205" w:rsidR="00D22450" w:rsidRPr="00210AC6" w:rsidRDefault="00D22450" w:rsidP="00D22450">
            <w:pPr>
              <w:rPr>
                <w:rFonts w:cs="Arial"/>
                <w:szCs w:val="16"/>
              </w:rPr>
            </w:pPr>
            <w:r w:rsidRPr="00210AC6">
              <w:rPr>
                <w:rFonts w:cs="Arial"/>
                <w:szCs w:val="16"/>
              </w:rPr>
              <w:t>0</w:t>
            </w:r>
          </w:p>
        </w:tc>
      </w:tr>
      <w:tr w:rsidR="00D22450" w:rsidRPr="00210AC6" w14:paraId="13947FC1" w14:textId="77777777" w:rsidTr="00D4744F">
        <w:tc>
          <w:tcPr>
            <w:tcW w:w="2500" w:type="pct"/>
          </w:tcPr>
          <w:p w14:paraId="3F1F50D6" w14:textId="6B972482" w:rsidR="00D22450" w:rsidRPr="00210AC6" w:rsidRDefault="00D22450" w:rsidP="00D22450">
            <w:pPr>
              <w:rPr>
                <w:rFonts w:cs="Arial"/>
                <w:b/>
                <w:bCs/>
                <w:szCs w:val="16"/>
              </w:rPr>
            </w:pPr>
            <w:r w:rsidRPr="00210AC6">
              <w:rPr>
                <w:rFonts w:cs="Arial"/>
                <w:b/>
                <w:bCs/>
                <w:szCs w:val="16"/>
              </w:rPr>
              <w:t>Percentage of Children with Disabilities Included in Testing on the National Assessment of Educational Progress</w:t>
            </w:r>
          </w:p>
        </w:tc>
        <w:tc>
          <w:tcPr>
            <w:tcW w:w="833" w:type="pct"/>
          </w:tcPr>
          <w:p w14:paraId="60249906" w14:textId="1501E8A4" w:rsidR="00D22450" w:rsidRPr="00210AC6" w:rsidRDefault="00D22450" w:rsidP="00D22450">
            <w:pPr>
              <w:jc w:val="center"/>
              <w:rPr>
                <w:rFonts w:cs="Arial"/>
                <w:szCs w:val="16"/>
              </w:rPr>
            </w:pPr>
            <w:r>
              <w:rPr>
                <w:rFonts w:cs="Arial"/>
                <w:szCs w:val="16"/>
              </w:rPr>
              <w:t>Grade 8</w:t>
            </w:r>
          </w:p>
        </w:tc>
        <w:tc>
          <w:tcPr>
            <w:tcW w:w="833" w:type="pct"/>
          </w:tcPr>
          <w:p w14:paraId="2F6CFBA8" w14:textId="0513B572" w:rsidR="00D22450" w:rsidRPr="00210AC6" w:rsidRDefault="00D22450" w:rsidP="00D22450">
            <w:pPr>
              <w:rPr>
                <w:rFonts w:cs="Arial"/>
                <w:szCs w:val="16"/>
              </w:rPr>
            </w:pPr>
            <w:r w:rsidRPr="00210AC6">
              <w:rPr>
                <w:rFonts w:cs="Arial"/>
                <w:szCs w:val="16"/>
              </w:rPr>
              <w:t>91%</w:t>
            </w:r>
          </w:p>
        </w:tc>
        <w:tc>
          <w:tcPr>
            <w:tcW w:w="833" w:type="pct"/>
          </w:tcPr>
          <w:p w14:paraId="02FF34AD" w14:textId="55F2DC29" w:rsidR="00D22450" w:rsidRPr="00210AC6" w:rsidRDefault="00D22450" w:rsidP="00D22450">
            <w:pPr>
              <w:rPr>
                <w:rFonts w:cs="Arial"/>
                <w:szCs w:val="16"/>
              </w:rPr>
            </w:pPr>
            <w:r w:rsidRPr="00210AC6">
              <w:rPr>
                <w:rFonts w:cs="Arial"/>
                <w:szCs w:val="16"/>
              </w:rPr>
              <w:t>1</w:t>
            </w:r>
          </w:p>
        </w:tc>
      </w:tr>
    </w:tbl>
    <w:bookmarkEnd w:id="120"/>
    <w:p w14:paraId="07CD2882" w14:textId="6892BE17" w:rsidR="00353EB1" w:rsidRDefault="00395B6C" w:rsidP="00BE0EEF">
      <w:pPr>
        <w:rPr>
          <w:rFonts w:cs="Arial"/>
          <w:b/>
          <w:bCs/>
          <w:szCs w:val="16"/>
        </w:rPr>
      </w:pPr>
      <w:r w:rsidRPr="00395B6C">
        <w:rPr>
          <w:rFonts w:cs="Arial"/>
          <w:b/>
          <w:bCs/>
          <w:szCs w:val="16"/>
        </w:rPr>
        <w:t>Math Assessment Elements</w:t>
      </w:r>
    </w:p>
    <w:tbl>
      <w:tblPr>
        <w:tblStyle w:val="TableGrid1"/>
        <w:tblW w:w="5000" w:type="pct"/>
        <w:tblLayout w:type="fixed"/>
        <w:tblLook w:val="04A0" w:firstRow="1" w:lastRow="0" w:firstColumn="1" w:lastColumn="0" w:noHBand="0" w:noVBand="1"/>
        <w:tblCaption w:val="BMTHENNSRSTCFFY"/>
      </w:tblPr>
      <w:tblGrid>
        <w:gridCol w:w="5396"/>
        <w:gridCol w:w="1798"/>
        <w:gridCol w:w="1798"/>
        <w:gridCol w:w="1798"/>
      </w:tblGrid>
      <w:tr w:rsidR="00440D29" w:rsidRPr="00210AC6" w14:paraId="469D669E" w14:textId="77777777" w:rsidTr="00440D29">
        <w:trPr>
          <w:tblHeader/>
        </w:trPr>
        <w:tc>
          <w:tcPr>
            <w:tcW w:w="2500" w:type="pct"/>
          </w:tcPr>
          <w:p w14:paraId="6D4794B6" w14:textId="77777777" w:rsidR="00440D29" w:rsidRPr="00210AC6" w:rsidRDefault="00440D29" w:rsidP="00EE6889">
            <w:pPr>
              <w:rPr>
                <w:rFonts w:cs="Arial"/>
                <w:b/>
                <w:bCs/>
                <w:szCs w:val="16"/>
              </w:rPr>
            </w:pPr>
            <w:r w:rsidRPr="00210AC6">
              <w:rPr>
                <w:rFonts w:cs="Arial"/>
                <w:b/>
                <w:bCs/>
                <w:szCs w:val="16"/>
              </w:rPr>
              <w:t>Math Assessment Elements</w:t>
            </w:r>
          </w:p>
        </w:tc>
        <w:tc>
          <w:tcPr>
            <w:tcW w:w="833" w:type="pct"/>
          </w:tcPr>
          <w:p w14:paraId="7ED216ED" w14:textId="543B82C9" w:rsidR="00440D29" w:rsidRPr="00210AC6" w:rsidRDefault="00440D29" w:rsidP="00440D29">
            <w:pPr>
              <w:jc w:val="center"/>
              <w:rPr>
                <w:rFonts w:cs="Arial"/>
                <w:b/>
                <w:bCs/>
                <w:szCs w:val="16"/>
              </w:rPr>
            </w:pPr>
            <w:r>
              <w:rPr>
                <w:rFonts w:cs="Arial"/>
                <w:b/>
                <w:bCs/>
                <w:szCs w:val="16"/>
              </w:rPr>
              <w:t>Grade</w:t>
            </w:r>
          </w:p>
        </w:tc>
        <w:tc>
          <w:tcPr>
            <w:tcW w:w="833" w:type="pct"/>
          </w:tcPr>
          <w:p w14:paraId="6E210526" w14:textId="3C0DF739" w:rsidR="00440D29" w:rsidRPr="00210AC6" w:rsidRDefault="00440D29" w:rsidP="00EE6889">
            <w:pPr>
              <w:rPr>
                <w:rFonts w:cs="Arial"/>
                <w:b/>
                <w:bCs/>
                <w:szCs w:val="16"/>
              </w:rPr>
            </w:pPr>
            <w:r w:rsidRPr="00210AC6">
              <w:rPr>
                <w:rFonts w:cs="Arial"/>
                <w:b/>
                <w:bCs/>
                <w:szCs w:val="16"/>
              </w:rPr>
              <w:t>Performance (%)</w:t>
            </w:r>
          </w:p>
        </w:tc>
        <w:tc>
          <w:tcPr>
            <w:tcW w:w="833" w:type="pct"/>
          </w:tcPr>
          <w:p w14:paraId="03CF668A" w14:textId="77777777" w:rsidR="00440D29" w:rsidRPr="00210AC6" w:rsidRDefault="00440D29" w:rsidP="00EE6889">
            <w:pPr>
              <w:rPr>
                <w:rFonts w:cs="Arial"/>
                <w:b/>
                <w:bCs/>
                <w:szCs w:val="16"/>
              </w:rPr>
            </w:pPr>
            <w:r w:rsidRPr="00210AC6">
              <w:rPr>
                <w:rFonts w:cs="Arial"/>
                <w:b/>
                <w:bCs/>
                <w:szCs w:val="16"/>
              </w:rPr>
              <w:t>Score</w:t>
            </w:r>
          </w:p>
        </w:tc>
      </w:tr>
      <w:tr w:rsidR="00440D29" w:rsidRPr="00210AC6" w14:paraId="715F4C9D" w14:textId="77777777" w:rsidTr="00440D29">
        <w:tc>
          <w:tcPr>
            <w:tcW w:w="2500" w:type="pct"/>
          </w:tcPr>
          <w:p w14:paraId="1318C25B" w14:textId="38FE7F21" w:rsidR="00440D29" w:rsidRPr="00210AC6" w:rsidRDefault="00440D29" w:rsidP="00440D29">
            <w:pPr>
              <w:rPr>
                <w:rFonts w:cs="Arial"/>
                <w:b/>
                <w:bCs/>
                <w:szCs w:val="16"/>
              </w:rPr>
            </w:pPr>
            <w:r w:rsidRPr="002C44AD">
              <w:rPr>
                <w:b/>
                <w:bCs/>
              </w:rPr>
              <w:t>Percentage of</w:t>
            </w:r>
            <w:r>
              <w:rPr>
                <w:b/>
                <w:bCs/>
              </w:rPr>
              <w:t xml:space="preserve"> </w:t>
            </w:r>
            <w:r w:rsidRPr="002C44AD">
              <w:rPr>
                <w:b/>
                <w:bCs/>
              </w:rPr>
              <w:t>Children with Disabilities Participating in Statewide Assessment</w:t>
            </w:r>
          </w:p>
        </w:tc>
        <w:tc>
          <w:tcPr>
            <w:tcW w:w="833" w:type="pct"/>
            <w:vAlign w:val="center"/>
          </w:tcPr>
          <w:p w14:paraId="37E4E49E" w14:textId="14DC7757" w:rsidR="00440D29" w:rsidRPr="00210AC6" w:rsidRDefault="00440D29" w:rsidP="00440D29">
            <w:pPr>
              <w:jc w:val="center"/>
              <w:rPr>
                <w:rFonts w:cs="Arial"/>
                <w:szCs w:val="16"/>
              </w:rPr>
            </w:pPr>
            <w:r w:rsidRPr="00781112">
              <w:rPr>
                <w:rFonts w:cs="Arial"/>
                <w:color w:val="000000" w:themeColor="text1"/>
                <w:szCs w:val="16"/>
              </w:rPr>
              <w:t>Grade 4</w:t>
            </w:r>
          </w:p>
        </w:tc>
        <w:tc>
          <w:tcPr>
            <w:tcW w:w="833" w:type="pct"/>
          </w:tcPr>
          <w:p w14:paraId="632346C8" w14:textId="1B261955" w:rsidR="00440D29" w:rsidRPr="008B60AB" w:rsidRDefault="008B60AB" w:rsidP="008B60AB">
            <w:pPr>
              <w:rPr>
                <w:rFonts w:cs="Arial"/>
                <w:color w:val="000000"/>
                <w:szCs w:val="16"/>
              </w:rPr>
            </w:pPr>
            <w:r>
              <w:rPr>
                <w:rFonts w:cs="Arial"/>
                <w:color w:val="000000"/>
                <w:szCs w:val="16"/>
              </w:rPr>
              <w:t>97%</w:t>
            </w:r>
          </w:p>
        </w:tc>
        <w:tc>
          <w:tcPr>
            <w:tcW w:w="833" w:type="pct"/>
          </w:tcPr>
          <w:p w14:paraId="5B5F4823" w14:textId="18B28AF7" w:rsidR="00440D29" w:rsidRPr="008B60AB" w:rsidRDefault="008B60AB" w:rsidP="008B60AB">
            <w:pPr>
              <w:rPr>
                <w:rFonts w:cs="Arial"/>
                <w:color w:val="000000"/>
                <w:szCs w:val="16"/>
              </w:rPr>
            </w:pPr>
            <w:r>
              <w:rPr>
                <w:rFonts w:cs="Arial"/>
                <w:color w:val="000000"/>
                <w:szCs w:val="16"/>
              </w:rPr>
              <w:t>1</w:t>
            </w:r>
          </w:p>
        </w:tc>
      </w:tr>
      <w:tr w:rsidR="00440D29" w:rsidRPr="00210AC6" w14:paraId="2E5CAE5E" w14:textId="77777777" w:rsidTr="00440D29">
        <w:tc>
          <w:tcPr>
            <w:tcW w:w="2500" w:type="pct"/>
          </w:tcPr>
          <w:p w14:paraId="700B246F" w14:textId="165FD62E" w:rsidR="00440D29" w:rsidRPr="00210AC6" w:rsidRDefault="00440D29" w:rsidP="00440D29">
            <w:pPr>
              <w:rPr>
                <w:rFonts w:cs="Arial"/>
                <w:b/>
                <w:bCs/>
                <w:szCs w:val="16"/>
              </w:rPr>
            </w:pPr>
            <w:r w:rsidRPr="002C44AD">
              <w:rPr>
                <w:b/>
                <w:bCs/>
              </w:rPr>
              <w:t>Percentage of Children with Disabilities Participating in Statewide Assessment</w:t>
            </w:r>
          </w:p>
        </w:tc>
        <w:tc>
          <w:tcPr>
            <w:tcW w:w="833" w:type="pct"/>
            <w:vAlign w:val="center"/>
          </w:tcPr>
          <w:p w14:paraId="7681AAD6" w14:textId="34BF400B" w:rsidR="00440D29" w:rsidRPr="00210AC6" w:rsidRDefault="00440D29" w:rsidP="00440D29">
            <w:pPr>
              <w:jc w:val="center"/>
              <w:rPr>
                <w:rFonts w:cs="Arial"/>
                <w:szCs w:val="16"/>
              </w:rPr>
            </w:pPr>
            <w:r w:rsidRPr="00781112">
              <w:rPr>
                <w:rFonts w:cs="Arial"/>
                <w:color w:val="000000" w:themeColor="text1"/>
                <w:szCs w:val="16"/>
              </w:rPr>
              <w:t>Grade 8</w:t>
            </w:r>
          </w:p>
        </w:tc>
        <w:tc>
          <w:tcPr>
            <w:tcW w:w="833" w:type="pct"/>
          </w:tcPr>
          <w:p w14:paraId="6783BEF6" w14:textId="7046E174" w:rsidR="00440D29" w:rsidRPr="008B60AB" w:rsidRDefault="008B60AB" w:rsidP="008B60AB">
            <w:pPr>
              <w:rPr>
                <w:rFonts w:cs="Arial"/>
                <w:color w:val="000000"/>
                <w:szCs w:val="16"/>
              </w:rPr>
            </w:pPr>
            <w:r>
              <w:rPr>
                <w:rFonts w:cs="Arial"/>
                <w:color w:val="000000"/>
                <w:szCs w:val="16"/>
              </w:rPr>
              <w:t>95%</w:t>
            </w:r>
          </w:p>
        </w:tc>
        <w:tc>
          <w:tcPr>
            <w:tcW w:w="833" w:type="pct"/>
          </w:tcPr>
          <w:p w14:paraId="4441E0DF" w14:textId="04D150FC" w:rsidR="00440D29" w:rsidRPr="008B60AB" w:rsidRDefault="008B60AB" w:rsidP="008B60AB">
            <w:pPr>
              <w:rPr>
                <w:rFonts w:cs="Arial"/>
                <w:color w:val="000000"/>
                <w:szCs w:val="16"/>
              </w:rPr>
            </w:pPr>
            <w:r>
              <w:rPr>
                <w:rFonts w:cs="Arial"/>
                <w:color w:val="000000"/>
                <w:szCs w:val="16"/>
              </w:rPr>
              <w:t>1</w:t>
            </w:r>
          </w:p>
        </w:tc>
      </w:tr>
      <w:tr w:rsidR="00440D29" w:rsidRPr="00210AC6" w14:paraId="6ACA5C8B" w14:textId="77777777" w:rsidTr="00440D29">
        <w:tc>
          <w:tcPr>
            <w:tcW w:w="2500" w:type="pct"/>
          </w:tcPr>
          <w:p w14:paraId="178F722C" w14:textId="0D5B0680" w:rsidR="00440D29" w:rsidRPr="00210AC6" w:rsidRDefault="00440D29" w:rsidP="00440D29">
            <w:pPr>
              <w:rPr>
                <w:rFonts w:cs="Arial"/>
                <w:b/>
                <w:bCs/>
                <w:szCs w:val="16"/>
              </w:rPr>
            </w:pPr>
            <w:r w:rsidRPr="00210AC6">
              <w:rPr>
                <w:rFonts w:cs="Arial"/>
                <w:b/>
                <w:bCs/>
                <w:szCs w:val="16"/>
              </w:rPr>
              <w:t>Percentage of Children with Disabilities Scoring at Basic or Above on the National Assessment of Educational Progress</w:t>
            </w:r>
          </w:p>
        </w:tc>
        <w:tc>
          <w:tcPr>
            <w:tcW w:w="833" w:type="pct"/>
          </w:tcPr>
          <w:p w14:paraId="78046286" w14:textId="747F942D" w:rsidR="00440D29" w:rsidRPr="00210AC6" w:rsidRDefault="00440D29" w:rsidP="00440D29">
            <w:pPr>
              <w:jc w:val="center"/>
              <w:rPr>
                <w:rFonts w:cs="Arial"/>
                <w:szCs w:val="16"/>
              </w:rPr>
            </w:pPr>
            <w:r>
              <w:rPr>
                <w:rFonts w:cs="Arial"/>
                <w:szCs w:val="16"/>
              </w:rPr>
              <w:t>Grade 4</w:t>
            </w:r>
          </w:p>
        </w:tc>
        <w:tc>
          <w:tcPr>
            <w:tcW w:w="833" w:type="pct"/>
          </w:tcPr>
          <w:p w14:paraId="751BB010" w14:textId="0F923B94" w:rsidR="00440D29" w:rsidRPr="00210AC6" w:rsidRDefault="00440D29" w:rsidP="00440D29">
            <w:pPr>
              <w:rPr>
                <w:rFonts w:cs="Arial"/>
                <w:szCs w:val="16"/>
              </w:rPr>
            </w:pPr>
            <w:r w:rsidRPr="00210AC6">
              <w:rPr>
                <w:rFonts w:cs="Arial"/>
                <w:szCs w:val="16"/>
              </w:rPr>
              <w:t>26%</w:t>
            </w:r>
          </w:p>
        </w:tc>
        <w:tc>
          <w:tcPr>
            <w:tcW w:w="833" w:type="pct"/>
          </w:tcPr>
          <w:p w14:paraId="423E4ADA" w14:textId="0CADE31A" w:rsidR="00440D29" w:rsidRPr="00210AC6" w:rsidRDefault="00440D29" w:rsidP="00440D29">
            <w:pPr>
              <w:rPr>
                <w:rFonts w:cs="Arial"/>
                <w:szCs w:val="16"/>
              </w:rPr>
            </w:pPr>
            <w:r w:rsidRPr="00210AC6">
              <w:rPr>
                <w:rFonts w:cs="Arial"/>
                <w:szCs w:val="16"/>
              </w:rPr>
              <w:t>0</w:t>
            </w:r>
          </w:p>
        </w:tc>
      </w:tr>
      <w:tr w:rsidR="00440D29" w:rsidRPr="00210AC6" w14:paraId="3940F80A" w14:textId="77777777" w:rsidTr="00440D29">
        <w:tc>
          <w:tcPr>
            <w:tcW w:w="2500" w:type="pct"/>
          </w:tcPr>
          <w:p w14:paraId="704D280B" w14:textId="7815100C" w:rsidR="00440D29" w:rsidRPr="00210AC6" w:rsidRDefault="00440D29" w:rsidP="00440D29">
            <w:pPr>
              <w:rPr>
                <w:rFonts w:cs="Arial"/>
                <w:b/>
                <w:bCs/>
                <w:szCs w:val="16"/>
              </w:rPr>
            </w:pPr>
            <w:r w:rsidRPr="00210AC6">
              <w:rPr>
                <w:rFonts w:cs="Arial"/>
                <w:b/>
                <w:bCs/>
                <w:szCs w:val="16"/>
              </w:rPr>
              <w:t>Percentage of Children with Disabilities Included in Testing on the National Assessment of Educational Progress</w:t>
            </w:r>
          </w:p>
        </w:tc>
        <w:tc>
          <w:tcPr>
            <w:tcW w:w="833" w:type="pct"/>
          </w:tcPr>
          <w:p w14:paraId="71E0215C" w14:textId="5D647AFB" w:rsidR="00440D29" w:rsidRPr="00210AC6" w:rsidRDefault="00440D29" w:rsidP="00440D29">
            <w:pPr>
              <w:jc w:val="center"/>
              <w:rPr>
                <w:rFonts w:cs="Arial"/>
                <w:szCs w:val="16"/>
              </w:rPr>
            </w:pPr>
            <w:r>
              <w:rPr>
                <w:rFonts w:cs="Arial"/>
                <w:szCs w:val="16"/>
              </w:rPr>
              <w:t>Grade 4</w:t>
            </w:r>
          </w:p>
        </w:tc>
        <w:tc>
          <w:tcPr>
            <w:tcW w:w="833" w:type="pct"/>
          </w:tcPr>
          <w:p w14:paraId="5B062F65" w14:textId="5B449A4B" w:rsidR="00440D29" w:rsidRPr="00210AC6" w:rsidRDefault="00440D29" w:rsidP="00440D29">
            <w:pPr>
              <w:rPr>
                <w:rFonts w:cs="Arial"/>
                <w:szCs w:val="16"/>
              </w:rPr>
            </w:pPr>
            <w:r w:rsidRPr="00210AC6">
              <w:rPr>
                <w:rFonts w:cs="Arial"/>
                <w:szCs w:val="16"/>
              </w:rPr>
              <w:t>91%</w:t>
            </w:r>
          </w:p>
        </w:tc>
        <w:tc>
          <w:tcPr>
            <w:tcW w:w="833" w:type="pct"/>
          </w:tcPr>
          <w:p w14:paraId="17552A35" w14:textId="1A894F87" w:rsidR="00440D29" w:rsidRPr="00210AC6" w:rsidRDefault="00440D29" w:rsidP="00440D29">
            <w:pPr>
              <w:rPr>
                <w:rFonts w:cs="Arial"/>
                <w:szCs w:val="16"/>
              </w:rPr>
            </w:pPr>
            <w:r w:rsidRPr="00210AC6">
              <w:rPr>
                <w:rFonts w:cs="Arial"/>
                <w:szCs w:val="16"/>
              </w:rPr>
              <w:t>1</w:t>
            </w:r>
          </w:p>
        </w:tc>
      </w:tr>
      <w:tr w:rsidR="00440D29" w:rsidRPr="00210AC6" w14:paraId="3328409B" w14:textId="77777777" w:rsidTr="00440D29">
        <w:tc>
          <w:tcPr>
            <w:tcW w:w="2500" w:type="pct"/>
          </w:tcPr>
          <w:p w14:paraId="0C7867BC" w14:textId="5B159B5D" w:rsidR="00440D29" w:rsidRPr="00210AC6" w:rsidRDefault="00440D29" w:rsidP="00440D29">
            <w:pPr>
              <w:rPr>
                <w:rFonts w:cs="Arial"/>
                <w:b/>
                <w:bCs/>
                <w:szCs w:val="16"/>
              </w:rPr>
            </w:pPr>
            <w:r w:rsidRPr="00210AC6">
              <w:rPr>
                <w:rFonts w:cs="Arial"/>
                <w:b/>
                <w:bCs/>
                <w:szCs w:val="16"/>
              </w:rPr>
              <w:t>Percentage of Children with Disabilities Scoring at Basic or Above on the National Assessment of Educational Progress</w:t>
            </w:r>
          </w:p>
        </w:tc>
        <w:tc>
          <w:tcPr>
            <w:tcW w:w="833" w:type="pct"/>
          </w:tcPr>
          <w:p w14:paraId="6BF8F1DF" w14:textId="72CEDA1A" w:rsidR="00440D29" w:rsidRPr="00210AC6" w:rsidRDefault="00440D29" w:rsidP="00440D29">
            <w:pPr>
              <w:jc w:val="center"/>
              <w:rPr>
                <w:rFonts w:cs="Arial"/>
                <w:szCs w:val="16"/>
              </w:rPr>
            </w:pPr>
            <w:r>
              <w:rPr>
                <w:rFonts w:cs="Arial"/>
                <w:szCs w:val="16"/>
              </w:rPr>
              <w:t>Grade 8</w:t>
            </w:r>
          </w:p>
        </w:tc>
        <w:tc>
          <w:tcPr>
            <w:tcW w:w="833" w:type="pct"/>
          </w:tcPr>
          <w:p w14:paraId="02305172" w14:textId="3E6CB8C3" w:rsidR="00440D29" w:rsidRPr="00210AC6" w:rsidRDefault="00440D29" w:rsidP="00440D29">
            <w:pPr>
              <w:rPr>
                <w:rFonts w:cs="Arial"/>
                <w:szCs w:val="16"/>
              </w:rPr>
            </w:pPr>
            <w:r w:rsidRPr="00210AC6">
              <w:rPr>
                <w:rFonts w:cs="Arial"/>
                <w:szCs w:val="16"/>
              </w:rPr>
              <w:t>11%</w:t>
            </w:r>
          </w:p>
        </w:tc>
        <w:tc>
          <w:tcPr>
            <w:tcW w:w="833" w:type="pct"/>
          </w:tcPr>
          <w:p w14:paraId="12B13418" w14:textId="014DA8D1" w:rsidR="00440D29" w:rsidRPr="00210AC6" w:rsidRDefault="00440D29" w:rsidP="00440D29">
            <w:pPr>
              <w:rPr>
                <w:rFonts w:cs="Arial"/>
                <w:szCs w:val="16"/>
              </w:rPr>
            </w:pPr>
            <w:r w:rsidRPr="00210AC6">
              <w:rPr>
                <w:rFonts w:cs="Arial"/>
                <w:szCs w:val="16"/>
              </w:rPr>
              <w:t>0</w:t>
            </w:r>
          </w:p>
        </w:tc>
      </w:tr>
      <w:tr w:rsidR="00440D29" w:rsidRPr="00210AC6" w14:paraId="7EE431B9" w14:textId="77777777" w:rsidTr="00440D29">
        <w:tc>
          <w:tcPr>
            <w:tcW w:w="2500" w:type="pct"/>
          </w:tcPr>
          <w:p w14:paraId="2A435A85" w14:textId="66F61420" w:rsidR="00440D29" w:rsidRPr="00210AC6" w:rsidRDefault="00440D29" w:rsidP="00440D29">
            <w:pPr>
              <w:rPr>
                <w:rFonts w:cs="Arial"/>
                <w:b/>
                <w:bCs/>
                <w:szCs w:val="16"/>
              </w:rPr>
            </w:pPr>
            <w:r w:rsidRPr="00210AC6">
              <w:rPr>
                <w:rFonts w:cs="Arial"/>
                <w:b/>
                <w:bCs/>
                <w:szCs w:val="16"/>
              </w:rPr>
              <w:lastRenderedPageBreak/>
              <w:t>Percentage of Children with Disabilities Included in Testing on the National Assessment of Educational Progress</w:t>
            </w:r>
          </w:p>
        </w:tc>
        <w:tc>
          <w:tcPr>
            <w:tcW w:w="833" w:type="pct"/>
          </w:tcPr>
          <w:p w14:paraId="39C0FB25" w14:textId="04921F5F" w:rsidR="00440D29" w:rsidRPr="00210AC6" w:rsidRDefault="00440D29" w:rsidP="00440D29">
            <w:pPr>
              <w:jc w:val="center"/>
              <w:rPr>
                <w:rFonts w:cs="Arial"/>
                <w:szCs w:val="16"/>
              </w:rPr>
            </w:pPr>
            <w:r>
              <w:rPr>
                <w:rFonts w:cs="Arial"/>
                <w:szCs w:val="16"/>
              </w:rPr>
              <w:t>Grade 8</w:t>
            </w:r>
          </w:p>
        </w:tc>
        <w:tc>
          <w:tcPr>
            <w:tcW w:w="833" w:type="pct"/>
          </w:tcPr>
          <w:p w14:paraId="74F45C7B" w14:textId="4863DA78" w:rsidR="00440D29" w:rsidRPr="00210AC6" w:rsidRDefault="00440D29" w:rsidP="00440D29">
            <w:pPr>
              <w:rPr>
                <w:rFonts w:cs="Arial"/>
                <w:szCs w:val="16"/>
              </w:rPr>
            </w:pPr>
            <w:r w:rsidRPr="00210AC6">
              <w:rPr>
                <w:rFonts w:cs="Arial"/>
                <w:szCs w:val="16"/>
              </w:rPr>
              <w:t>92%</w:t>
            </w:r>
          </w:p>
        </w:tc>
        <w:tc>
          <w:tcPr>
            <w:tcW w:w="833" w:type="pct"/>
          </w:tcPr>
          <w:p w14:paraId="5D8CD56A" w14:textId="372C2AD5" w:rsidR="00440D29" w:rsidRPr="00210AC6" w:rsidRDefault="00440D29" w:rsidP="00440D29">
            <w:pPr>
              <w:rPr>
                <w:rFonts w:cs="Arial"/>
                <w:szCs w:val="16"/>
              </w:rPr>
            </w:pPr>
            <w:r w:rsidRPr="00210AC6">
              <w:rPr>
                <w:rFonts w:cs="Arial"/>
                <w:szCs w:val="16"/>
              </w:rPr>
              <w:t>1</w:t>
            </w:r>
          </w:p>
        </w:tc>
      </w:tr>
    </w:tbl>
    <w:p w14:paraId="64D285D9" w14:textId="0C057F27" w:rsidR="00562B2C" w:rsidRPr="00372273" w:rsidRDefault="00562B2C" w:rsidP="00562B2C">
      <w:pPr>
        <w:rPr>
          <w:b/>
          <w:bCs/>
          <w:color w:val="000000" w:themeColor="text1"/>
        </w:rPr>
      </w:pPr>
      <w:r w:rsidRPr="00372273">
        <w:rPr>
          <w:b/>
          <w:bCs/>
          <w:color w:val="000000" w:themeColor="text1"/>
        </w:rPr>
        <w:t>(</w:t>
      </w:r>
      <w:r>
        <w:rPr>
          <w:b/>
          <w:bCs/>
          <w:color w:val="000000" w:themeColor="text1"/>
        </w:rPr>
        <w:t>2</w:t>
      </w:r>
      <w:r w:rsidRPr="00372273">
        <w:rPr>
          <w:b/>
          <w:bCs/>
          <w:color w:val="000000" w:themeColor="text1"/>
        </w:rPr>
        <w:t xml:space="preserve">) </w:t>
      </w:r>
      <w:r>
        <w:rPr>
          <w:b/>
          <w:bCs/>
          <w:color w:val="000000" w:themeColor="text1"/>
        </w:rPr>
        <w:t>Statewide assessments include the regular assessment and the alternate assessment.</w:t>
      </w:r>
    </w:p>
    <w:p w14:paraId="26B2A12B" w14:textId="1B0A42CF" w:rsidR="00570930" w:rsidRPr="0007196B" w:rsidRDefault="00570930">
      <w:pPr>
        <w:spacing w:before="0" w:after="200" w:line="276" w:lineRule="auto"/>
        <w:rPr>
          <w:rFonts w:cs="Arial"/>
          <w:b/>
          <w:bCs/>
          <w:szCs w:val="16"/>
        </w:rPr>
      </w:pPr>
      <w:r w:rsidRPr="0007196B">
        <w:rPr>
          <w:rFonts w:cs="Arial"/>
          <w:b/>
          <w:bCs/>
          <w:szCs w:val="16"/>
        </w:rPr>
        <w:br w:type="page"/>
      </w:r>
    </w:p>
    <w:p w14:paraId="575750B6" w14:textId="01189256" w:rsidR="004613BA" w:rsidRDefault="00BE0EEF" w:rsidP="00BE0EEF">
      <w:pPr>
        <w:rPr>
          <w:rFonts w:cs="Arial"/>
          <w:b/>
          <w:bCs/>
          <w:szCs w:val="16"/>
        </w:rPr>
      </w:pPr>
      <w:r w:rsidRPr="00210AC6">
        <w:rPr>
          <w:rFonts w:cs="Arial"/>
          <w:b/>
          <w:bCs/>
          <w:szCs w:val="16"/>
        </w:rPr>
        <w:lastRenderedPageBreak/>
        <w:t>Exiting Data Elements</w:t>
      </w:r>
    </w:p>
    <w:tbl>
      <w:tblPr>
        <w:tblStyle w:val="TableGrid1"/>
        <w:tblW w:w="5000" w:type="pct"/>
        <w:tblLook w:val="04A0" w:firstRow="1" w:lastRow="0" w:firstColumn="1" w:lastColumn="0" w:noHBand="0" w:noVBand="1"/>
        <w:tblCaption w:val="BENNSRSTCFFYEXIT"/>
      </w:tblPr>
      <w:tblGrid>
        <w:gridCol w:w="4939"/>
        <w:gridCol w:w="2877"/>
        <w:gridCol w:w="2974"/>
      </w:tblGrid>
      <w:tr w:rsidR="0075626F" w14:paraId="7384A561" w14:textId="77777777">
        <w:trPr>
          <w:divId w:val="380713603"/>
          <w:tblHeader/>
        </w:trPr>
        <w:tc>
          <w:tcPr>
            <w:tcW w:w="2289" w:type="pct"/>
            <w:tcBorders>
              <w:top w:val="single" w:sz="4" w:space="0" w:color="auto"/>
              <w:left w:val="single" w:sz="4" w:space="0" w:color="auto"/>
              <w:bottom w:val="single" w:sz="4" w:space="0" w:color="auto"/>
              <w:right w:val="single" w:sz="4" w:space="0" w:color="auto"/>
            </w:tcBorders>
            <w:hideMark/>
          </w:tcPr>
          <w:p w14:paraId="7D74420D" w14:textId="77777777" w:rsidR="0075626F" w:rsidRDefault="0075626F" w:rsidP="0075626F">
            <w:pPr>
              <w:rPr>
                <w:rFonts w:cs="Arial"/>
                <w:b/>
                <w:bCs/>
                <w:szCs w:val="16"/>
              </w:rPr>
            </w:pPr>
            <w:r>
              <w:rPr>
                <w:rFonts w:cs="Arial"/>
                <w:b/>
                <w:bCs/>
                <w:szCs w:val="16"/>
              </w:rPr>
              <w:t>Exiting Data Elements</w:t>
            </w:r>
          </w:p>
        </w:tc>
        <w:tc>
          <w:tcPr>
            <w:tcW w:w="1333" w:type="pct"/>
            <w:tcBorders>
              <w:top w:val="single" w:sz="4" w:space="0" w:color="auto"/>
              <w:left w:val="single" w:sz="4" w:space="0" w:color="auto"/>
              <w:bottom w:val="single" w:sz="4" w:space="0" w:color="auto"/>
              <w:right w:val="single" w:sz="4" w:space="0" w:color="auto"/>
            </w:tcBorders>
            <w:hideMark/>
          </w:tcPr>
          <w:p w14:paraId="7016EA73" w14:textId="77777777" w:rsidR="0075626F" w:rsidRDefault="0075626F" w:rsidP="0075626F">
            <w:pPr>
              <w:rPr>
                <w:rFonts w:cs="Arial"/>
                <w:b/>
                <w:bCs/>
                <w:szCs w:val="16"/>
              </w:rPr>
            </w:pPr>
            <w:r>
              <w:rPr>
                <w:rFonts w:cs="Arial"/>
                <w:b/>
                <w:bCs/>
                <w:szCs w:val="16"/>
              </w:rPr>
              <w:t>Performance (%)</w:t>
            </w:r>
          </w:p>
        </w:tc>
        <w:tc>
          <w:tcPr>
            <w:tcW w:w="1378" w:type="pct"/>
            <w:tcBorders>
              <w:top w:val="single" w:sz="4" w:space="0" w:color="auto"/>
              <w:left w:val="single" w:sz="4" w:space="0" w:color="auto"/>
              <w:bottom w:val="single" w:sz="4" w:space="0" w:color="auto"/>
              <w:right w:val="single" w:sz="4" w:space="0" w:color="auto"/>
            </w:tcBorders>
            <w:hideMark/>
          </w:tcPr>
          <w:p w14:paraId="3A2D3630" w14:textId="77777777" w:rsidR="0075626F" w:rsidRDefault="0075626F" w:rsidP="0075626F">
            <w:pPr>
              <w:rPr>
                <w:rFonts w:cs="Arial"/>
                <w:b/>
                <w:bCs/>
                <w:szCs w:val="16"/>
              </w:rPr>
            </w:pPr>
            <w:r>
              <w:rPr>
                <w:rFonts w:cs="Arial"/>
                <w:b/>
                <w:bCs/>
                <w:szCs w:val="16"/>
              </w:rPr>
              <w:t>Score</w:t>
            </w:r>
          </w:p>
        </w:tc>
      </w:tr>
      <w:tr w:rsidR="0075626F" w14:paraId="47FF2742" w14:textId="77777777">
        <w:trPr>
          <w:divId w:val="380713603"/>
        </w:trPr>
        <w:tc>
          <w:tcPr>
            <w:tcW w:w="2289" w:type="pct"/>
            <w:tcBorders>
              <w:top w:val="single" w:sz="4" w:space="0" w:color="auto"/>
              <w:left w:val="single" w:sz="4" w:space="0" w:color="auto"/>
              <w:bottom w:val="single" w:sz="4" w:space="0" w:color="auto"/>
              <w:right w:val="single" w:sz="4" w:space="0" w:color="auto"/>
            </w:tcBorders>
            <w:hideMark/>
          </w:tcPr>
          <w:p w14:paraId="42C96131" w14:textId="77777777" w:rsidR="0075626F" w:rsidRDefault="0075626F" w:rsidP="0075626F">
            <w:pPr>
              <w:rPr>
                <w:rFonts w:cs="Arial"/>
                <w:b/>
                <w:bCs/>
                <w:szCs w:val="16"/>
              </w:rPr>
            </w:pPr>
            <w:r>
              <w:rPr>
                <w:rFonts w:cs="Arial"/>
                <w:b/>
                <w:bCs/>
                <w:szCs w:val="16"/>
              </w:rPr>
              <w:t>Percentage of Children with Disabilities who Dropped Out</w:t>
            </w:r>
          </w:p>
        </w:tc>
        <w:tc>
          <w:tcPr>
            <w:tcW w:w="1333" w:type="pct"/>
            <w:tcBorders>
              <w:top w:val="single" w:sz="4" w:space="0" w:color="auto"/>
              <w:left w:val="single" w:sz="4" w:space="0" w:color="auto"/>
              <w:bottom w:val="single" w:sz="4" w:space="0" w:color="auto"/>
              <w:right w:val="single" w:sz="4" w:space="0" w:color="auto"/>
            </w:tcBorders>
            <w:hideMark/>
          </w:tcPr>
          <w:p w14:paraId="42A25E75" w14:textId="77777777" w:rsidR="0075626F" w:rsidRDefault="0075626F" w:rsidP="0075626F">
            <w:pPr>
              <w:rPr>
                <w:rFonts w:cs="Arial"/>
                <w:szCs w:val="16"/>
              </w:rPr>
            </w:pPr>
            <w:r>
              <w:rPr>
                <w:rFonts w:cs="Arial"/>
                <w:szCs w:val="16"/>
              </w:rPr>
              <w:t>28</w:t>
            </w:r>
          </w:p>
        </w:tc>
        <w:tc>
          <w:tcPr>
            <w:tcW w:w="1378" w:type="pct"/>
            <w:tcBorders>
              <w:top w:val="single" w:sz="4" w:space="0" w:color="auto"/>
              <w:left w:val="single" w:sz="4" w:space="0" w:color="auto"/>
              <w:bottom w:val="single" w:sz="4" w:space="0" w:color="auto"/>
              <w:right w:val="single" w:sz="4" w:space="0" w:color="auto"/>
            </w:tcBorders>
            <w:hideMark/>
          </w:tcPr>
          <w:p w14:paraId="6A0E772F" w14:textId="77777777" w:rsidR="0075626F" w:rsidRDefault="0075626F" w:rsidP="0075626F">
            <w:pPr>
              <w:rPr>
                <w:rFonts w:cs="Arial"/>
                <w:szCs w:val="16"/>
              </w:rPr>
            </w:pPr>
            <w:r>
              <w:rPr>
                <w:rFonts w:cs="Arial"/>
                <w:szCs w:val="16"/>
              </w:rPr>
              <w:t>0</w:t>
            </w:r>
          </w:p>
        </w:tc>
      </w:tr>
      <w:tr w:rsidR="0075626F" w14:paraId="7946F4E5" w14:textId="77777777">
        <w:trPr>
          <w:divId w:val="380713603"/>
        </w:trPr>
        <w:tc>
          <w:tcPr>
            <w:tcW w:w="2289" w:type="pct"/>
            <w:tcBorders>
              <w:top w:val="single" w:sz="4" w:space="0" w:color="auto"/>
              <w:left w:val="single" w:sz="4" w:space="0" w:color="auto"/>
              <w:bottom w:val="single" w:sz="4" w:space="0" w:color="auto"/>
              <w:right w:val="single" w:sz="4" w:space="0" w:color="auto"/>
            </w:tcBorders>
            <w:hideMark/>
          </w:tcPr>
          <w:p w14:paraId="2291D902" w14:textId="2BEE28A5" w:rsidR="0075626F" w:rsidRDefault="0075626F" w:rsidP="0075626F">
            <w:pPr>
              <w:rPr>
                <w:rFonts w:cs="Arial"/>
                <w:b/>
                <w:bCs/>
                <w:szCs w:val="16"/>
              </w:rPr>
            </w:pPr>
            <w:r>
              <w:rPr>
                <w:rFonts w:cs="Arial"/>
                <w:b/>
                <w:bCs/>
                <w:szCs w:val="16"/>
              </w:rPr>
              <w:t>Percentage of Children with Disabilities who Graduated with a Regular High School Diploma**</w:t>
            </w:r>
          </w:p>
        </w:tc>
        <w:tc>
          <w:tcPr>
            <w:tcW w:w="1333" w:type="pct"/>
            <w:tcBorders>
              <w:top w:val="single" w:sz="4" w:space="0" w:color="auto"/>
              <w:left w:val="single" w:sz="4" w:space="0" w:color="auto"/>
              <w:bottom w:val="single" w:sz="4" w:space="0" w:color="auto"/>
              <w:right w:val="single" w:sz="4" w:space="0" w:color="auto"/>
            </w:tcBorders>
            <w:hideMark/>
          </w:tcPr>
          <w:p w14:paraId="503EE6E2" w14:textId="77777777" w:rsidR="0075626F" w:rsidRDefault="0075626F" w:rsidP="0075626F">
            <w:pPr>
              <w:rPr>
                <w:rFonts w:cs="Arial"/>
                <w:szCs w:val="16"/>
              </w:rPr>
            </w:pPr>
            <w:r>
              <w:rPr>
                <w:rFonts w:cs="Arial"/>
                <w:szCs w:val="16"/>
              </w:rPr>
              <w:t>71</w:t>
            </w:r>
          </w:p>
        </w:tc>
        <w:tc>
          <w:tcPr>
            <w:tcW w:w="1378" w:type="pct"/>
            <w:tcBorders>
              <w:top w:val="single" w:sz="4" w:space="0" w:color="auto"/>
              <w:left w:val="single" w:sz="4" w:space="0" w:color="auto"/>
              <w:bottom w:val="single" w:sz="4" w:space="0" w:color="auto"/>
              <w:right w:val="single" w:sz="4" w:space="0" w:color="auto"/>
            </w:tcBorders>
            <w:hideMark/>
          </w:tcPr>
          <w:p w14:paraId="182C5F0B" w14:textId="77777777" w:rsidR="0075626F" w:rsidRDefault="0075626F" w:rsidP="0075626F">
            <w:pPr>
              <w:rPr>
                <w:rFonts w:cs="Arial"/>
                <w:szCs w:val="16"/>
              </w:rPr>
            </w:pPr>
            <w:r>
              <w:rPr>
                <w:rFonts w:cs="Arial"/>
                <w:szCs w:val="16"/>
              </w:rPr>
              <w:t>1</w:t>
            </w:r>
          </w:p>
        </w:tc>
      </w:tr>
    </w:tbl>
    <w:p w14:paraId="0C2E315C" w14:textId="243BC30E" w:rsidR="00D12506" w:rsidRDefault="00C56EE8" w:rsidP="00BE0EEF">
      <w:pPr>
        <w:rPr>
          <w:rFonts w:cstheme="minorHAnsi"/>
          <w:szCs w:val="16"/>
        </w:rPr>
      </w:pPr>
      <w:r>
        <w:rPr>
          <w:rFonts w:cstheme="minorHAnsi"/>
          <w:szCs w:val="16"/>
        </w:rPr>
        <w:t>**When providing exiting data under section 618 of the IDEA, States are required to report on the number of students with disabilities who exited an educational program through receipt of a regular high school diploma. These students meet the same standards for graduation as those for students without disabilities. As explained in 34 C.F.R. §300.102(a)(3)(iv), in effect June 30, 2017, “the term regular high school diploma means the standard high school diploma awarded to the preponderance of students in the State that is fully aligned with State standards, or a higher diploma, except that a regular high school diploma shall not be aligned to the alternate academic achievement standards described in section 1111(b)(1)(E) of the ESEA. A regular high school diploma does not include a recognized equivalent of a diploma, such as a general equivalency diploma, certificate of completion, certificate of attendance, or similar lesser credential.”</w:t>
      </w:r>
    </w:p>
    <w:p w14:paraId="472B8AF6" w14:textId="1512DB7C" w:rsidR="00BE0EEF" w:rsidRPr="00210AC6" w:rsidRDefault="00D12506" w:rsidP="00D12506">
      <w:pPr>
        <w:spacing w:before="0" w:after="200" w:line="276" w:lineRule="auto"/>
        <w:rPr>
          <w:rFonts w:cs="Arial"/>
          <w:b/>
          <w:bCs/>
          <w:szCs w:val="16"/>
        </w:rPr>
      </w:pPr>
      <w:r>
        <w:rPr>
          <w:rFonts w:cs="Arial"/>
          <w:b/>
          <w:bCs/>
          <w:szCs w:val="16"/>
        </w:rPr>
        <w:br w:type="page"/>
      </w:r>
      <w:r w:rsidR="00BE0EEF" w:rsidRPr="00210AC6">
        <w:rPr>
          <w:rFonts w:cs="Arial"/>
          <w:b/>
          <w:bCs/>
          <w:szCs w:val="16"/>
        </w:rPr>
        <w:lastRenderedPageBreak/>
        <w:t>2024 Part B Compliance Matrix</w:t>
      </w:r>
    </w:p>
    <w:tbl>
      <w:tblPr>
        <w:tblStyle w:val="TableGrid1"/>
        <w:tblW w:w="5004" w:type="pct"/>
        <w:tblLayout w:type="fixed"/>
        <w:tblLook w:val="04A0" w:firstRow="1" w:lastRow="0" w:firstColumn="1" w:lastColumn="0" w:noHBand="0" w:noVBand="1"/>
        <w:tblCaption w:val="BENNSRSTCFFYCMP"/>
      </w:tblPr>
      <w:tblGrid>
        <w:gridCol w:w="5408"/>
        <w:gridCol w:w="1797"/>
        <w:gridCol w:w="1797"/>
        <w:gridCol w:w="1797"/>
      </w:tblGrid>
      <w:tr w:rsidR="00BE0EEF" w:rsidRPr="00210AC6" w14:paraId="5D2BF1AF" w14:textId="77777777" w:rsidTr="00C74568">
        <w:trPr>
          <w:tblHeader/>
        </w:trPr>
        <w:tc>
          <w:tcPr>
            <w:tcW w:w="2504" w:type="pct"/>
          </w:tcPr>
          <w:p w14:paraId="6C7ED070" w14:textId="23B6A822" w:rsidR="00BE0EEF" w:rsidRPr="00210AC6" w:rsidRDefault="00BE0EEF" w:rsidP="00EE6889">
            <w:pPr>
              <w:rPr>
                <w:rFonts w:cs="Arial"/>
                <w:b/>
                <w:bCs/>
                <w:szCs w:val="16"/>
              </w:rPr>
            </w:pPr>
            <w:r w:rsidRPr="00210AC6">
              <w:rPr>
                <w:rFonts w:cs="Arial"/>
                <w:b/>
                <w:bCs/>
                <w:szCs w:val="16"/>
              </w:rPr>
              <w:t xml:space="preserve">Part B Compliance Indicator </w:t>
            </w:r>
            <w:r w:rsidR="0007196B">
              <w:rPr>
                <w:rFonts w:cs="Arial"/>
                <w:szCs w:val="16"/>
              </w:rPr>
              <w:t>(</w:t>
            </w:r>
            <w:r w:rsidR="00562B2C">
              <w:rPr>
                <w:rFonts w:cs="Arial"/>
                <w:szCs w:val="16"/>
              </w:rPr>
              <w:t>3</w:t>
            </w:r>
            <w:r w:rsidR="0007196B">
              <w:rPr>
                <w:rFonts w:cs="Arial"/>
                <w:szCs w:val="16"/>
              </w:rPr>
              <w:t>)</w:t>
            </w:r>
          </w:p>
        </w:tc>
        <w:tc>
          <w:tcPr>
            <w:tcW w:w="832" w:type="pct"/>
          </w:tcPr>
          <w:p w14:paraId="580F470E" w14:textId="77777777" w:rsidR="00BE0EEF" w:rsidRPr="00210AC6" w:rsidRDefault="00BE0EEF" w:rsidP="00EE6889">
            <w:pPr>
              <w:rPr>
                <w:rFonts w:cs="Arial"/>
                <w:b/>
                <w:bCs/>
                <w:szCs w:val="16"/>
              </w:rPr>
            </w:pPr>
            <w:r w:rsidRPr="00210AC6">
              <w:rPr>
                <w:rFonts w:cs="Arial"/>
                <w:b/>
                <w:bCs/>
                <w:szCs w:val="16"/>
              </w:rPr>
              <w:t xml:space="preserve">Performance (%) </w:t>
            </w:r>
          </w:p>
        </w:tc>
        <w:tc>
          <w:tcPr>
            <w:tcW w:w="832" w:type="pct"/>
          </w:tcPr>
          <w:p w14:paraId="5D25D35A" w14:textId="116609C9" w:rsidR="00BE0EEF" w:rsidRPr="00210AC6" w:rsidRDefault="00BE0EEF" w:rsidP="00EE6889">
            <w:pPr>
              <w:rPr>
                <w:rFonts w:cs="Arial"/>
                <w:b/>
                <w:bCs/>
                <w:szCs w:val="16"/>
              </w:rPr>
            </w:pPr>
            <w:r w:rsidRPr="00210AC6">
              <w:rPr>
                <w:rFonts w:cs="Arial"/>
                <w:b/>
                <w:bCs/>
                <w:szCs w:val="16"/>
              </w:rPr>
              <w:t>Full Correction of Findings of Noncompliance Identified in FFY 202</w:t>
            </w:r>
            <w:r w:rsidR="0073067C">
              <w:rPr>
                <w:rFonts w:cs="Arial"/>
                <w:b/>
                <w:bCs/>
                <w:szCs w:val="16"/>
              </w:rPr>
              <w:t>1</w:t>
            </w:r>
            <w:r w:rsidRPr="00210AC6">
              <w:rPr>
                <w:rFonts w:cs="Arial"/>
                <w:b/>
                <w:bCs/>
                <w:szCs w:val="16"/>
              </w:rPr>
              <w:t xml:space="preserve"> </w:t>
            </w:r>
            <w:r w:rsidR="0007196B">
              <w:rPr>
                <w:rFonts w:cs="Arial"/>
                <w:szCs w:val="16"/>
              </w:rPr>
              <w:t>(</w:t>
            </w:r>
            <w:r w:rsidR="00562B2C">
              <w:rPr>
                <w:rFonts w:cs="Arial"/>
                <w:szCs w:val="16"/>
              </w:rPr>
              <w:t>4</w:t>
            </w:r>
            <w:r w:rsidR="0007196B">
              <w:rPr>
                <w:rFonts w:cs="Arial"/>
                <w:szCs w:val="16"/>
              </w:rPr>
              <w:t>)</w:t>
            </w:r>
          </w:p>
        </w:tc>
        <w:tc>
          <w:tcPr>
            <w:tcW w:w="832" w:type="pct"/>
          </w:tcPr>
          <w:p w14:paraId="0F2A19C9" w14:textId="77777777" w:rsidR="00BE0EEF" w:rsidRPr="00210AC6" w:rsidRDefault="00BE0EEF" w:rsidP="00EE6889">
            <w:pPr>
              <w:rPr>
                <w:rFonts w:cs="Arial"/>
                <w:b/>
                <w:bCs/>
                <w:szCs w:val="16"/>
              </w:rPr>
            </w:pPr>
            <w:r w:rsidRPr="00210AC6">
              <w:rPr>
                <w:rFonts w:cs="Arial"/>
                <w:b/>
                <w:bCs/>
                <w:szCs w:val="16"/>
              </w:rPr>
              <w:t>Score</w:t>
            </w:r>
          </w:p>
        </w:tc>
      </w:tr>
      <w:tr w:rsidR="00AA1152" w:rsidRPr="00210AC6" w14:paraId="58EE7EBF" w14:textId="77777777" w:rsidTr="00FB3F34">
        <w:tc>
          <w:tcPr>
            <w:tcW w:w="2504" w:type="pct"/>
          </w:tcPr>
          <w:p w14:paraId="79E3B338" w14:textId="77777777" w:rsidR="00AA1152" w:rsidRPr="00210AC6" w:rsidRDefault="00AA1152" w:rsidP="00AA1152">
            <w:pPr>
              <w:rPr>
                <w:rFonts w:cs="Arial"/>
                <w:b/>
                <w:bCs/>
                <w:szCs w:val="16"/>
              </w:rPr>
            </w:pPr>
            <w:r w:rsidRPr="00210AC6">
              <w:rPr>
                <w:rFonts w:cs="Arial"/>
                <w:b/>
                <w:bCs/>
                <w:szCs w:val="16"/>
              </w:rPr>
              <w:t>Indicator 4B: Significant discrepancy, by race and ethnicity, in the rate of suspension and expulsion, and policies, procedures or practices that contribute to the significant discrepancy and do not comply with specified requirements.</w:t>
            </w:r>
          </w:p>
        </w:tc>
        <w:tc>
          <w:tcPr>
            <w:tcW w:w="832" w:type="pct"/>
          </w:tcPr>
          <w:p w14:paraId="2F5F53B8" w14:textId="72EE73B0" w:rsidR="00AA1152" w:rsidRPr="00210AC6" w:rsidRDefault="00AA1152" w:rsidP="00AA1152">
            <w:pPr>
              <w:rPr>
                <w:rFonts w:cs="Arial"/>
                <w:szCs w:val="16"/>
              </w:rPr>
            </w:pPr>
            <w:r w:rsidRPr="00210AC6">
              <w:rPr>
                <w:rFonts w:cs="Arial"/>
                <w:szCs w:val="16"/>
              </w:rPr>
              <w:t>6.25%</w:t>
            </w:r>
          </w:p>
        </w:tc>
        <w:tc>
          <w:tcPr>
            <w:tcW w:w="832" w:type="pct"/>
          </w:tcPr>
          <w:p w14:paraId="771B94BB" w14:textId="4E9D5A8F" w:rsidR="00AA1152" w:rsidRPr="00210AC6" w:rsidRDefault="00AA1152" w:rsidP="00AA1152">
            <w:pPr>
              <w:rPr>
                <w:rFonts w:cs="Arial"/>
                <w:szCs w:val="16"/>
              </w:rPr>
            </w:pPr>
            <w:r w:rsidRPr="00210AC6">
              <w:rPr>
                <w:rFonts w:cs="Arial"/>
                <w:szCs w:val="16"/>
              </w:rPr>
              <w:t>N/A</w:t>
            </w:r>
          </w:p>
        </w:tc>
        <w:tc>
          <w:tcPr>
            <w:tcW w:w="832" w:type="pct"/>
          </w:tcPr>
          <w:p w14:paraId="7825B06F" w14:textId="05A81092" w:rsidR="00AA1152" w:rsidRPr="00210AC6" w:rsidRDefault="00AA1152" w:rsidP="00AA1152">
            <w:pPr>
              <w:rPr>
                <w:rFonts w:cs="Arial"/>
                <w:szCs w:val="16"/>
              </w:rPr>
            </w:pPr>
            <w:r w:rsidRPr="00210AC6">
              <w:rPr>
                <w:rFonts w:cs="Arial"/>
                <w:szCs w:val="16"/>
              </w:rPr>
              <w:t>2</w:t>
            </w:r>
          </w:p>
        </w:tc>
      </w:tr>
      <w:tr w:rsidR="00AA1152" w:rsidRPr="00210AC6" w14:paraId="21C2980E" w14:textId="77777777" w:rsidTr="00FB3F34">
        <w:tc>
          <w:tcPr>
            <w:tcW w:w="2504" w:type="pct"/>
          </w:tcPr>
          <w:p w14:paraId="508138EE" w14:textId="77777777" w:rsidR="00AA1152" w:rsidRPr="00210AC6" w:rsidRDefault="00AA1152" w:rsidP="00AA1152">
            <w:pPr>
              <w:rPr>
                <w:rFonts w:cs="Arial"/>
                <w:b/>
                <w:bCs/>
                <w:szCs w:val="16"/>
              </w:rPr>
            </w:pPr>
            <w:r w:rsidRPr="00210AC6">
              <w:rPr>
                <w:rFonts w:cs="Arial"/>
                <w:b/>
                <w:bCs/>
                <w:szCs w:val="16"/>
              </w:rPr>
              <w:t>Indicator 9: Disproportionate representation of racial and ethnic groups in special education and related services due to inappropriate identification.</w:t>
            </w:r>
          </w:p>
        </w:tc>
        <w:tc>
          <w:tcPr>
            <w:tcW w:w="832" w:type="pct"/>
          </w:tcPr>
          <w:p w14:paraId="0871F09C" w14:textId="625E28D3" w:rsidR="00AA1152" w:rsidRPr="00210AC6" w:rsidRDefault="00AA1152" w:rsidP="00AA1152">
            <w:pPr>
              <w:rPr>
                <w:rFonts w:cs="Arial"/>
                <w:szCs w:val="16"/>
              </w:rPr>
            </w:pPr>
            <w:r w:rsidRPr="00210AC6">
              <w:rPr>
                <w:rFonts w:cs="Arial"/>
                <w:szCs w:val="16"/>
              </w:rPr>
              <w:t>0.00%</w:t>
            </w:r>
          </w:p>
        </w:tc>
        <w:tc>
          <w:tcPr>
            <w:tcW w:w="832" w:type="pct"/>
          </w:tcPr>
          <w:p w14:paraId="1628449A" w14:textId="0D758D3E" w:rsidR="00AA1152" w:rsidRPr="00210AC6" w:rsidRDefault="00AA1152" w:rsidP="00AA1152">
            <w:pPr>
              <w:rPr>
                <w:rFonts w:cs="Arial"/>
                <w:szCs w:val="16"/>
              </w:rPr>
            </w:pPr>
            <w:r w:rsidRPr="00210AC6">
              <w:rPr>
                <w:rFonts w:cs="Arial"/>
                <w:szCs w:val="16"/>
              </w:rPr>
              <w:t>N/A</w:t>
            </w:r>
          </w:p>
        </w:tc>
        <w:tc>
          <w:tcPr>
            <w:tcW w:w="832" w:type="pct"/>
          </w:tcPr>
          <w:p w14:paraId="21DC76B4" w14:textId="71B82A2F" w:rsidR="00AA1152" w:rsidRPr="00210AC6" w:rsidRDefault="00AA1152" w:rsidP="00AA1152">
            <w:pPr>
              <w:rPr>
                <w:rFonts w:cs="Arial"/>
                <w:szCs w:val="16"/>
              </w:rPr>
            </w:pPr>
            <w:r w:rsidRPr="00210AC6">
              <w:rPr>
                <w:rFonts w:cs="Arial"/>
                <w:szCs w:val="16"/>
              </w:rPr>
              <w:t>2</w:t>
            </w:r>
          </w:p>
        </w:tc>
      </w:tr>
      <w:tr w:rsidR="00AA1152" w:rsidRPr="00210AC6" w14:paraId="03A38C11" w14:textId="77777777" w:rsidTr="00FB3F34">
        <w:tc>
          <w:tcPr>
            <w:tcW w:w="2504" w:type="pct"/>
          </w:tcPr>
          <w:p w14:paraId="4150218F" w14:textId="77777777" w:rsidR="00AA1152" w:rsidRPr="00210AC6" w:rsidRDefault="00AA1152" w:rsidP="00AA1152">
            <w:pPr>
              <w:rPr>
                <w:rFonts w:cs="Arial"/>
                <w:b/>
                <w:bCs/>
                <w:szCs w:val="16"/>
              </w:rPr>
            </w:pPr>
            <w:r w:rsidRPr="00210AC6">
              <w:rPr>
                <w:rFonts w:cs="Arial"/>
                <w:b/>
                <w:bCs/>
                <w:szCs w:val="16"/>
              </w:rPr>
              <w:t>Indicator 10: Disproportionate representation of racial and ethnic groups in specific disability categories due to inappropriate identification.</w:t>
            </w:r>
          </w:p>
        </w:tc>
        <w:tc>
          <w:tcPr>
            <w:tcW w:w="832" w:type="pct"/>
          </w:tcPr>
          <w:p w14:paraId="3A2447F0" w14:textId="2F7DA60E" w:rsidR="00AA1152" w:rsidRPr="00210AC6" w:rsidRDefault="00AA1152" w:rsidP="00AA1152">
            <w:pPr>
              <w:rPr>
                <w:rFonts w:cs="Arial"/>
                <w:szCs w:val="16"/>
              </w:rPr>
            </w:pPr>
            <w:r w:rsidRPr="00210AC6">
              <w:rPr>
                <w:rFonts w:cs="Arial"/>
                <w:szCs w:val="16"/>
              </w:rPr>
              <w:t>0.00%</w:t>
            </w:r>
          </w:p>
        </w:tc>
        <w:tc>
          <w:tcPr>
            <w:tcW w:w="832" w:type="pct"/>
          </w:tcPr>
          <w:p w14:paraId="1CE885A0" w14:textId="000A00A6" w:rsidR="00AA1152" w:rsidRPr="00210AC6" w:rsidRDefault="00AA1152" w:rsidP="00AA1152">
            <w:pPr>
              <w:rPr>
                <w:rFonts w:cs="Arial"/>
                <w:szCs w:val="16"/>
              </w:rPr>
            </w:pPr>
            <w:r w:rsidRPr="00210AC6">
              <w:rPr>
                <w:rFonts w:cs="Arial"/>
                <w:szCs w:val="16"/>
              </w:rPr>
              <w:t>N/A</w:t>
            </w:r>
          </w:p>
        </w:tc>
        <w:tc>
          <w:tcPr>
            <w:tcW w:w="832" w:type="pct"/>
          </w:tcPr>
          <w:p w14:paraId="1F5B10E3" w14:textId="1AC79BCD" w:rsidR="00AA1152" w:rsidRPr="00210AC6" w:rsidRDefault="00AA1152" w:rsidP="00AA1152">
            <w:pPr>
              <w:rPr>
                <w:rFonts w:cs="Arial"/>
                <w:szCs w:val="16"/>
              </w:rPr>
            </w:pPr>
            <w:r w:rsidRPr="00210AC6">
              <w:rPr>
                <w:rFonts w:cs="Arial"/>
                <w:szCs w:val="16"/>
              </w:rPr>
              <w:t>2</w:t>
            </w:r>
          </w:p>
        </w:tc>
      </w:tr>
      <w:tr w:rsidR="00AA1152" w:rsidRPr="00210AC6" w14:paraId="785C2AF8" w14:textId="77777777" w:rsidTr="00FB3F34">
        <w:tc>
          <w:tcPr>
            <w:tcW w:w="2504" w:type="pct"/>
          </w:tcPr>
          <w:p w14:paraId="3441131C" w14:textId="77777777" w:rsidR="00AA1152" w:rsidRPr="00210AC6" w:rsidRDefault="00AA1152" w:rsidP="00AA1152">
            <w:pPr>
              <w:rPr>
                <w:rFonts w:cs="Arial"/>
                <w:b/>
                <w:bCs/>
                <w:szCs w:val="16"/>
              </w:rPr>
            </w:pPr>
            <w:r w:rsidRPr="00210AC6">
              <w:rPr>
                <w:rFonts w:cs="Arial"/>
                <w:b/>
                <w:bCs/>
                <w:szCs w:val="16"/>
              </w:rPr>
              <w:t>Indicator 11: Timely initial evaluation</w:t>
            </w:r>
          </w:p>
        </w:tc>
        <w:tc>
          <w:tcPr>
            <w:tcW w:w="832" w:type="pct"/>
          </w:tcPr>
          <w:p w14:paraId="3F86F615" w14:textId="0AA0A53C" w:rsidR="00AA1152" w:rsidRPr="00210AC6" w:rsidRDefault="00AA1152" w:rsidP="00AA1152">
            <w:pPr>
              <w:rPr>
                <w:rFonts w:cs="Arial"/>
                <w:szCs w:val="16"/>
              </w:rPr>
            </w:pPr>
            <w:r w:rsidRPr="00210AC6">
              <w:rPr>
                <w:rFonts w:cs="Arial"/>
                <w:szCs w:val="16"/>
              </w:rPr>
              <w:t>98.60%</w:t>
            </w:r>
          </w:p>
        </w:tc>
        <w:tc>
          <w:tcPr>
            <w:tcW w:w="832" w:type="pct"/>
          </w:tcPr>
          <w:p w14:paraId="379B6676" w14:textId="76488CD7" w:rsidR="00AA1152" w:rsidRPr="00210AC6" w:rsidRDefault="00AA1152" w:rsidP="00AA1152">
            <w:pPr>
              <w:rPr>
                <w:rFonts w:cs="Arial"/>
                <w:szCs w:val="16"/>
              </w:rPr>
            </w:pPr>
            <w:r w:rsidRPr="00210AC6">
              <w:rPr>
                <w:rFonts w:cs="Arial"/>
                <w:szCs w:val="16"/>
              </w:rPr>
              <w:t>YES</w:t>
            </w:r>
          </w:p>
        </w:tc>
        <w:tc>
          <w:tcPr>
            <w:tcW w:w="832" w:type="pct"/>
          </w:tcPr>
          <w:p w14:paraId="5FB686BF" w14:textId="58500CD0" w:rsidR="00AA1152" w:rsidRPr="00210AC6" w:rsidRDefault="00AA1152" w:rsidP="00AA1152">
            <w:pPr>
              <w:rPr>
                <w:rFonts w:cs="Arial"/>
                <w:szCs w:val="16"/>
              </w:rPr>
            </w:pPr>
            <w:r w:rsidRPr="00210AC6">
              <w:rPr>
                <w:rFonts w:cs="Arial"/>
                <w:szCs w:val="16"/>
              </w:rPr>
              <w:t>2</w:t>
            </w:r>
          </w:p>
        </w:tc>
      </w:tr>
      <w:tr w:rsidR="00AA1152" w:rsidRPr="00210AC6" w14:paraId="02526753" w14:textId="77777777" w:rsidTr="00FB3F34">
        <w:tc>
          <w:tcPr>
            <w:tcW w:w="2504" w:type="pct"/>
          </w:tcPr>
          <w:p w14:paraId="02E96748" w14:textId="77777777" w:rsidR="00AA1152" w:rsidRPr="00210AC6" w:rsidRDefault="00AA1152" w:rsidP="00AA1152">
            <w:pPr>
              <w:rPr>
                <w:rFonts w:cs="Arial"/>
                <w:b/>
                <w:bCs/>
                <w:szCs w:val="16"/>
              </w:rPr>
            </w:pPr>
            <w:r w:rsidRPr="00210AC6">
              <w:rPr>
                <w:rFonts w:cs="Arial"/>
                <w:b/>
                <w:bCs/>
                <w:szCs w:val="16"/>
              </w:rPr>
              <w:t>Indicator 12: IEP developed and implemented by third birthday</w:t>
            </w:r>
          </w:p>
        </w:tc>
        <w:tc>
          <w:tcPr>
            <w:tcW w:w="832" w:type="pct"/>
          </w:tcPr>
          <w:p w14:paraId="4F2BD9F2" w14:textId="398FC4CF" w:rsidR="00AA1152" w:rsidRPr="00210AC6" w:rsidRDefault="00AA1152" w:rsidP="00AA1152">
            <w:pPr>
              <w:rPr>
                <w:rFonts w:cs="Arial"/>
                <w:szCs w:val="16"/>
              </w:rPr>
            </w:pPr>
            <w:r w:rsidRPr="00210AC6">
              <w:rPr>
                <w:rFonts w:cs="Arial"/>
                <w:szCs w:val="16"/>
              </w:rPr>
              <w:t>94.84%</w:t>
            </w:r>
          </w:p>
        </w:tc>
        <w:tc>
          <w:tcPr>
            <w:tcW w:w="832" w:type="pct"/>
          </w:tcPr>
          <w:p w14:paraId="6054F9DF" w14:textId="274B8111" w:rsidR="00AA1152" w:rsidRPr="00210AC6" w:rsidRDefault="00AA1152" w:rsidP="00AA1152">
            <w:pPr>
              <w:rPr>
                <w:rFonts w:cs="Arial"/>
                <w:szCs w:val="16"/>
              </w:rPr>
            </w:pPr>
            <w:r w:rsidRPr="00210AC6">
              <w:rPr>
                <w:rFonts w:cs="Arial"/>
                <w:szCs w:val="16"/>
              </w:rPr>
              <w:t>YES</w:t>
            </w:r>
          </w:p>
        </w:tc>
        <w:tc>
          <w:tcPr>
            <w:tcW w:w="832" w:type="pct"/>
          </w:tcPr>
          <w:p w14:paraId="3702D281" w14:textId="352F6EC2" w:rsidR="00AA1152" w:rsidRPr="00210AC6" w:rsidRDefault="00AA1152" w:rsidP="00AA1152">
            <w:pPr>
              <w:rPr>
                <w:rFonts w:cs="Arial"/>
                <w:szCs w:val="16"/>
              </w:rPr>
            </w:pPr>
            <w:r w:rsidRPr="00210AC6">
              <w:rPr>
                <w:rFonts w:cs="Arial"/>
                <w:szCs w:val="16"/>
              </w:rPr>
              <w:t>2</w:t>
            </w:r>
          </w:p>
        </w:tc>
      </w:tr>
      <w:tr w:rsidR="00AA1152" w:rsidRPr="00210AC6" w14:paraId="74763DC8" w14:textId="77777777" w:rsidTr="00FB3F34">
        <w:tc>
          <w:tcPr>
            <w:tcW w:w="2504" w:type="pct"/>
          </w:tcPr>
          <w:p w14:paraId="2E528111" w14:textId="77777777" w:rsidR="00AA1152" w:rsidRPr="00210AC6" w:rsidRDefault="00AA1152" w:rsidP="00AA1152">
            <w:pPr>
              <w:rPr>
                <w:rFonts w:cs="Arial"/>
                <w:b/>
                <w:bCs/>
                <w:szCs w:val="16"/>
              </w:rPr>
            </w:pPr>
            <w:r w:rsidRPr="00210AC6">
              <w:rPr>
                <w:rFonts w:cs="Arial"/>
                <w:b/>
                <w:bCs/>
                <w:szCs w:val="16"/>
              </w:rPr>
              <w:t>Indicator 13: Secondary transition</w:t>
            </w:r>
          </w:p>
        </w:tc>
        <w:tc>
          <w:tcPr>
            <w:tcW w:w="832" w:type="pct"/>
          </w:tcPr>
          <w:p w14:paraId="2E2E3F92" w14:textId="0CE14D00" w:rsidR="00AA1152" w:rsidRPr="00210AC6" w:rsidRDefault="00AA1152" w:rsidP="00AA1152">
            <w:pPr>
              <w:rPr>
                <w:rFonts w:cs="Arial"/>
                <w:szCs w:val="16"/>
              </w:rPr>
            </w:pPr>
            <w:r w:rsidRPr="00210AC6">
              <w:rPr>
                <w:rFonts w:cs="Arial"/>
                <w:szCs w:val="16"/>
              </w:rPr>
              <w:t>98.37%</w:t>
            </w:r>
          </w:p>
        </w:tc>
        <w:tc>
          <w:tcPr>
            <w:tcW w:w="832" w:type="pct"/>
          </w:tcPr>
          <w:p w14:paraId="3F499F14" w14:textId="09C97ADF" w:rsidR="00AA1152" w:rsidRPr="00210AC6" w:rsidRDefault="00AA1152" w:rsidP="00AA1152">
            <w:pPr>
              <w:rPr>
                <w:rFonts w:cs="Arial"/>
                <w:szCs w:val="16"/>
              </w:rPr>
            </w:pPr>
            <w:r w:rsidRPr="00210AC6">
              <w:rPr>
                <w:rFonts w:cs="Arial"/>
                <w:szCs w:val="16"/>
              </w:rPr>
              <w:t>NO</w:t>
            </w:r>
          </w:p>
        </w:tc>
        <w:tc>
          <w:tcPr>
            <w:tcW w:w="832" w:type="pct"/>
          </w:tcPr>
          <w:p w14:paraId="06689058" w14:textId="117B6780" w:rsidR="00AA1152" w:rsidRPr="00210AC6" w:rsidRDefault="00AA1152" w:rsidP="00AA1152">
            <w:pPr>
              <w:rPr>
                <w:rFonts w:cs="Arial"/>
                <w:szCs w:val="16"/>
              </w:rPr>
            </w:pPr>
            <w:r w:rsidRPr="00210AC6">
              <w:rPr>
                <w:rFonts w:cs="Arial"/>
                <w:szCs w:val="16"/>
              </w:rPr>
              <w:t>2</w:t>
            </w:r>
          </w:p>
        </w:tc>
      </w:tr>
      <w:tr w:rsidR="00AA1152" w:rsidRPr="00210AC6" w14:paraId="5B73C8AC" w14:textId="77777777" w:rsidTr="00AA1152">
        <w:tc>
          <w:tcPr>
            <w:tcW w:w="2504" w:type="pct"/>
          </w:tcPr>
          <w:p w14:paraId="772D1C3C" w14:textId="77777777" w:rsidR="00AA1152" w:rsidRPr="00210AC6" w:rsidRDefault="00AA1152" w:rsidP="00AA1152">
            <w:pPr>
              <w:rPr>
                <w:rFonts w:cs="Arial"/>
                <w:b/>
                <w:bCs/>
                <w:szCs w:val="16"/>
              </w:rPr>
            </w:pPr>
            <w:r w:rsidRPr="00210AC6">
              <w:rPr>
                <w:rFonts w:cs="Arial"/>
                <w:b/>
                <w:bCs/>
                <w:szCs w:val="16"/>
              </w:rPr>
              <w:t>Timely and Accurate State-Reported Data</w:t>
            </w:r>
          </w:p>
        </w:tc>
        <w:tc>
          <w:tcPr>
            <w:tcW w:w="832" w:type="pct"/>
          </w:tcPr>
          <w:p w14:paraId="18A1304C" w14:textId="765F1D9B" w:rsidR="00AA1152" w:rsidRPr="00210AC6" w:rsidRDefault="00AA1152" w:rsidP="00AA1152">
            <w:pPr>
              <w:rPr>
                <w:rFonts w:cs="Arial"/>
                <w:szCs w:val="16"/>
              </w:rPr>
            </w:pPr>
            <w:r w:rsidRPr="00210AC6">
              <w:rPr>
                <w:rFonts w:cs="Arial"/>
                <w:szCs w:val="16"/>
              </w:rPr>
              <w:t>100.00%</w:t>
            </w:r>
          </w:p>
        </w:tc>
        <w:tc>
          <w:tcPr>
            <w:tcW w:w="832" w:type="pct"/>
            <w:shd w:val="clear" w:color="auto" w:fill="D9D9D9" w:themeFill="background1" w:themeFillShade="D9"/>
          </w:tcPr>
          <w:p w14:paraId="7AC688E1" w14:textId="77777777" w:rsidR="00AA1152" w:rsidRPr="00210AC6" w:rsidRDefault="00AA1152" w:rsidP="00AA1152">
            <w:pPr>
              <w:rPr>
                <w:rFonts w:cs="Arial"/>
                <w:szCs w:val="16"/>
              </w:rPr>
            </w:pPr>
          </w:p>
        </w:tc>
        <w:tc>
          <w:tcPr>
            <w:tcW w:w="832" w:type="pct"/>
          </w:tcPr>
          <w:p w14:paraId="2D7E2590" w14:textId="5F40EEE6" w:rsidR="00AA1152" w:rsidRPr="00210AC6" w:rsidRDefault="00AA1152" w:rsidP="00AA1152">
            <w:pPr>
              <w:rPr>
                <w:rFonts w:cs="Arial"/>
                <w:szCs w:val="16"/>
              </w:rPr>
            </w:pPr>
            <w:r w:rsidRPr="00210AC6">
              <w:rPr>
                <w:rFonts w:cs="Arial"/>
                <w:szCs w:val="16"/>
              </w:rPr>
              <w:t>2</w:t>
            </w:r>
          </w:p>
        </w:tc>
      </w:tr>
      <w:tr w:rsidR="00AA1152" w:rsidRPr="00210AC6" w14:paraId="5B2DC82D" w14:textId="77777777" w:rsidTr="00AA1152">
        <w:tc>
          <w:tcPr>
            <w:tcW w:w="2504" w:type="pct"/>
          </w:tcPr>
          <w:p w14:paraId="03E653A4" w14:textId="77777777" w:rsidR="00AA1152" w:rsidRPr="00210AC6" w:rsidRDefault="00AA1152" w:rsidP="00AA1152">
            <w:pPr>
              <w:rPr>
                <w:rFonts w:cs="Arial"/>
                <w:b/>
                <w:bCs/>
                <w:szCs w:val="16"/>
              </w:rPr>
            </w:pPr>
            <w:r w:rsidRPr="00210AC6">
              <w:rPr>
                <w:rFonts w:cs="Arial"/>
                <w:b/>
                <w:bCs/>
                <w:szCs w:val="16"/>
              </w:rPr>
              <w:t>Timely State Complaint Decisions</w:t>
            </w:r>
          </w:p>
        </w:tc>
        <w:tc>
          <w:tcPr>
            <w:tcW w:w="832" w:type="pct"/>
          </w:tcPr>
          <w:p w14:paraId="3623764C" w14:textId="2150291E" w:rsidR="00AA1152" w:rsidRPr="00210AC6" w:rsidRDefault="00AA1152" w:rsidP="00AA1152">
            <w:pPr>
              <w:rPr>
                <w:rFonts w:cs="Arial"/>
                <w:szCs w:val="16"/>
              </w:rPr>
            </w:pPr>
            <w:r w:rsidRPr="00210AC6">
              <w:rPr>
                <w:rFonts w:cs="Arial"/>
                <w:szCs w:val="16"/>
              </w:rPr>
              <w:t>100.00%</w:t>
            </w:r>
          </w:p>
        </w:tc>
        <w:tc>
          <w:tcPr>
            <w:tcW w:w="832" w:type="pct"/>
            <w:shd w:val="clear" w:color="auto" w:fill="D9D9D9" w:themeFill="background1" w:themeFillShade="D9"/>
          </w:tcPr>
          <w:p w14:paraId="097E1289" w14:textId="77777777" w:rsidR="00AA1152" w:rsidRPr="00210AC6" w:rsidRDefault="00AA1152" w:rsidP="00AA1152">
            <w:pPr>
              <w:rPr>
                <w:rFonts w:cs="Arial"/>
                <w:szCs w:val="16"/>
              </w:rPr>
            </w:pPr>
          </w:p>
        </w:tc>
        <w:tc>
          <w:tcPr>
            <w:tcW w:w="832" w:type="pct"/>
          </w:tcPr>
          <w:p w14:paraId="4499CBD7" w14:textId="4E7EAE4B" w:rsidR="00AA1152" w:rsidRPr="00210AC6" w:rsidRDefault="00AA1152" w:rsidP="00AA1152">
            <w:pPr>
              <w:rPr>
                <w:rFonts w:cs="Arial"/>
                <w:szCs w:val="16"/>
              </w:rPr>
            </w:pPr>
            <w:r w:rsidRPr="00210AC6">
              <w:rPr>
                <w:rFonts w:cs="Arial"/>
                <w:szCs w:val="16"/>
              </w:rPr>
              <w:t>2</w:t>
            </w:r>
          </w:p>
        </w:tc>
      </w:tr>
      <w:tr w:rsidR="00AA1152" w:rsidRPr="00210AC6" w14:paraId="4BFA68EF" w14:textId="77777777" w:rsidTr="00AA1152">
        <w:tc>
          <w:tcPr>
            <w:tcW w:w="2504" w:type="pct"/>
          </w:tcPr>
          <w:p w14:paraId="066554B9" w14:textId="77777777" w:rsidR="00AA1152" w:rsidRPr="00210AC6" w:rsidRDefault="00AA1152" w:rsidP="00AA1152">
            <w:pPr>
              <w:rPr>
                <w:rFonts w:cs="Arial"/>
                <w:b/>
                <w:bCs/>
                <w:szCs w:val="16"/>
              </w:rPr>
            </w:pPr>
            <w:r w:rsidRPr="00210AC6">
              <w:rPr>
                <w:rFonts w:cs="Arial"/>
                <w:b/>
                <w:bCs/>
                <w:szCs w:val="16"/>
              </w:rPr>
              <w:t>Timely Due Process Hearing Decisions</w:t>
            </w:r>
          </w:p>
        </w:tc>
        <w:tc>
          <w:tcPr>
            <w:tcW w:w="832" w:type="pct"/>
          </w:tcPr>
          <w:p w14:paraId="786FDFAC" w14:textId="6F373ECA" w:rsidR="00AA1152" w:rsidRPr="00210AC6" w:rsidRDefault="00AA1152" w:rsidP="00AA1152">
            <w:pPr>
              <w:rPr>
                <w:rFonts w:cs="Arial"/>
                <w:szCs w:val="16"/>
              </w:rPr>
            </w:pPr>
            <w:r w:rsidRPr="00210AC6">
              <w:rPr>
                <w:rFonts w:cs="Arial"/>
                <w:szCs w:val="16"/>
              </w:rPr>
              <w:t>100.00%</w:t>
            </w:r>
          </w:p>
        </w:tc>
        <w:tc>
          <w:tcPr>
            <w:tcW w:w="832" w:type="pct"/>
            <w:shd w:val="clear" w:color="auto" w:fill="D9D9D9" w:themeFill="background1" w:themeFillShade="D9"/>
          </w:tcPr>
          <w:p w14:paraId="76E4B89A" w14:textId="77777777" w:rsidR="00AA1152" w:rsidRPr="00210AC6" w:rsidRDefault="00AA1152" w:rsidP="00AA1152">
            <w:pPr>
              <w:rPr>
                <w:rFonts w:cs="Arial"/>
                <w:szCs w:val="16"/>
              </w:rPr>
            </w:pPr>
          </w:p>
        </w:tc>
        <w:tc>
          <w:tcPr>
            <w:tcW w:w="832" w:type="pct"/>
          </w:tcPr>
          <w:p w14:paraId="3F8AD42C" w14:textId="7F0D6356" w:rsidR="00AA1152" w:rsidRPr="00210AC6" w:rsidRDefault="00AA1152" w:rsidP="00AA1152">
            <w:pPr>
              <w:rPr>
                <w:rFonts w:cs="Arial"/>
                <w:szCs w:val="16"/>
              </w:rPr>
            </w:pPr>
            <w:r w:rsidRPr="00210AC6">
              <w:rPr>
                <w:rFonts w:cs="Arial"/>
                <w:szCs w:val="16"/>
              </w:rPr>
              <w:t>2</w:t>
            </w:r>
          </w:p>
        </w:tc>
      </w:tr>
      <w:tr w:rsidR="00AA1152" w:rsidRPr="00210AC6" w14:paraId="26770970" w14:textId="77777777" w:rsidTr="00AA1152">
        <w:tc>
          <w:tcPr>
            <w:tcW w:w="2504" w:type="pct"/>
          </w:tcPr>
          <w:p w14:paraId="60988791" w14:textId="77777777" w:rsidR="00AA1152" w:rsidRPr="00210AC6" w:rsidRDefault="00AA1152" w:rsidP="00AA1152">
            <w:pPr>
              <w:rPr>
                <w:rFonts w:cs="Arial"/>
                <w:b/>
                <w:bCs/>
                <w:szCs w:val="16"/>
              </w:rPr>
            </w:pPr>
            <w:r w:rsidRPr="00210AC6">
              <w:rPr>
                <w:rFonts w:cs="Arial"/>
                <w:b/>
                <w:bCs/>
                <w:szCs w:val="16"/>
              </w:rPr>
              <w:t>Longstanding Noncompliance</w:t>
            </w:r>
          </w:p>
        </w:tc>
        <w:tc>
          <w:tcPr>
            <w:tcW w:w="832" w:type="pct"/>
            <w:shd w:val="clear" w:color="auto" w:fill="D9D9D9" w:themeFill="background1" w:themeFillShade="D9"/>
          </w:tcPr>
          <w:p w14:paraId="5695B159" w14:textId="77777777" w:rsidR="00AA1152" w:rsidRPr="00210AC6" w:rsidRDefault="00AA1152" w:rsidP="00AA1152">
            <w:pPr>
              <w:rPr>
                <w:rFonts w:cs="Arial"/>
                <w:szCs w:val="16"/>
              </w:rPr>
            </w:pPr>
          </w:p>
        </w:tc>
        <w:tc>
          <w:tcPr>
            <w:tcW w:w="832" w:type="pct"/>
            <w:shd w:val="clear" w:color="auto" w:fill="D9D9D9" w:themeFill="background1" w:themeFillShade="D9"/>
          </w:tcPr>
          <w:p w14:paraId="47C17DD8" w14:textId="77777777" w:rsidR="00AA1152" w:rsidRPr="00210AC6" w:rsidRDefault="00AA1152" w:rsidP="00AA1152">
            <w:pPr>
              <w:rPr>
                <w:rFonts w:cs="Arial"/>
                <w:szCs w:val="16"/>
              </w:rPr>
            </w:pPr>
          </w:p>
        </w:tc>
        <w:tc>
          <w:tcPr>
            <w:tcW w:w="832" w:type="pct"/>
          </w:tcPr>
          <w:p w14:paraId="6505B17E" w14:textId="4908393C" w:rsidR="00AA1152" w:rsidRPr="00210AC6" w:rsidRDefault="00AA1152" w:rsidP="00AA1152">
            <w:pPr>
              <w:rPr>
                <w:rFonts w:cs="Arial"/>
                <w:szCs w:val="16"/>
              </w:rPr>
            </w:pPr>
            <w:r w:rsidRPr="00210AC6">
              <w:rPr>
                <w:rFonts w:cs="Arial"/>
                <w:szCs w:val="16"/>
              </w:rPr>
              <w:t>2</w:t>
            </w:r>
          </w:p>
        </w:tc>
      </w:tr>
      <w:tr w:rsidR="00210AC6" w:rsidRPr="00210AC6" w14:paraId="37FD1A53" w14:textId="77777777" w:rsidTr="00AA1152">
        <w:tc>
          <w:tcPr>
            <w:tcW w:w="2504" w:type="pct"/>
          </w:tcPr>
          <w:p w14:paraId="3FB1DF49" w14:textId="3CF86348" w:rsidR="00AA1152" w:rsidRPr="00210AC6" w:rsidRDefault="00AF1F7D" w:rsidP="00FB3CF2">
            <w:pPr>
              <w:ind w:left="720"/>
              <w:rPr>
                <w:rFonts w:cs="Arial"/>
                <w:b/>
                <w:bCs/>
                <w:szCs w:val="16"/>
              </w:rPr>
            </w:pPr>
            <w:r>
              <w:rPr>
                <w:rFonts w:cs="Arial"/>
                <w:b/>
                <w:bCs/>
                <w:szCs w:val="16"/>
              </w:rPr>
              <w:t xml:space="preserve">Programmatic </w:t>
            </w:r>
            <w:r w:rsidR="00AA1152" w:rsidRPr="00210AC6">
              <w:rPr>
                <w:rFonts w:cs="Arial"/>
                <w:b/>
                <w:bCs/>
                <w:szCs w:val="16"/>
              </w:rPr>
              <w:t>Specific Conditions</w:t>
            </w:r>
          </w:p>
        </w:tc>
        <w:tc>
          <w:tcPr>
            <w:tcW w:w="832" w:type="pct"/>
          </w:tcPr>
          <w:p w14:paraId="25CFC5F1" w14:textId="52880491" w:rsidR="00AA1152" w:rsidRPr="00210AC6" w:rsidRDefault="00AA1152" w:rsidP="00AA1152">
            <w:pPr>
              <w:rPr>
                <w:rFonts w:cs="Arial"/>
                <w:szCs w:val="16"/>
              </w:rPr>
            </w:pPr>
            <w:r w:rsidRPr="00210AC6">
              <w:rPr>
                <w:rFonts w:cs="Arial"/>
                <w:szCs w:val="16"/>
              </w:rPr>
              <w:t>None</w:t>
            </w:r>
          </w:p>
        </w:tc>
        <w:tc>
          <w:tcPr>
            <w:tcW w:w="832" w:type="pct"/>
            <w:shd w:val="clear" w:color="auto" w:fill="D9D9D9" w:themeFill="background1" w:themeFillShade="D9"/>
          </w:tcPr>
          <w:p w14:paraId="2EE980E6" w14:textId="77777777" w:rsidR="00AA1152" w:rsidRPr="00210AC6" w:rsidRDefault="00AA1152" w:rsidP="00AA1152">
            <w:pPr>
              <w:rPr>
                <w:rFonts w:cs="Arial"/>
                <w:szCs w:val="16"/>
              </w:rPr>
            </w:pPr>
          </w:p>
        </w:tc>
        <w:tc>
          <w:tcPr>
            <w:tcW w:w="832" w:type="pct"/>
            <w:shd w:val="clear" w:color="auto" w:fill="D9D9D9" w:themeFill="background1" w:themeFillShade="D9"/>
          </w:tcPr>
          <w:p w14:paraId="4F02C2EF" w14:textId="77777777" w:rsidR="00AA1152" w:rsidRPr="00210AC6" w:rsidRDefault="00AA1152" w:rsidP="00AA1152">
            <w:pPr>
              <w:rPr>
                <w:rFonts w:cs="Arial"/>
                <w:szCs w:val="16"/>
              </w:rPr>
            </w:pPr>
          </w:p>
        </w:tc>
      </w:tr>
      <w:tr w:rsidR="00AA1152" w:rsidRPr="00210AC6" w14:paraId="280FAD4D" w14:textId="77777777" w:rsidTr="00AA1152">
        <w:tc>
          <w:tcPr>
            <w:tcW w:w="2504" w:type="pct"/>
          </w:tcPr>
          <w:p w14:paraId="03E7B148" w14:textId="77777777" w:rsidR="00AA1152" w:rsidRPr="00210AC6" w:rsidRDefault="00AA1152" w:rsidP="00FB3CF2">
            <w:pPr>
              <w:ind w:left="720"/>
              <w:rPr>
                <w:rFonts w:cs="Arial"/>
                <w:b/>
                <w:bCs/>
                <w:szCs w:val="16"/>
              </w:rPr>
            </w:pPr>
            <w:r w:rsidRPr="00210AC6">
              <w:rPr>
                <w:rFonts w:cs="Arial"/>
                <w:b/>
                <w:bCs/>
                <w:szCs w:val="16"/>
              </w:rPr>
              <w:t>Uncorrected identified noncompliance</w:t>
            </w:r>
          </w:p>
        </w:tc>
        <w:tc>
          <w:tcPr>
            <w:tcW w:w="832" w:type="pct"/>
          </w:tcPr>
          <w:p w14:paraId="6A88C370" w14:textId="640AB405" w:rsidR="00AA1152" w:rsidRPr="00210AC6" w:rsidRDefault="00AA1152" w:rsidP="00AA1152">
            <w:pPr>
              <w:rPr>
                <w:rFonts w:cs="Arial"/>
                <w:szCs w:val="16"/>
              </w:rPr>
            </w:pPr>
            <w:r w:rsidRPr="00210AC6">
              <w:rPr>
                <w:rFonts w:cs="Arial"/>
                <w:szCs w:val="16"/>
              </w:rPr>
              <w:t>None</w:t>
            </w:r>
          </w:p>
        </w:tc>
        <w:tc>
          <w:tcPr>
            <w:tcW w:w="832" w:type="pct"/>
            <w:shd w:val="clear" w:color="auto" w:fill="D9D9D9" w:themeFill="background1" w:themeFillShade="D9"/>
          </w:tcPr>
          <w:p w14:paraId="1BBE86F1" w14:textId="77777777" w:rsidR="00AA1152" w:rsidRPr="00210AC6" w:rsidRDefault="00AA1152" w:rsidP="00AA1152">
            <w:pPr>
              <w:rPr>
                <w:rFonts w:cs="Arial"/>
                <w:szCs w:val="16"/>
              </w:rPr>
            </w:pPr>
          </w:p>
        </w:tc>
        <w:tc>
          <w:tcPr>
            <w:tcW w:w="832" w:type="pct"/>
            <w:shd w:val="clear" w:color="auto" w:fill="D9D9D9" w:themeFill="background1" w:themeFillShade="D9"/>
          </w:tcPr>
          <w:p w14:paraId="774B8A90" w14:textId="77777777" w:rsidR="00AA1152" w:rsidRPr="00210AC6" w:rsidRDefault="00AA1152" w:rsidP="00AA1152">
            <w:pPr>
              <w:rPr>
                <w:rFonts w:cs="Arial"/>
                <w:szCs w:val="16"/>
              </w:rPr>
            </w:pPr>
          </w:p>
        </w:tc>
      </w:tr>
    </w:tbl>
    <w:p w14:paraId="72E10240" w14:textId="77777777" w:rsidR="00B42C5F" w:rsidRPr="00210AC6" w:rsidRDefault="00B42C5F" w:rsidP="00BE0EEF">
      <w:pPr>
        <w:rPr>
          <w:rFonts w:cs="Arial"/>
          <w:b/>
          <w:szCs w:val="16"/>
        </w:rPr>
      </w:pPr>
    </w:p>
    <w:p w14:paraId="4871FF24" w14:textId="129218C6" w:rsidR="006B6EF0" w:rsidRDefault="0007196B" w:rsidP="006B6EF0">
      <w:pPr>
        <w:spacing w:before="0" w:after="120" w:line="276" w:lineRule="auto"/>
        <w:rPr>
          <w:b/>
          <w:bCs/>
          <w:szCs w:val="16"/>
        </w:rPr>
      </w:pPr>
      <w:r w:rsidRPr="00845B9B">
        <w:rPr>
          <w:b/>
          <w:bCs/>
          <w:szCs w:val="16"/>
        </w:rPr>
        <w:t>(</w:t>
      </w:r>
      <w:r w:rsidR="00562B2C">
        <w:rPr>
          <w:b/>
          <w:bCs/>
          <w:szCs w:val="16"/>
        </w:rPr>
        <w:t>3</w:t>
      </w:r>
      <w:r w:rsidRPr="00845B9B">
        <w:rPr>
          <w:b/>
          <w:bCs/>
          <w:szCs w:val="16"/>
        </w:rPr>
        <w:t xml:space="preserve">) The complete language for each indicator is located in the Part B SPP/APR Indicator Measurement Table at: </w:t>
      </w:r>
      <w:hyperlink w:history="1"/>
      <w:hyperlink r:id="rId12" w:history="1">
        <w:r w:rsidRPr="00845B9B">
          <w:rPr>
            <w:rStyle w:val="Hyperlink"/>
            <w:b/>
            <w:bCs/>
            <w:szCs w:val="16"/>
          </w:rPr>
          <w:t>https://sites.ed.gov/idea/files/2024_Part-B_SPP-APR_Measurement_Table.pdf</w:t>
        </w:r>
      </w:hyperlink>
      <w:r w:rsidRPr="00845B9B">
        <w:rPr>
          <w:b/>
          <w:bCs/>
          <w:szCs w:val="16"/>
        </w:rPr>
        <w:t xml:space="preserve"> </w:t>
      </w:r>
    </w:p>
    <w:p w14:paraId="089CABA4" w14:textId="175A7572" w:rsidR="00D1413B" w:rsidRPr="00D1413B" w:rsidRDefault="0007196B" w:rsidP="00D1413B">
      <w:pPr>
        <w:spacing w:before="0" w:after="120" w:line="276" w:lineRule="auto"/>
        <w:rPr>
          <w:b/>
          <w:bCs/>
        </w:rPr>
      </w:pPr>
      <w:r>
        <w:rPr>
          <w:b/>
          <w:bCs/>
          <w:szCs w:val="16"/>
        </w:rPr>
        <w:t>(</w:t>
      </w:r>
      <w:r w:rsidR="00562B2C">
        <w:rPr>
          <w:b/>
          <w:bCs/>
        </w:rPr>
        <w:t>4</w:t>
      </w:r>
      <w:r>
        <w:rPr>
          <w:b/>
          <w:bCs/>
        </w:rPr>
        <w:t xml:space="preserve">) </w:t>
      </w:r>
      <w:r>
        <w:rPr>
          <w:b/>
        </w:rPr>
        <w:t>This column reflects full correction, which is factored into the scoring only when the compliance data are &gt;=5% and &lt;10% for Indicators 4B, 9, and 10, and &gt;=90% and &lt;95% for Indicators 11, 12, and 13.</w:t>
      </w:r>
      <w:r w:rsidRPr="00CE3AB1">
        <w:rPr>
          <w:b/>
          <w:bCs/>
        </w:rPr>
        <w:t xml:space="preserve"> </w:t>
      </w:r>
    </w:p>
    <w:p w14:paraId="329F2F2C" w14:textId="63E09295" w:rsidR="006A44D8" w:rsidRPr="00845B9B" w:rsidRDefault="006A44D8" w:rsidP="00845B9B">
      <w:pPr>
        <w:spacing w:before="0" w:after="120" w:line="276" w:lineRule="auto"/>
        <w:rPr>
          <w:b/>
          <w:bCs/>
          <w:szCs w:val="16"/>
        </w:rPr>
      </w:pPr>
      <w:r w:rsidRPr="00845B9B">
        <w:rPr>
          <w:b/>
          <w:bCs/>
        </w:rPr>
        <w:br w:type="page"/>
      </w:r>
    </w:p>
    <w:p w14:paraId="594193B2" w14:textId="16D7A99F" w:rsidR="00BE0EEF" w:rsidRDefault="00BE0EEF" w:rsidP="00BE0EEF">
      <w:pPr>
        <w:pStyle w:val="Heading2"/>
      </w:pPr>
      <w:r w:rsidRPr="003E43D9">
        <w:lastRenderedPageBreak/>
        <w:t>Data Rubric</w:t>
      </w:r>
    </w:p>
    <w:p w14:paraId="174BC165" w14:textId="02F99E88" w:rsidR="00D1413B" w:rsidRPr="00D1413B" w:rsidRDefault="00D1413B" w:rsidP="00D1413B">
      <w:pPr>
        <w:rPr>
          <w:b/>
          <w:bCs/>
          <w:sz w:val="18"/>
          <w:szCs w:val="18"/>
        </w:rPr>
      </w:pPr>
      <w:r w:rsidRPr="00D1413B">
        <w:rPr>
          <w:b/>
          <w:bCs/>
          <w:sz w:val="18"/>
          <w:szCs w:val="18"/>
        </w:rPr>
        <w:t>New Mexico</w:t>
      </w:r>
    </w:p>
    <w:p w14:paraId="24531E0C" w14:textId="77777777" w:rsidR="006B6EF0" w:rsidRDefault="006B6EF0" w:rsidP="006B6EF0"/>
    <w:p w14:paraId="27E7D5D5" w14:textId="1037C32A" w:rsidR="00110BB6" w:rsidRPr="00845B9B" w:rsidRDefault="00110BB6" w:rsidP="006B6EF0">
      <w:pPr>
        <w:rPr>
          <w:b/>
          <w:bCs/>
        </w:rPr>
      </w:pPr>
      <w:r w:rsidRPr="00845B9B">
        <w:rPr>
          <w:b/>
          <w:bCs/>
        </w:rPr>
        <w:t>FFY 2022 APR</w:t>
      </w:r>
      <w:r w:rsidR="006B6EF0">
        <w:t xml:space="preserve"> (1)</w:t>
      </w:r>
    </w:p>
    <w:p w14:paraId="09616E16" w14:textId="66FAE548" w:rsidR="006B6EF0" w:rsidRDefault="006B6EF0" w:rsidP="00845B9B">
      <w:r w:rsidRPr="00210AC6">
        <w:rPr>
          <w:rFonts w:eastAsia="Times New Roman" w:cs="Arial"/>
          <w:b/>
          <w:bCs/>
          <w:szCs w:val="16"/>
        </w:rPr>
        <w:t>Part B Timely and Accurate Data -- SPP/APR Data</w:t>
      </w:r>
    </w:p>
    <w:tbl>
      <w:tblPr>
        <w:tblStyle w:val="TableGrid1"/>
        <w:tblW w:w="9824" w:type="dxa"/>
        <w:tblLook w:val="04A0" w:firstRow="1" w:lastRow="0" w:firstColumn="1" w:lastColumn="0" w:noHBand="0" w:noVBand="1"/>
        <w:tblCaption w:val="BRUBCFFYINDVRSTAT"/>
      </w:tblPr>
      <w:tblGrid>
        <w:gridCol w:w="1866"/>
        <w:gridCol w:w="5260"/>
        <w:gridCol w:w="2698"/>
      </w:tblGrid>
      <w:tr w:rsidR="00BE0EEF" w:rsidRPr="00210AC6" w14:paraId="3A3A0C16" w14:textId="77777777" w:rsidTr="00845B9B">
        <w:trPr>
          <w:trHeight w:val="432"/>
        </w:trPr>
        <w:tc>
          <w:tcPr>
            <w:tcW w:w="1866" w:type="dxa"/>
            <w:vAlign w:val="center"/>
            <w:hideMark/>
          </w:tcPr>
          <w:p w14:paraId="68434036" w14:textId="77777777" w:rsidR="00BE0EEF" w:rsidRPr="00210AC6" w:rsidRDefault="00BE0EEF" w:rsidP="006620B0">
            <w:pPr>
              <w:spacing w:before="0" w:after="0"/>
              <w:jc w:val="center"/>
              <w:rPr>
                <w:rFonts w:eastAsia="Times New Roman" w:cs="Arial"/>
                <w:b/>
                <w:bCs/>
                <w:szCs w:val="16"/>
              </w:rPr>
            </w:pPr>
            <w:r w:rsidRPr="00210AC6">
              <w:rPr>
                <w:rFonts w:eastAsia="Times New Roman" w:cs="Arial"/>
                <w:b/>
                <w:bCs/>
                <w:szCs w:val="16"/>
              </w:rPr>
              <w:t>APR Indicator</w:t>
            </w:r>
          </w:p>
        </w:tc>
        <w:tc>
          <w:tcPr>
            <w:tcW w:w="5260" w:type="dxa"/>
            <w:vAlign w:val="center"/>
            <w:hideMark/>
          </w:tcPr>
          <w:p w14:paraId="77033CEB" w14:textId="77777777" w:rsidR="00BE0EEF" w:rsidRPr="00210AC6" w:rsidRDefault="00BE0EEF" w:rsidP="006620B0">
            <w:pPr>
              <w:spacing w:before="0" w:after="0"/>
              <w:jc w:val="center"/>
              <w:rPr>
                <w:rFonts w:eastAsia="Times New Roman" w:cs="Arial"/>
                <w:b/>
                <w:bCs/>
                <w:szCs w:val="16"/>
              </w:rPr>
            </w:pPr>
            <w:r w:rsidRPr="00210AC6">
              <w:rPr>
                <w:rFonts w:eastAsia="Times New Roman" w:cs="Arial"/>
                <w:b/>
                <w:bCs/>
                <w:szCs w:val="16"/>
              </w:rPr>
              <w:t>Valid and Reliable</w:t>
            </w:r>
          </w:p>
        </w:tc>
        <w:tc>
          <w:tcPr>
            <w:tcW w:w="2698" w:type="dxa"/>
            <w:vAlign w:val="center"/>
            <w:hideMark/>
          </w:tcPr>
          <w:p w14:paraId="5244F363" w14:textId="77777777" w:rsidR="00BE0EEF" w:rsidRPr="00210AC6" w:rsidRDefault="00BE0EEF" w:rsidP="006620B0">
            <w:pPr>
              <w:spacing w:before="0" w:after="0"/>
              <w:jc w:val="center"/>
              <w:rPr>
                <w:rFonts w:eastAsia="Times New Roman" w:cs="Arial"/>
                <w:b/>
                <w:bCs/>
                <w:szCs w:val="16"/>
              </w:rPr>
            </w:pPr>
            <w:r w:rsidRPr="00210AC6">
              <w:rPr>
                <w:rFonts w:eastAsia="Times New Roman" w:cs="Arial"/>
                <w:b/>
                <w:bCs/>
                <w:szCs w:val="16"/>
              </w:rPr>
              <w:t>Total</w:t>
            </w:r>
          </w:p>
        </w:tc>
      </w:tr>
      <w:tr w:rsidR="007135ED" w:rsidRPr="00210AC6" w14:paraId="67229BAC" w14:textId="77777777" w:rsidTr="00845B9B">
        <w:trPr>
          <w:trHeight w:val="432"/>
        </w:trPr>
        <w:tc>
          <w:tcPr>
            <w:tcW w:w="1866" w:type="dxa"/>
            <w:vAlign w:val="center"/>
            <w:hideMark/>
          </w:tcPr>
          <w:p w14:paraId="5FEE69C7"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1</w:t>
            </w:r>
          </w:p>
        </w:tc>
        <w:tc>
          <w:tcPr>
            <w:tcW w:w="5260" w:type="dxa"/>
            <w:vAlign w:val="center"/>
            <w:hideMark/>
          </w:tcPr>
          <w:p w14:paraId="585CE390" w14:textId="7E251BE0"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7E92F735" w14:textId="595A48A0"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3EB60AC4" w14:textId="77777777" w:rsidTr="00845B9B">
        <w:trPr>
          <w:trHeight w:val="432"/>
        </w:trPr>
        <w:tc>
          <w:tcPr>
            <w:tcW w:w="1866" w:type="dxa"/>
            <w:vAlign w:val="center"/>
            <w:hideMark/>
          </w:tcPr>
          <w:p w14:paraId="35BAF338"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2</w:t>
            </w:r>
          </w:p>
        </w:tc>
        <w:tc>
          <w:tcPr>
            <w:tcW w:w="5260" w:type="dxa"/>
            <w:vAlign w:val="center"/>
            <w:hideMark/>
          </w:tcPr>
          <w:p w14:paraId="60118E19" w14:textId="7A45D844"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1C853E5C" w14:textId="79D75765"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25CF8C38" w14:textId="77777777" w:rsidTr="00845B9B">
        <w:trPr>
          <w:trHeight w:val="432"/>
        </w:trPr>
        <w:tc>
          <w:tcPr>
            <w:tcW w:w="1866" w:type="dxa"/>
            <w:vAlign w:val="center"/>
            <w:hideMark/>
          </w:tcPr>
          <w:p w14:paraId="68C7D5A5"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3A</w:t>
            </w:r>
          </w:p>
        </w:tc>
        <w:tc>
          <w:tcPr>
            <w:tcW w:w="5260" w:type="dxa"/>
            <w:vAlign w:val="center"/>
            <w:hideMark/>
          </w:tcPr>
          <w:p w14:paraId="555C0FFA" w14:textId="1DF093AF"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47DDDF62" w14:textId="2D82E5CE"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4B04E7EB" w14:textId="77777777" w:rsidTr="00845B9B">
        <w:trPr>
          <w:trHeight w:val="432"/>
        </w:trPr>
        <w:tc>
          <w:tcPr>
            <w:tcW w:w="1866" w:type="dxa"/>
            <w:vAlign w:val="center"/>
            <w:hideMark/>
          </w:tcPr>
          <w:p w14:paraId="2642FD1D"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3B</w:t>
            </w:r>
          </w:p>
        </w:tc>
        <w:tc>
          <w:tcPr>
            <w:tcW w:w="5260" w:type="dxa"/>
            <w:vAlign w:val="center"/>
            <w:hideMark/>
          </w:tcPr>
          <w:p w14:paraId="72F500EC" w14:textId="0E1B423F"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3C315133" w14:textId="2F329A69"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13E4959E" w14:textId="77777777" w:rsidTr="00845B9B">
        <w:trPr>
          <w:trHeight w:val="432"/>
        </w:trPr>
        <w:tc>
          <w:tcPr>
            <w:tcW w:w="1866" w:type="dxa"/>
            <w:vAlign w:val="center"/>
            <w:hideMark/>
          </w:tcPr>
          <w:p w14:paraId="16420CC6"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3C</w:t>
            </w:r>
          </w:p>
        </w:tc>
        <w:tc>
          <w:tcPr>
            <w:tcW w:w="5260" w:type="dxa"/>
            <w:vAlign w:val="center"/>
            <w:hideMark/>
          </w:tcPr>
          <w:p w14:paraId="7EF0B8B4" w14:textId="2E5673AC"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73EADB1B" w14:textId="03228018"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2844CEDC" w14:textId="77777777" w:rsidTr="00845B9B">
        <w:trPr>
          <w:trHeight w:val="432"/>
        </w:trPr>
        <w:tc>
          <w:tcPr>
            <w:tcW w:w="1866" w:type="dxa"/>
            <w:vAlign w:val="center"/>
            <w:hideMark/>
          </w:tcPr>
          <w:p w14:paraId="434C9D26"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3D</w:t>
            </w:r>
          </w:p>
        </w:tc>
        <w:tc>
          <w:tcPr>
            <w:tcW w:w="5260" w:type="dxa"/>
            <w:vAlign w:val="center"/>
            <w:hideMark/>
          </w:tcPr>
          <w:p w14:paraId="6D3590F8" w14:textId="33166A71"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3B0775F3" w14:textId="492F13BA"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0C388C09" w14:textId="77777777" w:rsidTr="00845B9B">
        <w:trPr>
          <w:trHeight w:val="432"/>
        </w:trPr>
        <w:tc>
          <w:tcPr>
            <w:tcW w:w="1866" w:type="dxa"/>
            <w:vAlign w:val="center"/>
            <w:hideMark/>
          </w:tcPr>
          <w:p w14:paraId="72C090C1"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4A</w:t>
            </w:r>
          </w:p>
        </w:tc>
        <w:tc>
          <w:tcPr>
            <w:tcW w:w="5260" w:type="dxa"/>
            <w:vAlign w:val="center"/>
            <w:hideMark/>
          </w:tcPr>
          <w:p w14:paraId="607E3D37" w14:textId="1D2D59CA"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65FF3F9E" w14:textId="6929A481"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189D00EB" w14:textId="77777777" w:rsidTr="00845B9B">
        <w:trPr>
          <w:trHeight w:val="432"/>
        </w:trPr>
        <w:tc>
          <w:tcPr>
            <w:tcW w:w="1866" w:type="dxa"/>
            <w:vAlign w:val="center"/>
            <w:hideMark/>
          </w:tcPr>
          <w:p w14:paraId="7060DD81"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4B</w:t>
            </w:r>
          </w:p>
        </w:tc>
        <w:tc>
          <w:tcPr>
            <w:tcW w:w="5260" w:type="dxa"/>
            <w:vAlign w:val="center"/>
            <w:hideMark/>
          </w:tcPr>
          <w:p w14:paraId="4F1E8C75" w14:textId="28AF9724"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61FF423D" w14:textId="69E7F43F"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7506E39B" w14:textId="77777777" w:rsidTr="00845B9B">
        <w:trPr>
          <w:trHeight w:val="432"/>
        </w:trPr>
        <w:tc>
          <w:tcPr>
            <w:tcW w:w="1866" w:type="dxa"/>
            <w:vAlign w:val="center"/>
            <w:hideMark/>
          </w:tcPr>
          <w:p w14:paraId="5A38FA48"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5</w:t>
            </w:r>
          </w:p>
        </w:tc>
        <w:tc>
          <w:tcPr>
            <w:tcW w:w="5260" w:type="dxa"/>
            <w:vAlign w:val="center"/>
            <w:hideMark/>
          </w:tcPr>
          <w:p w14:paraId="56E67DDD" w14:textId="62C7A4C4"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63775BBA" w14:textId="3962637A"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5377F841" w14:textId="77777777" w:rsidTr="00845B9B">
        <w:trPr>
          <w:trHeight w:val="432"/>
        </w:trPr>
        <w:tc>
          <w:tcPr>
            <w:tcW w:w="1866" w:type="dxa"/>
            <w:vAlign w:val="center"/>
            <w:hideMark/>
          </w:tcPr>
          <w:p w14:paraId="2456A6E0"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6</w:t>
            </w:r>
          </w:p>
        </w:tc>
        <w:tc>
          <w:tcPr>
            <w:tcW w:w="5260" w:type="dxa"/>
            <w:vAlign w:val="center"/>
            <w:hideMark/>
          </w:tcPr>
          <w:p w14:paraId="2B4C92B4" w14:textId="1001CA64"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33A4C720" w14:textId="210A767D"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2AB6FF3A" w14:textId="77777777" w:rsidTr="00845B9B">
        <w:trPr>
          <w:trHeight w:val="432"/>
        </w:trPr>
        <w:tc>
          <w:tcPr>
            <w:tcW w:w="1866" w:type="dxa"/>
            <w:vAlign w:val="center"/>
            <w:hideMark/>
          </w:tcPr>
          <w:p w14:paraId="3C7BC974"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7</w:t>
            </w:r>
          </w:p>
        </w:tc>
        <w:tc>
          <w:tcPr>
            <w:tcW w:w="5260" w:type="dxa"/>
            <w:vAlign w:val="center"/>
            <w:hideMark/>
          </w:tcPr>
          <w:p w14:paraId="73EC39EF" w14:textId="2AD790D6"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48777B03" w14:textId="55F47E9C"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0779C23E" w14:textId="77777777" w:rsidTr="00845B9B">
        <w:trPr>
          <w:trHeight w:val="432"/>
        </w:trPr>
        <w:tc>
          <w:tcPr>
            <w:tcW w:w="1866" w:type="dxa"/>
            <w:vAlign w:val="center"/>
            <w:hideMark/>
          </w:tcPr>
          <w:p w14:paraId="496A2571"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8</w:t>
            </w:r>
          </w:p>
        </w:tc>
        <w:tc>
          <w:tcPr>
            <w:tcW w:w="5260" w:type="dxa"/>
            <w:vAlign w:val="center"/>
            <w:hideMark/>
          </w:tcPr>
          <w:p w14:paraId="082B43EF" w14:textId="5ACD387E"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7ED9E02B" w14:textId="568C62A7"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4AB1D469" w14:textId="77777777" w:rsidTr="00845B9B">
        <w:trPr>
          <w:trHeight w:val="432"/>
        </w:trPr>
        <w:tc>
          <w:tcPr>
            <w:tcW w:w="1866" w:type="dxa"/>
            <w:vAlign w:val="center"/>
            <w:hideMark/>
          </w:tcPr>
          <w:p w14:paraId="651D784C"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9</w:t>
            </w:r>
          </w:p>
        </w:tc>
        <w:tc>
          <w:tcPr>
            <w:tcW w:w="5260" w:type="dxa"/>
            <w:vAlign w:val="center"/>
            <w:hideMark/>
          </w:tcPr>
          <w:p w14:paraId="369CE928" w14:textId="448F558C"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3CA96C70" w14:textId="4C654E07"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69A1B919" w14:textId="77777777" w:rsidTr="00845B9B">
        <w:trPr>
          <w:trHeight w:val="432"/>
        </w:trPr>
        <w:tc>
          <w:tcPr>
            <w:tcW w:w="1866" w:type="dxa"/>
            <w:vAlign w:val="center"/>
            <w:hideMark/>
          </w:tcPr>
          <w:p w14:paraId="232EA42D"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10</w:t>
            </w:r>
          </w:p>
        </w:tc>
        <w:tc>
          <w:tcPr>
            <w:tcW w:w="5260" w:type="dxa"/>
            <w:noWrap/>
            <w:vAlign w:val="center"/>
            <w:hideMark/>
          </w:tcPr>
          <w:p w14:paraId="4F5D18A1" w14:textId="0D0667C6"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4186C0DD" w14:textId="7A9F886A"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58A1305C" w14:textId="77777777" w:rsidTr="00845B9B">
        <w:trPr>
          <w:trHeight w:val="432"/>
        </w:trPr>
        <w:tc>
          <w:tcPr>
            <w:tcW w:w="1866" w:type="dxa"/>
            <w:vAlign w:val="center"/>
            <w:hideMark/>
          </w:tcPr>
          <w:p w14:paraId="7C46D39D"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11</w:t>
            </w:r>
          </w:p>
        </w:tc>
        <w:tc>
          <w:tcPr>
            <w:tcW w:w="5260" w:type="dxa"/>
            <w:vAlign w:val="center"/>
            <w:hideMark/>
          </w:tcPr>
          <w:p w14:paraId="44311E94" w14:textId="0EFD9CDB"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2B6EE703" w14:textId="41414374"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00BEC1BD" w14:textId="77777777" w:rsidTr="00845B9B">
        <w:trPr>
          <w:trHeight w:val="432"/>
        </w:trPr>
        <w:tc>
          <w:tcPr>
            <w:tcW w:w="1866" w:type="dxa"/>
            <w:vAlign w:val="center"/>
            <w:hideMark/>
          </w:tcPr>
          <w:p w14:paraId="3AC92432"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12</w:t>
            </w:r>
          </w:p>
        </w:tc>
        <w:tc>
          <w:tcPr>
            <w:tcW w:w="5260" w:type="dxa"/>
            <w:noWrap/>
            <w:vAlign w:val="center"/>
            <w:hideMark/>
          </w:tcPr>
          <w:p w14:paraId="517E65C9" w14:textId="22367138"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79139EC4" w14:textId="58B023D9"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6208F430" w14:textId="77777777" w:rsidTr="00845B9B">
        <w:trPr>
          <w:trHeight w:val="432"/>
        </w:trPr>
        <w:tc>
          <w:tcPr>
            <w:tcW w:w="1866" w:type="dxa"/>
            <w:vAlign w:val="center"/>
            <w:hideMark/>
          </w:tcPr>
          <w:p w14:paraId="311B1EF1"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13</w:t>
            </w:r>
          </w:p>
        </w:tc>
        <w:tc>
          <w:tcPr>
            <w:tcW w:w="5260" w:type="dxa"/>
            <w:vAlign w:val="center"/>
            <w:hideMark/>
          </w:tcPr>
          <w:p w14:paraId="787ECEA1" w14:textId="72BB8351"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33C9DBFB" w14:textId="006A7124"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755669C6" w14:textId="77777777" w:rsidTr="00845B9B">
        <w:trPr>
          <w:trHeight w:val="432"/>
        </w:trPr>
        <w:tc>
          <w:tcPr>
            <w:tcW w:w="1866" w:type="dxa"/>
            <w:vAlign w:val="center"/>
            <w:hideMark/>
          </w:tcPr>
          <w:p w14:paraId="0C8CC4A2"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14</w:t>
            </w:r>
          </w:p>
        </w:tc>
        <w:tc>
          <w:tcPr>
            <w:tcW w:w="5260" w:type="dxa"/>
            <w:vAlign w:val="center"/>
            <w:hideMark/>
          </w:tcPr>
          <w:p w14:paraId="0F60439C" w14:textId="6F9A8D8B"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7B0E7975" w14:textId="5A277488"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5017B468" w14:textId="77777777" w:rsidTr="00845B9B">
        <w:trPr>
          <w:trHeight w:val="432"/>
        </w:trPr>
        <w:tc>
          <w:tcPr>
            <w:tcW w:w="1866" w:type="dxa"/>
            <w:vAlign w:val="center"/>
            <w:hideMark/>
          </w:tcPr>
          <w:p w14:paraId="0F24BCE8"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15</w:t>
            </w:r>
          </w:p>
        </w:tc>
        <w:tc>
          <w:tcPr>
            <w:tcW w:w="5260" w:type="dxa"/>
            <w:vAlign w:val="center"/>
            <w:hideMark/>
          </w:tcPr>
          <w:p w14:paraId="0F6FBA05" w14:textId="68CE842F"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4C400BF6" w14:textId="5BEBC59F"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480B321C" w14:textId="77777777" w:rsidTr="00845B9B">
        <w:trPr>
          <w:trHeight w:val="432"/>
        </w:trPr>
        <w:tc>
          <w:tcPr>
            <w:tcW w:w="1866" w:type="dxa"/>
            <w:vAlign w:val="center"/>
            <w:hideMark/>
          </w:tcPr>
          <w:p w14:paraId="3870E408"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16</w:t>
            </w:r>
          </w:p>
        </w:tc>
        <w:tc>
          <w:tcPr>
            <w:tcW w:w="5260" w:type="dxa"/>
            <w:vAlign w:val="center"/>
            <w:hideMark/>
          </w:tcPr>
          <w:p w14:paraId="5DE8D01C" w14:textId="2664D1F2"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4784ADC5" w14:textId="255F35D2"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496B687B" w14:textId="77777777" w:rsidTr="00845B9B">
        <w:trPr>
          <w:trHeight w:val="432"/>
        </w:trPr>
        <w:tc>
          <w:tcPr>
            <w:tcW w:w="1866" w:type="dxa"/>
            <w:vAlign w:val="center"/>
            <w:hideMark/>
          </w:tcPr>
          <w:p w14:paraId="708E4A50"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17</w:t>
            </w:r>
          </w:p>
        </w:tc>
        <w:tc>
          <w:tcPr>
            <w:tcW w:w="5260" w:type="dxa"/>
            <w:vAlign w:val="center"/>
            <w:hideMark/>
          </w:tcPr>
          <w:p w14:paraId="1DC5DFB7" w14:textId="43E1F80B"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4B2444AC" w14:textId="3739D8B3" w:rsidR="007135ED" w:rsidRPr="00210AC6" w:rsidRDefault="007135ED" w:rsidP="006620B0">
            <w:pPr>
              <w:spacing w:before="0" w:after="0"/>
              <w:jc w:val="center"/>
              <w:rPr>
                <w:rFonts w:eastAsia="Times New Roman" w:cs="Arial"/>
                <w:szCs w:val="16"/>
              </w:rPr>
            </w:pPr>
            <w:r w:rsidRPr="00210AC6">
              <w:rPr>
                <w:rFonts w:cs="Arial"/>
                <w:szCs w:val="16"/>
              </w:rPr>
              <w:t>1</w:t>
            </w:r>
          </w:p>
        </w:tc>
      </w:tr>
    </w:tbl>
    <w:p w14:paraId="4B6D9F0C" w14:textId="295BC79F" w:rsidR="00570930" w:rsidRDefault="00570930" w:rsidP="00BE0EEF">
      <w:pPr>
        <w:rPr>
          <w:rFonts w:cs="Arial"/>
          <w:szCs w:val="16"/>
        </w:rPr>
      </w:pPr>
    </w:p>
    <w:p w14:paraId="02F3B0C9" w14:textId="2D9C5F68" w:rsidR="006B6EF0" w:rsidRDefault="006B6EF0" w:rsidP="00BD32FB">
      <w:pPr>
        <w:tabs>
          <w:tab w:val="right" w:pos="10800"/>
        </w:tabs>
        <w:rPr>
          <w:rFonts w:cs="Arial"/>
          <w:szCs w:val="16"/>
        </w:rPr>
      </w:pPr>
      <w:r w:rsidRPr="00210AC6">
        <w:rPr>
          <w:rFonts w:eastAsia="Times New Roman" w:cs="Arial"/>
          <w:b/>
          <w:bCs/>
          <w:szCs w:val="16"/>
        </w:rPr>
        <w:t>APR Score Calculation</w:t>
      </w:r>
      <w:r w:rsidR="00C57696">
        <w:rPr>
          <w:rFonts w:eastAsia="Times New Roman" w:cs="Arial"/>
          <w:b/>
          <w:bCs/>
          <w:szCs w:val="16"/>
        </w:rPr>
        <w:tab/>
      </w:r>
    </w:p>
    <w:tbl>
      <w:tblPr>
        <w:tblStyle w:val="TableGrid1"/>
        <w:tblW w:w="9824" w:type="dxa"/>
        <w:tblLook w:val="04A0" w:firstRow="1" w:lastRow="0" w:firstColumn="1" w:lastColumn="0" w:noHBand="0" w:noVBand="1"/>
        <w:tblCaption w:val="BRUBCFFYSCRCALC"/>
      </w:tblPr>
      <w:tblGrid>
        <w:gridCol w:w="6493"/>
        <w:gridCol w:w="3331"/>
      </w:tblGrid>
      <w:tr w:rsidR="006B6EF0" w:rsidRPr="00210AC6" w14:paraId="47AD3A98" w14:textId="77777777" w:rsidTr="00845B9B">
        <w:trPr>
          <w:trHeight w:val="432"/>
        </w:trPr>
        <w:tc>
          <w:tcPr>
            <w:tcW w:w="5260" w:type="dxa"/>
            <w:vAlign w:val="center"/>
            <w:hideMark/>
          </w:tcPr>
          <w:p w14:paraId="145B239F" w14:textId="77777777" w:rsidR="006B6EF0" w:rsidRPr="00210AC6" w:rsidRDefault="006B6EF0" w:rsidP="00845B9B">
            <w:pPr>
              <w:spacing w:before="0" w:after="0"/>
              <w:rPr>
                <w:rFonts w:eastAsia="Times New Roman" w:cs="Arial"/>
                <w:b/>
                <w:bCs/>
                <w:szCs w:val="16"/>
              </w:rPr>
            </w:pPr>
            <w:r w:rsidRPr="00210AC6">
              <w:rPr>
                <w:rFonts w:eastAsia="Times New Roman" w:cs="Arial"/>
                <w:b/>
                <w:bCs/>
                <w:szCs w:val="16"/>
              </w:rPr>
              <w:t>Subtotal</w:t>
            </w:r>
          </w:p>
        </w:tc>
        <w:tc>
          <w:tcPr>
            <w:tcW w:w="2698" w:type="dxa"/>
            <w:vAlign w:val="center"/>
            <w:hideMark/>
          </w:tcPr>
          <w:p w14:paraId="0772517F" w14:textId="77777777" w:rsidR="006B6EF0" w:rsidRPr="00210AC6" w:rsidRDefault="006B6EF0" w:rsidP="00EE6889">
            <w:pPr>
              <w:spacing w:before="0" w:after="0"/>
              <w:jc w:val="center"/>
              <w:rPr>
                <w:rFonts w:eastAsia="Times New Roman" w:cs="Arial"/>
                <w:szCs w:val="16"/>
              </w:rPr>
            </w:pPr>
            <w:r w:rsidRPr="00210AC6">
              <w:rPr>
                <w:rFonts w:cs="Arial"/>
                <w:szCs w:val="16"/>
              </w:rPr>
              <w:t>21</w:t>
            </w:r>
          </w:p>
        </w:tc>
      </w:tr>
      <w:tr w:rsidR="006B6EF0" w:rsidRPr="00210AC6" w14:paraId="713BDF54" w14:textId="77777777" w:rsidTr="00845B9B">
        <w:trPr>
          <w:trHeight w:val="701"/>
        </w:trPr>
        <w:tc>
          <w:tcPr>
            <w:tcW w:w="5260" w:type="dxa"/>
            <w:vAlign w:val="center"/>
            <w:hideMark/>
          </w:tcPr>
          <w:p w14:paraId="5BADC1AB" w14:textId="77777777" w:rsidR="006B6EF0" w:rsidRPr="00210AC6" w:rsidRDefault="006B6EF0" w:rsidP="00EE6889">
            <w:pPr>
              <w:spacing w:before="0" w:after="0"/>
              <w:rPr>
                <w:rFonts w:eastAsia="Times New Roman" w:cs="Arial"/>
                <w:b/>
                <w:bCs/>
                <w:szCs w:val="16"/>
              </w:rPr>
            </w:pPr>
            <w:r w:rsidRPr="00210AC6">
              <w:rPr>
                <w:rFonts w:eastAsia="Times New Roman" w:cs="Arial"/>
                <w:b/>
                <w:bCs/>
                <w:szCs w:val="16"/>
              </w:rPr>
              <w:t xml:space="preserve">Timely Submission Points </w:t>
            </w:r>
            <w:r w:rsidRPr="00210AC6">
              <w:rPr>
                <w:rFonts w:eastAsia="Times New Roman" w:cs="Arial"/>
                <w:szCs w:val="16"/>
              </w:rPr>
              <w:t>-  If the FFY 202</w:t>
            </w:r>
            <w:r>
              <w:rPr>
                <w:rFonts w:eastAsia="Times New Roman" w:cs="Arial"/>
                <w:szCs w:val="16"/>
              </w:rPr>
              <w:t>2</w:t>
            </w:r>
            <w:r w:rsidRPr="00210AC6">
              <w:rPr>
                <w:rFonts w:eastAsia="Times New Roman" w:cs="Arial"/>
                <w:szCs w:val="16"/>
              </w:rPr>
              <w:t xml:space="preserve"> APR was submitted on-time, place the number 5 in the cell on the right.</w:t>
            </w:r>
          </w:p>
        </w:tc>
        <w:tc>
          <w:tcPr>
            <w:tcW w:w="2698" w:type="dxa"/>
            <w:vAlign w:val="center"/>
            <w:hideMark/>
          </w:tcPr>
          <w:p w14:paraId="33EB9EE7" w14:textId="77777777" w:rsidR="006B6EF0" w:rsidRPr="00210AC6" w:rsidRDefault="006B6EF0" w:rsidP="00EE6889">
            <w:pPr>
              <w:spacing w:before="0" w:after="0"/>
              <w:jc w:val="center"/>
              <w:rPr>
                <w:rFonts w:eastAsia="Times New Roman" w:cs="Arial"/>
                <w:szCs w:val="16"/>
              </w:rPr>
            </w:pPr>
            <w:r w:rsidRPr="00210AC6">
              <w:rPr>
                <w:rFonts w:cs="Arial"/>
                <w:szCs w:val="16"/>
              </w:rPr>
              <w:t>5</w:t>
            </w:r>
          </w:p>
        </w:tc>
      </w:tr>
      <w:tr w:rsidR="006B6EF0" w:rsidRPr="00210AC6" w14:paraId="75C39484" w14:textId="77777777" w:rsidTr="00845B9B">
        <w:trPr>
          <w:trHeight w:val="432"/>
        </w:trPr>
        <w:tc>
          <w:tcPr>
            <w:tcW w:w="5260" w:type="dxa"/>
            <w:vAlign w:val="center"/>
            <w:hideMark/>
          </w:tcPr>
          <w:p w14:paraId="20F38A6F" w14:textId="77777777" w:rsidR="006B6EF0" w:rsidRPr="00210AC6" w:rsidRDefault="006B6EF0" w:rsidP="00EE6889">
            <w:pPr>
              <w:spacing w:before="0" w:after="0"/>
              <w:rPr>
                <w:rFonts w:eastAsia="Times New Roman" w:cs="Arial"/>
                <w:b/>
                <w:bCs/>
                <w:szCs w:val="16"/>
              </w:rPr>
            </w:pPr>
            <w:r w:rsidRPr="00210AC6">
              <w:rPr>
                <w:rFonts w:eastAsia="Times New Roman" w:cs="Arial"/>
                <w:b/>
                <w:bCs/>
                <w:szCs w:val="16"/>
              </w:rPr>
              <w:t>Grand Total</w:t>
            </w:r>
            <w:r w:rsidRPr="00210AC6">
              <w:rPr>
                <w:rFonts w:eastAsia="Times New Roman" w:cs="Arial"/>
                <w:szCs w:val="16"/>
              </w:rPr>
              <w:t xml:space="preserve"> - (Sum of </w:t>
            </w:r>
            <w:r>
              <w:rPr>
                <w:rFonts w:eastAsia="Times New Roman" w:cs="Arial"/>
                <w:szCs w:val="16"/>
              </w:rPr>
              <w:t>S</w:t>
            </w:r>
            <w:r w:rsidRPr="00210AC6">
              <w:rPr>
                <w:rFonts w:eastAsia="Times New Roman" w:cs="Arial"/>
                <w:szCs w:val="16"/>
              </w:rPr>
              <w:t>ubtotal and Timely Submission Points) =</w:t>
            </w:r>
          </w:p>
        </w:tc>
        <w:tc>
          <w:tcPr>
            <w:tcW w:w="2698" w:type="dxa"/>
            <w:vAlign w:val="center"/>
            <w:hideMark/>
          </w:tcPr>
          <w:p w14:paraId="3A1293F9" w14:textId="77777777" w:rsidR="006B6EF0" w:rsidRPr="00210AC6" w:rsidRDefault="006B6EF0" w:rsidP="00EE6889">
            <w:pPr>
              <w:spacing w:before="0" w:after="0"/>
              <w:jc w:val="center"/>
              <w:rPr>
                <w:rFonts w:eastAsia="Times New Roman" w:cs="Arial"/>
                <w:szCs w:val="16"/>
              </w:rPr>
            </w:pPr>
            <w:r w:rsidRPr="00210AC6">
              <w:rPr>
                <w:rFonts w:cs="Arial"/>
                <w:szCs w:val="16"/>
              </w:rPr>
              <w:t>26</w:t>
            </w:r>
          </w:p>
        </w:tc>
      </w:tr>
    </w:tbl>
    <w:p w14:paraId="64E8A13E" w14:textId="77777777" w:rsidR="006B6EF0" w:rsidRDefault="006B6EF0" w:rsidP="00BE0EEF">
      <w:pPr>
        <w:rPr>
          <w:rFonts w:cs="Arial"/>
          <w:szCs w:val="16"/>
        </w:rPr>
      </w:pPr>
    </w:p>
    <w:p w14:paraId="0B899F42" w14:textId="20D25269" w:rsidR="006B6EF0" w:rsidRPr="00845B9B" w:rsidRDefault="006B6EF0" w:rsidP="00BE0EEF">
      <w:pPr>
        <w:rPr>
          <w:rFonts w:cs="Arial"/>
          <w:b/>
          <w:bCs/>
          <w:szCs w:val="16"/>
        </w:rPr>
      </w:pPr>
      <w:r w:rsidRPr="00845B9B">
        <w:rPr>
          <w:rFonts w:eastAsia="Times New Roman" w:cs="Arial"/>
          <w:b/>
          <w:bCs/>
          <w:szCs w:val="16"/>
        </w:rPr>
        <w:t>(1) In the SPP/APR Data table, where there is an N/A in the Valid and Reliable column, the Total column will display a 0. This is a change from prior years in display only; all calculation methods are unchanged. An N/A does not negatively affect a State's score; this is because 1 point is subtracted from the Denominator in the Indicator Calculation table for each cell marked as N/A in the SPP/APR Data table.</w:t>
      </w:r>
    </w:p>
    <w:p w14:paraId="4105F8D3" w14:textId="77777777" w:rsidR="00570930" w:rsidRDefault="00570930">
      <w:pPr>
        <w:spacing w:before="0" w:after="200" w:line="276" w:lineRule="auto"/>
        <w:rPr>
          <w:rFonts w:cs="Arial"/>
          <w:szCs w:val="16"/>
        </w:rPr>
      </w:pPr>
      <w:r>
        <w:rPr>
          <w:rFonts w:cs="Arial"/>
          <w:szCs w:val="16"/>
        </w:rPr>
        <w:br w:type="page"/>
      </w:r>
    </w:p>
    <w:p w14:paraId="0BF0A0F6" w14:textId="727DF3E9" w:rsidR="00BE0EEF" w:rsidRPr="00210AC6" w:rsidRDefault="006B6EF0" w:rsidP="00BE0EEF">
      <w:pPr>
        <w:rPr>
          <w:rFonts w:cs="Arial"/>
          <w:szCs w:val="16"/>
        </w:rPr>
      </w:pPr>
      <w:r w:rsidRPr="00210AC6">
        <w:rPr>
          <w:rFonts w:eastAsia="Times New Roman" w:cs="Arial"/>
          <w:b/>
          <w:bCs/>
          <w:szCs w:val="16"/>
        </w:rPr>
        <w:lastRenderedPageBreak/>
        <w:t>618 Data</w:t>
      </w:r>
      <w:r w:rsidRPr="006B6EF0">
        <w:rPr>
          <w:rFonts w:eastAsia="Times New Roman" w:cs="Arial"/>
          <w:szCs w:val="16"/>
        </w:rPr>
        <w:t xml:space="preserve"> (2)</w:t>
      </w:r>
    </w:p>
    <w:tbl>
      <w:tblPr>
        <w:tblStyle w:val="TableGrid1"/>
        <w:tblW w:w="9841" w:type="dxa"/>
        <w:tblLayout w:type="fixed"/>
        <w:tblLook w:val="04A0" w:firstRow="1" w:lastRow="0" w:firstColumn="1" w:lastColumn="0" w:noHBand="0" w:noVBand="1"/>
        <w:tblCaption w:val="BRUBCFFYCOLLSTAT"/>
      </w:tblPr>
      <w:tblGrid>
        <w:gridCol w:w="1968"/>
        <w:gridCol w:w="1968"/>
        <w:gridCol w:w="1968"/>
        <w:gridCol w:w="1968"/>
        <w:gridCol w:w="1969"/>
      </w:tblGrid>
      <w:tr w:rsidR="00210AC6" w:rsidRPr="00210AC6" w14:paraId="1B30C60F" w14:textId="77777777" w:rsidTr="00845B9B">
        <w:trPr>
          <w:trHeight w:val="576"/>
        </w:trPr>
        <w:tc>
          <w:tcPr>
            <w:tcW w:w="1968" w:type="dxa"/>
            <w:vAlign w:val="center"/>
            <w:hideMark/>
          </w:tcPr>
          <w:p w14:paraId="2B94BB69" w14:textId="77777777" w:rsidR="00BE0EEF" w:rsidRPr="00210AC6" w:rsidRDefault="00BE0EEF" w:rsidP="006620B0">
            <w:pPr>
              <w:spacing w:before="0" w:after="0"/>
              <w:jc w:val="center"/>
              <w:rPr>
                <w:rFonts w:eastAsia="Times New Roman" w:cs="Arial"/>
                <w:b/>
                <w:bCs/>
                <w:szCs w:val="16"/>
              </w:rPr>
            </w:pPr>
            <w:r w:rsidRPr="00210AC6">
              <w:rPr>
                <w:rFonts w:eastAsia="Times New Roman" w:cs="Arial"/>
                <w:b/>
                <w:bCs/>
                <w:szCs w:val="16"/>
              </w:rPr>
              <w:t>Table</w:t>
            </w:r>
          </w:p>
        </w:tc>
        <w:tc>
          <w:tcPr>
            <w:tcW w:w="1968" w:type="dxa"/>
            <w:vAlign w:val="center"/>
            <w:hideMark/>
          </w:tcPr>
          <w:p w14:paraId="03E67D32" w14:textId="77777777" w:rsidR="00BE0EEF" w:rsidRPr="00210AC6" w:rsidRDefault="00BE0EEF" w:rsidP="006620B0">
            <w:pPr>
              <w:spacing w:before="0" w:after="0"/>
              <w:jc w:val="center"/>
              <w:rPr>
                <w:rFonts w:eastAsia="Times New Roman" w:cs="Arial"/>
                <w:b/>
                <w:bCs/>
                <w:szCs w:val="16"/>
              </w:rPr>
            </w:pPr>
            <w:r w:rsidRPr="00210AC6">
              <w:rPr>
                <w:rFonts w:eastAsia="Times New Roman" w:cs="Arial"/>
                <w:b/>
                <w:bCs/>
                <w:szCs w:val="16"/>
              </w:rPr>
              <w:t>Timely</w:t>
            </w:r>
          </w:p>
        </w:tc>
        <w:tc>
          <w:tcPr>
            <w:tcW w:w="1968" w:type="dxa"/>
            <w:vAlign w:val="center"/>
            <w:hideMark/>
          </w:tcPr>
          <w:p w14:paraId="3C5D96AB" w14:textId="77777777" w:rsidR="00BE0EEF" w:rsidRPr="00210AC6" w:rsidRDefault="00BE0EEF" w:rsidP="006620B0">
            <w:pPr>
              <w:spacing w:before="0" w:after="0"/>
              <w:jc w:val="center"/>
              <w:rPr>
                <w:rFonts w:eastAsia="Times New Roman" w:cs="Arial"/>
                <w:b/>
                <w:bCs/>
                <w:szCs w:val="16"/>
              </w:rPr>
            </w:pPr>
            <w:r w:rsidRPr="00210AC6">
              <w:rPr>
                <w:rFonts w:eastAsia="Times New Roman" w:cs="Arial"/>
                <w:b/>
                <w:bCs/>
                <w:szCs w:val="16"/>
              </w:rPr>
              <w:t>Complete Data</w:t>
            </w:r>
          </w:p>
        </w:tc>
        <w:tc>
          <w:tcPr>
            <w:tcW w:w="1968" w:type="dxa"/>
            <w:vAlign w:val="center"/>
            <w:hideMark/>
          </w:tcPr>
          <w:p w14:paraId="6D69FE1A" w14:textId="77777777" w:rsidR="00BE0EEF" w:rsidRPr="00210AC6" w:rsidRDefault="00BE0EEF" w:rsidP="006620B0">
            <w:pPr>
              <w:spacing w:before="0" w:after="0"/>
              <w:jc w:val="center"/>
              <w:rPr>
                <w:rFonts w:eastAsia="Times New Roman" w:cs="Arial"/>
                <w:b/>
                <w:bCs/>
                <w:szCs w:val="16"/>
              </w:rPr>
            </w:pPr>
            <w:r w:rsidRPr="00210AC6">
              <w:rPr>
                <w:rFonts w:eastAsia="Times New Roman" w:cs="Arial"/>
                <w:b/>
                <w:bCs/>
                <w:szCs w:val="16"/>
              </w:rPr>
              <w:t>Passed Edit Check</w:t>
            </w:r>
          </w:p>
        </w:tc>
        <w:tc>
          <w:tcPr>
            <w:tcW w:w="1969" w:type="dxa"/>
            <w:vAlign w:val="center"/>
            <w:hideMark/>
          </w:tcPr>
          <w:p w14:paraId="16461F70" w14:textId="77777777" w:rsidR="00BE0EEF" w:rsidRPr="00210AC6" w:rsidRDefault="00BE0EEF" w:rsidP="006620B0">
            <w:pPr>
              <w:spacing w:before="0" w:after="0"/>
              <w:jc w:val="center"/>
              <w:rPr>
                <w:rFonts w:eastAsia="Times New Roman" w:cs="Arial"/>
                <w:b/>
                <w:bCs/>
                <w:szCs w:val="16"/>
              </w:rPr>
            </w:pPr>
            <w:r w:rsidRPr="00210AC6">
              <w:rPr>
                <w:rFonts w:eastAsia="Times New Roman" w:cs="Arial"/>
                <w:b/>
                <w:bCs/>
                <w:szCs w:val="16"/>
              </w:rPr>
              <w:t>Total</w:t>
            </w:r>
          </w:p>
        </w:tc>
      </w:tr>
      <w:tr w:rsidR="00934DC4" w:rsidRPr="00210AC6" w14:paraId="732EE18E" w14:textId="77777777" w:rsidTr="00845B9B">
        <w:trPr>
          <w:trHeight w:val="576"/>
        </w:trPr>
        <w:tc>
          <w:tcPr>
            <w:tcW w:w="1968" w:type="dxa"/>
            <w:vAlign w:val="center"/>
            <w:hideMark/>
          </w:tcPr>
          <w:p w14:paraId="27C353F2" w14:textId="77777777" w:rsidR="006F0B24" w:rsidRDefault="00934DC4" w:rsidP="006620B0">
            <w:pPr>
              <w:spacing w:before="0" w:after="0"/>
              <w:jc w:val="center"/>
              <w:rPr>
                <w:rFonts w:eastAsia="Times New Roman" w:cs="Arial"/>
                <w:b/>
                <w:bCs/>
                <w:szCs w:val="16"/>
              </w:rPr>
            </w:pPr>
            <w:r w:rsidRPr="00210AC6">
              <w:rPr>
                <w:rFonts w:eastAsia="Times New Roman" w:cs="Arial"/>
                <w:b/>
                <w:bCs/>
                <w:szCs w:val="16"/>
              </w:rPr>
              <w:t>Child Count/</w:t>
            </w:r>
          </w:p>
          <w:p w14:paraId="7C54D2F1" w14:textId="4DFA570D" w:rsidR="009926E2" w:rsidRDefault="006F0B24" w:rsidP="006620B0">
            <w:pPr>
              <w:spacing w:before="0" w:after="0"/>
              <w:jc w:val="center"/>
              <w:rPr>
                <w:rFonts w:eastAsia="Times New Roman" w:cs="Arial"/>
                <w:b/>
                <w:bCs/>
                <w:szCs w:val="16"/>
              </w:rPr>
            </w:pPr>
            <w:r w:rsidRPr="00B24034">
              <w:rPr>
                <w:rFonts w:eastAsia="Times New Roman" w:cs="Arial"/>
                <w:b/>
                <w:bCs/>
                <w:szCs w:val="16"/>
              </w:rPr>
              <w:t xml:space="preserve">Ed </w:t>
            </w:r>
            <w:proofErr w:type="spellStart"/>
            <w:r w:rsidRPr="00B24034">
              <w:rPr>
                <w:rFonts w:eastAsia="Times New Roman" w:cs="Arial"/>
                <w:b/>
                <w:bCs/>
                <w:szCs w:val="16"/>
              </w:rPr>
              <w:t>Envs</w:t>
            </w:r>
            <w:proofErr w:type="spellEnd"/>
            <w:r w:rsidRPr="00B24034">
              <w:rPr>
                <w:rFonts w:eastAsia="Times New Roman" w:cs="Arial"/>
                <w:b/>
                <w:bCs/>
                <w:szCs w:val="16"/>
              </w:rPr>
              <w:t xml:space="preserve"> </w:t>
            </w:r>
          </w:p>
          <w:p w14:paraId="392AF408" w14:textId="6B5AC09A" w:rsidR="00934DC4" w:rsidRPr="00210AC6" w:rsidRDefault="00934DC4" w:rsidP="006620B0">
            <w:pPr>
              <w:spacing w:before="0" w:after="0"/>
              <w:jc w:val="center"/>
              <w:rPr>
                <w:rFonts w:eastAsia="Times New Roman" w:cs="Arial"/>
                <w:b/>
                <w:bCs/>
                <w:szCs w:val="16"/>
              </w:rPr>
            </w:pPr>
            <w:r w:rsidRPr="00210AC6">
              <w:rPr>
                <w:rFonts w:eastAsia="Times New Roman" w:cs="Arial"/>
                <w:b/>
                <w:bCs/>
                <w:szCs w:val="16"/>
              </w:rPr>
              <w:t>Due Date: 8/30/23</w:t>
            </w:r>
          </w:p>
        </w:tc>
        <w:tc>
          <w:tcPr>
            <w:tcW w:w="1968" w:type="dxa"/>
            <w:vAlign w:val="center"/>
            <w:hideMark/>
          </w:tcPr>
          <w:p w14:paraId="3FE0B4CB" w14:textId="303091E9"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2A849A14" w14:textId="6E5106CD"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3C17ABEF" w14:textId="5D0E9314"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9" w:type="dxa"/>
            <w:noWrap/>
            <w:vAlign w:val="center"/>
            <w:hideMark/>
          </w:tcPr>
          <w:p w14:paraId="732BD247" w14:textId="5D8F0535" w:rsidR="00934DC4" w:rsidRPr="00210AC6" w:rsidRDefault="00934DC4" w:rsidP="006620B0">
            <w:pPr>
              <w:spacing w:before="0" w:after="0"/>
              <w:jc w:val="center"/>
              <w:rPr>
                <w:rFonts w:eastAsia="Times New Roman" w:cs="Arial"/>
                <w:b/>
                <w:bCs/>
                <w:szCs w:val="16"/>
              </w:rPr>
            </w:pPr>
            <w:r w:rsidRPr="00210AC6">
              <w:rPr>
                <w:rFonts w:cs="Arial"/>
                <w:szCs w:val="16"/>
              </w:rPr>
              <w:t>3</w:t>
            </w:r>
          </w:p>
        </w:tc>
      </w:tr>
      <w:tr w:rsidR="00210AC6" w:rsidRPr="00210AC6" w14:paraId="65D4F6C8" w14:textId="77777777" w:rsidTr="00845B9B">
        <w:trPr>
          <w:trHeight w:val="576"/>
        </w:trPr>
        <w:tc>
          <w:tcPr>
            <w:tcW w:w="1968" w:type="dxa"/>
            <w:vAlign w:val="center"/>
            <w:hideMark/>
          </w:tcPr>
          <w:p w14:paraId="688FF6D9" w14:textId="139BB1FC" w:rsidR="00934DC4" w:rsidRPr="00210AC6" w:rsidRDefault="00934DC4" w:rsidP="006620B0">
            <w:pPr>
              <w:spacing w:before="0" w:after="0"/>
              <w:jc w:val="center"/>
              <w:rPr>
                <w:rFonts w:eastAsia="Times New Roman" w:cs="Arial"/>
                <w:b/>
                <w:bCs/>
                <w:szCs w:val="16"/>
              </w:rPr>
            </w:pPr>
            <w:r w:rsidRPr="00210AC6">
              <w:rPr>
                <w:rFonts w:eastAsia="Times New Roman" w:cs="Arial"/>
                <w:b/>
                <w:bCs/>
                <w:szCs w:val="16"/>
              </w:rPr>
              <w:t>Personnel Due Date: 2/21/24</w:t>
            </w:r>
          </w:p>
        </w:tc>
        <w:tc>
          <w:tcPr>
            <w:tcW w:w="1968" w:type="dxa"/>
            <w:vAlign w:val="center"/>
            <w:hideMark/>
          </w:tcPr>
          <w:p w14:paraId="75FDE32E" w14:textId="4B79AC8A"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280161AF" w14:textId="5A729EB0"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580D47B8" w14:textId="53025EBE"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9" w:type="dxa"/>
            <w:noWrap/>
            <w:vAlign w:val="center"/>
            <w:hideMark/>
          </w:tcPr>
          <w:p w14:paraId="1085532F" w14:textId="524E2D44" w:rsidR="00934DC4" w:rsidRPr="00210AC6" w:rsidRDefault="00934DC4" w:rsidP="006620B0">
            <w:pPr>
              <w:spacing w:before="0" w:after="0"/>
              <w:jc w:val="center"/>
              <w:rPr>
                <w:rFonts w:eastAsia="Times New Roman" w:cs="Arial"/>
                <w:b/>
                <w:bCs/>
                <w:szCs w:val="16"/>
              </w:rPr>
            </w:pPr>
            <w:r w:rsidRPr="00210AC6">
              <w:rPr>
                <w:rFonts w:cs="Arial"/>
                <w:szCs w:val="16"/>
              </w:rPr>
              <w:t>3</w:t>
            </w:r>
          </w:p>
        </w:tc>
      </w:tr>
      <w:tr w:rsidR="00934DC4" w:rsidRPr="00210AC6" w14:paraId="4B088669" w14:textId="77777777" w:rsidTr="00845B9B">
        <w:trPr>
          <w:trHeight w:val="576"/>
        </w:trPr>
        <w:tc>
          <w:tcPr>
            <w:tcW w:w="1968" w:type="dxa"/>
            <w:vAlign w:val="center"/>
            <w:hideMark/>
          </w:tcPr>
          <w:p w14:paraId="360C4627" w14:textId="5707C286" w:rsidR="00934DC4" w:rsidRPr="00210AC6" w:rsidRDefault="00934DC4" w:rsidP="006620B0">
            <w:pPr>
              <w:spacing w:before="0" w:after="0"/>
              <w:jc w:val="center"/>
              <w:rPr>
                <w:rFonts w:eastAsia="Times New Roman" w:cs="Arial"/>
                <w:b/>
                <w:bCs/>
                <w:szCs w:val="16"/>
              </w:rPr>
            </w:pPr>
            <w:r w:rsidRPr="00210AC6">
              <w:rPr>
                <w:rFonts w:eastAsia="Times New Roman" w:cs="Arial"/>
                <w:b/>
                <w:bCs/>
                <w:szCs w:val="16"/>
              </w:rPr>
              <w:t>Exiting Due Date: 2/21/24</w:t>
            </w:r>
          </w:p>
        </w:tc>
        <w:tc>
          <w:tcPr>
            <w:tcW w:w="1968" w:type="dxa"/>
            <w:vAlign w:val="center"/>
            <w:hideMark/>
          </w:tcPr>
          <w:p w14:paraId="0FEC0470" w14:textId="2CF7216B"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6C72EDFD" w14:textId="1E759C58"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1020F0AF" w14:textId="6F5307B8"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9" w:type="dxa"/>
            <w:noWrap/>
            <w:vAlign w:val="center"/>
            <w:hideMark/>
          </w:tcPr>
          <w:p w14:paraId="5ABE2118" w14:textId="4699A88C" w:rsidR="00934DC4" w:rsidRPr="00210AC6" w:rsidRDefault="00934DC4" w:rsidP="006620B0">
            <w:pPr>
              <w:spacing w:before="0" w:after="0"/>
              <w:jc w:val="center"/>
              <w:rPr>
                <w:rFonts w:eastAsia="Times New Roman" w:cs="Arial"/>
                <w:b/>
                <w:bCs/>
                <w:szCs w:val="16"/>
              </w:rPr>
            </w:pPr>
            <w:r w:rsidRPr="00210AC6">
              <w:rPr>
                <w:rFonts w:cs="Arial"/>
                <w:szCs w:val="16"/>
              </w:rPr>
              <w:t>3</w:t>
            </w:r>
          </w:p>
        </w:tc>
      </w:tr>
      <w:tr w:rsidR="00210AC6" w:rsidRPr="00210AC6" w14:paraId="674E0C51" w14:textId="77777777" w:rsidTr="00845B9B">
        <w:trPr>
          <w:trHeight w:val="576"/>
        </w:trPr>
        <w:tc>
          <w:tcPr>
            <w:tcW w:w="1968" w:type="dxa"/>
            <w:vAlign w:val="center"/>
            <w:hideMark/>
          </w:tcPr>
          <w:p w14:paraId="21194B2E" w14:textId="279F9DC6" w:rsidR="00934DC4" w:rsidRPr="00210AC6" w:rsidRDefault="00934DC4" w:rsidP="006620B0">
            <w:pPr>
              <w:spacing w:before="0" w:after="0"/>
              <w:jc w:val="center"/>
              <w:rPr>
                <w:rFonts w:eastAsia="Times New Roman" w:cs="Arial"/>
                <w:b/>
                <w:bCs/>
                <w:szCs w:val="16"/>
              </w:rPr>
            </w:pPr>
            <w:r w:rsidRPr="00210AC6">
              <w:rPr>
                <w:rFonts w:eastAsia="Times New Roman" w:cs="Arial"/>
                <w:b/>
                <w:bCs/>
                <w:szCs w:val="16"/>
              </w:rPr>
              <w:t>Discipline Due Date: 2/21/24</w:t>
            </w:r>
          </w:p>
        </w:tc>
        <w:tc>
          <w:tcPr>
            <w:tcW w:w="1968" w:type="dxa"/>
            <w:vAlign w:val="center"/>
            <w:hideMark/>
          </w:tcPr>
          <w:p w14:paraId="6265DFCD" w14:textId="6A7295B1"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7947AF3C" w14:textId="2C130027"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4E1A82FD" w14:textId="5429E235"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9" w:type="dxa"/>
            <w:noWrap/>
            <w:vAlign w:val="center"/>
            <w:hideMark/>
          </w:tcPr>
          <w:p w14:paraId="6A1FF6DB" w14:textId="36203379" w:rsidR="00934DC4" w:rsidRPr="00210AC6" w:rsidRDefault="00934DC4" w:rsidP="006620B0">
            <w:pPr>
              <w:spacing w:before="0" w:after="0"/>
              <w:jc w:val="center"/>
              <w:rPr>
                <w:rFonts w:eastAsia="Times New Roman" w:cs="Arial"/>
                <w:b/>
                <w:bCs/>
                <w:szCs w:val="16"/>
              </w:rPr>
            </w:pPr>
            <w:r w:rsidRPr="00210AC6">
              <w:rPr>
                <w:rFonts w:cs="Arial"/>
                <w:szCs w:val="16"/>
              </w:rPr>
              <w:t>3</w:t>
            </w:r>
          </w:p>
        </w:tc>
      </w:tr>
      <w:tr w:rsidR="00934DC4" w:rsidRPr="00210AC6" w14:paraId="143C193C" w14:textId="77777777" w:rsidTr="00845B9B">
        <w:trPr>
          <w:trHeight w:val="576"/>
        </w:trPr>
        <w:tc>
          <w:tcPr>
            <w:tcW w:w="1968" w:type="dxa"/>
            <w:vAlign w:val="center"/>
            <w:hideMark/>
          </w:tcPr>
          <w:p w14:paraId="383B7AAF" w14:textId="31747BAA" w:rsidR="00934DC4" w:rsidRPr="00210AC6" w:rsidRDefault="00934DC4" w:rsidP="006620B0">
            <w:pPr>
              <w:spacing w:before="0" w:after="0"/>
              <w:jc w:val="center"/>
              <w:rPr>
                <w:rFonts w:eastAsia="Times New Roman" w:cs="Arial"/>
                <w:b/>
                <w:bCs/>
                <w:szCs w:val="16"/>
              </w:rPr>
            </w:pPr>
            <w:r w:rsidRPr="00210AC6">
              <w:rPr>
                <w:rFonts w:eastAsia="Times New Roman" w:cs="Arial"/>
                <w:b/>
                <w:bCs/>
                <w:szCs w:val="16"/>
              </w:rPr>
              <w:t>State Assessment Due Date: 1/10/24</w:t>
            </w:r>
          </w:p>
        </w:tc>
        <w:tc>
          <w:tcPr>
            <w:tcW w:w="1968" w:type="dxa"/>
            <w:vAlign w:val="center"/>
            <w:hideMark/>
          </w:tcPr>
          <w:p w14:paraId="5CDE5DB2" w14:textId="26881AE0"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59BD5280" w14:textId="7E58B5E0"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4F12D45D" w14:textId="2261B7ED"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9" w:type="dxa"/>
            <w:noWrap/>
            <w:vAlign w:val="center"/>
            <w:hideMark/>
          </w:tcPr>
          <w:p w14:paraId="2069C1CA" w14:textId="5EF430EB" w:rsidR="00934DC4" w:rsidRPr="00210AC6" w:rsidRDefault="00934DC4" w:rsidP="006620B0">
            <w:pPr>
              <w:spacing w:before="0" w:after="0"/>
              <w:jc w:val="center"/>
              <w:rPr>
                <w:rFonts w:eastAsia="Times New Roman" w:cs="Arial"/>
                <w:b/>
                <w:bCs/>
                <w:szCs w:val="16"/>
              </w:rPr>
            </w:pPr>
            <w:r w:rsidRPr="00210AC6">
              <w:rPr>
                <w:rFonts w:cs="Arial"/>
                <w:szCs w:val="16"/>
              </w:rPr>
              <w:t>3</w:t>
            </w:r>
          </w:p>
        </w:tc>
      </w:tr>
      <w:tr w:rsidR="00210AC6" w:rsidRPr="00210AC6" w14:paraId="4565B1AE" w14:textId="77777777" w:rsidTr="00845B9B">
        <w:trPr>
          <w:trHeight w:val="576"/>
        </w:trPr>
        <w:tc>
          <w:tcPr>
            <w:tcW w:w="1968" w:type="dxa"/>
            <w:vAlign w:val="center"/>
            <w:hideMark/>
          </w:tcPr>
          <w:p w14:paraId="60A0C4C6" w14:textId="5CB8EE37" w:rsidR="00934DC4" w:rsidRPr="00210AC6" w:rsidRDefault="00934DC4" w:rsidP="006620B0">
            <w:pPr>
              <w:spacing w:before="0" w:after="0"/>
              <w:jc w:val="center"/>
              <w:rPr>
                <w:rFonts w:eastAsia="Times New Roman" w:cs="Arial"/>
                <w:b/>
                <w:bCs/>
                <w:szCs w:val="16"/>
              </w:rPr>
            </w:pPr>
            <w:r w:rsidRPr="00210AC6">
              <w:rPr>
                <w:rFonts w:eastAsia="Times New Roman" w:cs="Arial"/>
                <w:b/>
                <w:bCs/>
                <w:szCs w:val="16"/>
              </w:rPr>
              <w:t>Dispute Resolution Due Date: 11/15/23</w:t>
            </w:r>
          </w:p>
        </w:tc>
        <w:tc>
          <w:tcPr>
            <w:tcW w:w="1968" w:type="dxa"/>
            <w:vAlign w:val="center"/>
            <w:hideMark/>
          </w:tcPr>
          <w:p w14:paraId="12A9BFB1" w14:textId="52DD7DF5"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152BA206" w14:textId="30A77AAB"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45F386E9" w14:textId="08993D3F"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9" w:type="dxa"/>
            <w:noWrap/>
            <w:vAlign w:val="center"/>
            <w:hideMark/>
          </w:tcPr>
          <w:p w14:paraId="2A8B8478" w14:textId="4853CB93" w:rsidR="00934DC4" w:rsidRPr="00210AC6" w:rsidRDefault="00934DC4" w:rsidP="006620B0">
            <w:pPr>
              <w:spacing w:before="0" w:after="0"/>
              <w:jc w:val="center"/>
              <w:rPr>
                <w:rFonts w:eastAsia="Times New Roman" w:cs="Arial"/>
                <w:b/>
                <w:bCs/>
                <w:szCs w:val="16"/>
              </w:rPr>
            </w:pPr>
            <w:r w:rsidRPr="00210AC6">
              <w:rPr>
                <w:rFonts w:cs="Arial"/>
                <w:szCs w:val="16"/>
              </w:rPr>
              <w:t>3</w:t>
            </w:r>
          </w:p>
        </w:tc>
      </w:tr>
      <w:tr w:rsidR="00934DC4" w:rsidRPr="00210AC6" w14:paraId="5866F31F" w14:textId="77777777" w:rsidTr="00845B9B">
        <w:trPr>
          <w:trHeight w:val="576"/>
        </w:trPr>
        <w:tc>
          <w:tcPr>
            <w:tcW w:w="1968" w:type="dxa"/>
            <w:vAlign w:val="center"/>
            <w:hideMark/>
          </w:tcPr>
          <w:p w14:paraId="695E41FD" w14:textId="3D979C6E" w:rsidR="00934DC4" w:rsidRPr="00210AC6" w:rsidRDefault="00934DC4" w:rsidP="006620B0">
            <w:pPr>
              <w:spacing w:before="0" w:after="0"/>
              <w:jc w:val="center"/>
              <w:rPr>
                <w:rFonts w:eastAsia="Times New Roman" w:cs="Arial"/>
                <w:b/>
                <w:bCs/>
                <w:szCs w:val="16"/>
              </w:rPr>
            </w:pPr>
            <w:r w:rsidRPr="00210AC6">
              <w:rPr>
                <w:rFonts w:eastAsia="Times New Roman" w:cs="Arial"/>
                <w:b/>
                <w:bCs/>
                <w:szCs w:val="16"/>
              </w:rPr>
              <w:t>MOE/CEIS Due Date:  5/3/23</w:t>
            </w:r>
          </w:p>
        </w:tc>
        <w:tc>
          <w:tcPr>
            <w:tcW w:w="1968" w:type="dxa"/>
            <w:vAlign w:val="center"/>
            <w:hideMark/>
          </w:tcPr>
          <w:p w14:paraId="601688AF" w14:textId="21FA0D66"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5B86927D" w14:textId="186FEAC5"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54AEBB59" w14:textId="24F195DC"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9" w:type="dxa"/>
            <w:noWrap/>
            <w:vAlign w:val="center"/>
            <w:hideMark/>
          </w:tcPr>
          <w:p w14:paraId="4E561B6D" w14:textId="41132DB6" w:rsidR="00934DC4" w:rsidRPr="00210AC6" w:rsidRDefault="00934DC4" w:rsidP="006620B0">
            <w:pPr>
              <w:spacing w:before="0" w:after="0"/>
              <w:jc w:val="center"/>
              <w:rPr>
                <w:rFonts w:eastAsia="Times New Roman" w:cs="Arial"/>
                <w:b/>
                <w:bCs/>
                <w:szCs w:val="16"/>
              </w:rPr>
            </w:pPr>
            <w:r w:rsidRPr="00210AC6">
              <w:rPr>
                <w:rFonts w:cs="Arial"/>
                <w:szCs w:val="16"/>
              </w:rPr>
              <w:t>3</w:t>
            </w:r>
          </w:p>
        </w:tc>
      </w:tr>
    </w:tbl>
    <w:p w14:paraId="19908CB5" w14:textId="6E565737" w:rsidR="00570930" w:rsidRDefault="00570930" w:rsidP="00BE0EEF">
      <w:pPr>
        <w:rPr>
          <w:rFonts w:cs="Arial"/>
          <w:color w:val="000000" w:themeColor="text1"/>
          <w:szCs w:val="16"/>
        </w:rPr>
      </w:pPr>
    </w:p>
    <w:p w14:paraId="6353AB86" w14:textId="55E3F0FB" w:rsidR="006B6EF0" w:rsidRDefault="006B6EF0" w:rsidP="00BE0EEF">
      <w:pPr>
        <w:rPr>
          <w:rFonts w:cs="Arial"/>
          <w:color w:val="000000" w:themeColor="text1"/>
          <w:szCs w:val="16"/>
        </w:rPr>
      </w:pPr>
      <w:r w:rsidRPr="00210AC6">
        <w:rPr>
          <w:rFonts w:eastAsia="Times New Roman" w:cs="Arial"/>
          <w:b/>
          <w:bCs/>
          <w:szCs w:val="16"/>
        </w:rPr>
        <w:t>618 Score Calculation</w:t>
      </w:r>
    </w:p>
    <w:tbl>
      <w:tblPr>
        <w:tblStyle w:val="TableGrid1"/>
        <w:tblW w:w="9841" w:type="dxa"/>
        <w:tblLayout w:type="fixed"/>
        <w:tblLook w:val="04A0" w:firstRow="1" w:lastRow="0" w:firstColumn="1" w:lastColumn="0" w:noHBand="0" w:noVBand="1"/>
        <w:tblCaption w:val="BRUBCFFY618SCRCALC"/>
      </w:tblPr>
      <w:tblGrid>
        <w:gridCol w:w="7835"/>
        <w:gridCol w:w="2006"/>
      </w:tblGrid>
      <w:tr w:rsidR="006B6EF0" w:rsidRPr="00210AC6" w14:paraId="5DFF335E" w14:textId="77777777" w:rsidTr="00845B9B">
        <w:trPr>
          <w:trHeight w:val="576"/>
        </w:trPr>
        <w:tc>
          <w:tcPr>
            <w:tcW w:w="7877" w:type="dxa"/>
            <w:vAlign w:val="center"/>
            <w:hideMark/>
          </w:tcPr>
          <w:p w14:paraId="4419B771" w14:textId="77777777" w:rsidR="006B6EF0" w:rsidRPr="00210AC6" w:rsidRDefault="006B6EF0" w:rsidP="00845B9B">
            <w:pPr>
              <w:spacing w:before="0" w:after="0"/>
              <w:rPr>
                <w:rFonts w:eastAsia="Times New Roman" w:cs="Arial"/>
                <w:b/>
                <w:bCs/>
                <w:szCs w:val="16"/>
              </w:rPr>
            </w:pPr>
            <w:r w:rsidRPr="00210AC6">
              <w:rPr>
                <w:rFonts w:eastAsia="Times New Roman" w:cs="Arial"/>
                <w:b/>
                <w:bCs/>
                <w:szCs w:val="16"/>
              </w:rPr>
              <w:t>Subtotal</w:t>
            </w:r>
          </w:p>
        </w:tc>
        <w:tc>
          <w:tcPr>
            <w:tcW w:w="2016" w:type="dxa"/>
            <w:noWrap/>
            <w:vAlign w:val="center"/>
            <w:hideMark/>
          </w:tcPr>
          <w:p w14:paraId="299F43F7" w14:textId="77777777" w:rsidR="006B6EF0" w:rsidRPr="00210AC6" w:rsidRDefault="006B6EF0" w:rsidP="00EE6889">
            <w:pPr>
              <w:spacing w:before="0" w:after="0"/>
              <w:jc w:val="center"/>
              <w:rPr>
                <w:rFonts w:eastAsia="Times New Roman" w:cs="Arial"/>
                <w:szCs w:val="16"/>
              </w:rPr>
            </w:pPr>
            <w:r w:rsidRPr="00210AC6">
              <w:rPr>
                <w:rFonts w:cs="Arial"/>
                <w:szCs w:val="16"/>
              </w:rPr>
              <w:t>21</w:t>
            </w:r>
          </w:p>
        </w:tc>
      </w:tr>
      <w:tr w:rsidR="006B6EF0" w:rsidRPr="00210AC6" w14:paraId="04CC4F36" w14:textId="77777777" w:rsidTr="00845B9B">
        <w:trPr>
          <w:trHeight w:val="576"/>
        </w:trPr>
        <w:tc>
          <w:tcPr>
            <w:tcW w:w="7877" w:type="dxa"/>
            <w:vAlign w:val="center"/>
            <w:hideMark/>
          </w:tcPr>
          <w:p w14:paraId="226298C8" w14:textId="77777777" w:rsidR="006B6EF0" w:rsidRPr="00210AC6" w:rsidRDefault="006B6EF0" w:rsidP="00845B9B">
            <w:pPr>
              <w:spacing w:before="0" w:after="0"/>
              <w:rPr>
                <w:rFonts w:eastAsia="Times New Roman" w:cs="Arial"/>
                <w:b/>
                <w:bCs/>
                <w:szCs w:val="16"/>
              </w:rPr>
            </w:pPr>
            <w:r w:rsidRPr="00210AC6">
              <w:rPr>
                <w:rFonts w:eastAsia="Times New Roman" w:cs="Arial"/>
                <w:b/>
                <w:bCs/>
                <w:szCs w:val="16"/>
              </w:rPr>
              <w:t xml:space="preserve">Grand Total </w:t>
            </w:r>
            <w:r w:rsidRPr="00210AC6">
              <w:rPr>
                <w:rFonts w:eastAsia="Times New Roman" w:cs="Arial"/>
                <w:szCs w:val="16"/>
              </w:rPr>
              <w:t>(Subtotal X 1.23809524) =</w:t>
            </w:r>
          </w:p>
        </w:tc>
        <w:tc>
          <w:tcPr>
            <w:tcW w:w="2016" w:type="dxa"/>
            <w:noWrap/>
            <w:vAlign w:val="center"/>
            <w:hideMark/>
          </w:tcPr>
          <w:p w14:paraId="3B8BFF42" w14:textId="77777777" w:rsidR="006B6EF0" w:rsidRPr="00210AC6" w:rsidRDefault="006B6EF0" w:rsidP="00EE6889">
            <w:pPr>
              <w:spacing w:before="0" w:after="0"/>
              <w:jc w:val="center"/>
              <w:rPr>
                <w:rFonts w:eastAsia="Times New Roman" w:cs="Arial"/>
                <w:szCs w:val="16"/>
              </w:rPr>
            </w:pPr>
            <w:r w:rsidRPr="00210AC6">
              <w:rPr>
                <w:rFonts w:cs="Arial"/>
                <w:szCs w:val="16"/>
              </w:rPr>
              <w:t>26.00</w:t>
            </w:r>
          </w:p>
        </w:tc>
      </w:tr>
    </w:tbl>
    <w:p w14:paraId="1144AD44" w14:textId="77777777" w:rsidR="006B6EF0" w:rsidRDefault="006B6EF0" w:rsidP="00BE0EEF">
      <w:pPr>
        <w:rPr>
          <w:rFonts w:cs="Arial"/>
          <w:color w:val="000000" w:themeColor="text1"/>
          <w:szCs w:val="16"/>
        </w:rPr>
      </w:pPr>
    </w:p>
    <w:p w14:paraId="015CC089" w14:textId="770968E0" w:rsidR="00570930" w:rsidRPr="00845B9B" w:rsidRDefault="006B6EF0">
      <w:pPr>
        <w:spacing w:before="0" w:after="200" w:line="276" w:lineRule="auto"/>
        <w:rPr>
          <w:rFonts w:cs="Arial"/>
          <w:b/>
          <w:bCs/>
          <w:color w:val="000000" w:themeColor="text1"/>
          <w:szCs w:val="16"/>
        </w:rPr>
      </w:pPr>
      <w:r w:rsidRPr="00845B9B">
        <w:rPr>
          <w:rFonts w:cs="Arial"/>
          <w:b/>
          <w:bCs/>
          <w:color w:val="000000" w:themeColor="text1"/>
          <w:szCs w:val="16"/>
        </w:rPr>
        <w:t xml:space="preserve">(2) </w:t>
      </w:r>
      <w:r w:rsidRPr="00845B9B">
        <w:rPr>
          <w:b/>
          <w:bCs/>
          <w:color w:val="000000" w:themeColor="text1"/>
          <w:szCs w:val="16"/>
        </w:rPr>
        <w:t>In the 618 Data table, when calculating the value in the Total column, any N/As in the Timely, Complete Data, or Passed Edit Checks columns are treated as a ‘0’. An N/A does not negatively affect a State's score; this is because 1.23809524 points is subtracted from the Denominator in the Indicator Calculation table for each cell marked as N/A in the 618 Data table.</w:t>
      </w:r>
      <w:r w:rsidR="00570930" w:rsidRPr="00845B9B">
        <w:rPr>
          <w:rFonts w:cs="Arial"/>
          <w:b/>
          <w:bCs/>
          <w:color w:val="000000" w:themeColor="text1"/>
          <w:szCs w:val="16"/>
        </w:rPr>
        <w:br w:type="page"/>
      </w:r>
    </w:p>
    <w:p w14:paraId="13C7AD77" w14:textId="4441E409" w:rsidR="00BE0EEF" w:rsidRDefault="006B6EF0" w:rsidP="00BE0EEF">
      <w:pPr>
        <w:rPr>
          <w:rFonts w:cs="Arial"/>
          <w:color w:val="000000" w:themeColor="text1"/>
          <w:szCs w:val="16"/>
        </w:rPr>
      </w:pPr>
      <w:r w:rsidRPr="00210AC6">
        <w:rPr>
          <w:rFonts w:eastAsia="Times New Roman" w:cs="Arial"/>
          <w:b/>
          <w:bCs/>
          <w:szCs w:val="16"/>
        </w:rPr>
        <w:lastRenderedPageBreak/>
        <w:t>Indicator Calculation</w:t>
      </w:r>
    </w:p>
    <w:tbl>
      <w:tblPr>
        <w:tblStyle w:val="TableGrid1"/>
        <w:tblW w:w="9839" w:type="dxa"/>
        <w:tblLook w:val="04A0" w:firstRow="1" w:lastRow="0" w:firstColumn="1" w:lastColumn="0" w:noHBand="0" w:noVBand="1"/>
        <w:tblCaption w:val="BRUBCFFYINDCALC"/>
      </w:tblPr>
      <w:tblGrid>
        <w:gridCol w:w="6475"/>
        <w:gridCol w:w="3364"/>
      </w:tblGrid>
      <w:tr w:rsidR="00435E51" w:rsidRPr="00210AC6" w14:paraId="2A6102B0" w14:textId="77777777" w:rsidTr="00845B9B">
        <w:trPr>
          <w:trHeight w:val="432"/>
        </w:trPr>
        <w:tc>
          <w:tcPr>
            <w:tcW w:w="6475" w:type="dxa"/>
            <w:vAlign w:val="center"/>
            <w:hideMark/>
          </w:tcPr>
          <w:p w14:paraId="184AC9A0" w14:textId="77777777" w:rsidR="00435E51" w:rsidRPr="00210AC6" w:rsidRDefault="00435E51" w:rsidP="00435E51">
            <w:pPr>
              <w:spacing w:before="0" w:after="0"/>
              <w:rPr>
                <w:rFonts w:eastAsia="Times New Roman" w:cs="Arial"/>
                <w:szCs w:val="16"/>
              </w:rPr>
            </w:pPr>
            <w:r w:rsidRPr="00210AC6">
              <w:rPr>
                <w:rFonts w:eastAsia="Times New Roman" w:cs="Arial"/>
                <w:szCs w:val="16"/>
              </w:rPr>
              <w:t>A. APR Grand Total</w:t>
            </w:r>
          </w:p>
        </w:tc>
        <w:tc>
          <w:tcPr>
            <w:tcW w:w="3364" w:type="dxa"/>
            <w:vAlign w:val="center"/>
            <w:hideMark/>
          </w:tcPr>
          <w:p w14:paraId="0825BA19" w14:textId="54223086" w:rsidR="00435E51" w:rsidRPr="00210AC6" w:rsidRDefault="00435E51" w:rsidP="00435E51">
            <w:pPr>
              <w:spacing w:before="0" w:after="0"/>
              <w:rPr>
                <w:rFonts w:eastAsia="Times New Roman" w:cs="Arial"/>
                <w:szCs w:val="16"/>
              </w:rPr>
            </w:pPr>
            <w:r w:rsidRPr="00210AC6">
              <w:rPr>
                <w:rFonts w:cs="Arial"/>
                <w:szCs w:val="16"/>
              </w:rPr>
              <w:t>26</w:t>
            </w:r>
          </w:p>
        </w:tc>
      </w:tr>
      <w:tr w:rsidR="00435E51" w:rsidRPr="00210AC6" w14:paraId="190B3554" w14:textId="77777777" w:rsidTr="00845B9B">
        <w:trPr>
          <w:trHeight w:val="432"/>
        </w:trPr>
        <w:tc>
          <w:tcPr>
            <w:tcW w:w="6475" w:type="dxa"/>
            <w:vAlign w:val="center"/>
            <w:hideMark/>
          </w:tcPr>
          <w:p w14:paraId="66B0D6DA" w14:textId="77777777" w:rsidR="00435E51" w:rsidRPr="00210AC6" w:rsidRDefault="00435E51" w:rsidP="00435E51">
            <w:pPr>
              <w:spacing w:before="0" w:after="0"/>
              <w:rPr>
                <w:rFonts w:eastAsia="Times New Roman" w:cs="Arial"/>
                <w:szCs w:val="16"/>
              </w:rPr>
            </w:pPr>
            <w:r w:rsidRPr="00210AC6">
              <w:rPr>
                <w:rFonts w:eastAsia="Times New Roman" w:cs="Arial"/>
                <w:szCs w:val="16"/>
              </w:rPr>
              <w:t>B. 618 Grand Total</w:t>
            </w:r>
          </w:p>
        </w:tc>
        <w:tc>
          <w:tcPr>
            <w:tcW w:w="3364" w:type="dxa"/>
            <w:vAlign w:val="center"/>
            <w:hideMark/>
          </w:tcPr>
          <w:p w14:paraId="292F5CE3" w14:textId="3D2DF12B" w:rsidR="00435E51" w:rsidRPr="00210AC6" w:rsidRDefault="00435E51" w:rsidP="00435E51">
            <w:pPr>
              <w:spacing w:before="0" w:after="0"/>
              <w:rPr>
                <w:rFonts w:eastAsia="Times New Roman" w:cs="Arial"/>
                <w:szCs w:val="16"/>
              </w:rPr>
            </w:pPr>
            <w:r w:rsidRPr="00435E51">
              <w:t>26.00</w:t>
            </w:r>
          </w:p>
        </w:tc>
      </w:tr>
      <w:tr w:rsidR="00435E51" w:rsidRPr="00210AC6" w14:paraId="7044E659" w14:textId="77777777" w:rsidTr="00845B9B">
        <w:trPr>
          <w:trHeight w:val="432"/>
        </w:trPr>
        <w:tc>
          <w:tcPr>
            <w:tcW w:w="6475" w:type="dxa"/>
            <w:vAlign w:val="center"/>
            <w:hideMark/>
          </w:tcPr>
          <w:p w14:paraId="5E098838" w14:textId="77777777" w:rsidR="00435E51" w:rsidRPr="00210AC6" w:rsidRDefault="00435E51" w:rsidP="00435E51">
            <w:pPr>
              <w:spacing w:before="0" w:after="0"/>
              <w:rPr>
                <w:rFonts w:eastAsia="Times New Roman" w:cs="Arial"/>
                <w:szCs w:val="16"/>
              </w:rPr>
            </w:pPr>
            <w:r w:rsidRPr="00210AC6">
              <w:rPr>
                <w:rFonts w:eastAsia="Times New Roman" w:cs="Arial"/>
                <w:szCs w:val="16"/>
              </w:rPr>
              <w:t>C. APR Grand Total (A) + 618 Grand Total (B) =</w:t>
            </w:r>
          </w:p>
        </w:tc>
        <w:tc>
          <w:tcPr>
            <w:tcW w:w="3364" w:type="dxa"/>
            <w:vAlign w:val="center"/>
            <w:hideMark/>
          </w:tcPr>
          <w:p w14:paraId="2EBBA8BB" w14:textId="582D281B" w:rsidR="00435E51" w:rsidRPr="00210AC6" w:rsidRDefault="00435E51" w:rsidP="00435E51">
            <w:pPr>
              <w:spacing w:before="0" w:after="0"/>
              <w:rPr>
                <w:rFonts w:eastAsia="Times New Roman" w:cs="Arial"/>
                <w:szCs w:val="16"/>
              </w:rPr>
            </w:pPr>
            <w:r w:rsidRPr="00C1283C">
              <w:t>52.00</w:t>
            </w:r>
          </w:p>
        </w:tc>
      </w:tr>
      <w:tr w:rsidR="00435E51" w:rsidRPr="00210AC6" w14:paraId="6E235E7C" w14:textId="77777777" w:rsidTr="00845B9B">
        <w:trPr>
          <w:trHeight w:val="432"/>
        </w:trPr>
        <w:tc>
          <w:tcPr>
            <w:tcW w:w="6475" w:type="dxa"/>
            <w:vAlign w:val="center"/>
            <w:hideMark/>
          </w:tcPr>
          <w:p w14:paraId="1E45CB10" w14:textId="17EA6D69" w:rsidR="00435E51" w:rsidRPr="00210AC6" w:rsidRDefault="00435E51" w:rsidP="00435E51">
            <w:pPr>
              <w:spacing w:before="0" w:after="0"/>
              <w:jc w:val="right"/>
              <w:rPr>
                <w:rFonts w:eastAsia="Times New Roman" w:cs="Arial"/>
                <w:szCs w:val="16"/>
              </w:rPr>
            </w:pPr>
            <w:r w:rsidRPr="00210AC6">
              <w:rPr>
                <w:rFonts w:eastAsia="Times New Roman" w:cs="Arial"/>
                <w:szCs w:val="16"/>
              </w:rPr>
              <w:t>Total N/A Points in APR Data Table Subtracted from Denominator</w:t>
            </w:r>
          </w:p>
        </w:tc>
        <w:tc>
          <w:tcPr>
            <w:tcW w:w="3364" w:type="dxa"/>
            <w:vAlign w:val="center"/>
            <w:hideMark/>
          </w:tcPr>
          <w:p w14:paraId="768BD97C" w14:textId="60485CAD" w:rsidR="00435E51" w:rsidRPr="00210AC6" w:rsidRDefault="00435E51" w:rsidP="00435E51">
            <w:pPr>
              <w:spacing w:before="0" w:after="0"/>
              <w:rPr>
                <w:rFonts w:eastAsia="Times New Roman" w:cs="Arial"/>
                <w:szCs w:val="16"/>
              </w:rPr>
            </w:pPr>
            <w:r w:rsidRPr="00C1283C">
              <w:t>0</w:t>
            </w:r>
          </w:p>
        </w:tc>
      </w:tr>
      <w:tr w:rsidR="00435E51" w:rsidRPr="00210AC6" w14:paraId="1162D2AC" w14:textId="77777777" w:rsidTr="00845B9B">
        <w:trPr>
          <w:trHeight w:val="432"/>
        </w:trPr>
        <w:tc>
          <w:tcPr>
            <w:tcW w:w="6475" w:type="dxa"/>
            <w:vAlign w:val="center"/>
            <w:hideMark/>
          </w:tcPr>
          <w:p w14:paraId="5DEC9F60" w14:textId="1774125D" w:rsidR="00435E51" w:rsidRPr="00210AC6" w:rsidRDefault="00435E51" w:rsidP="00435E51">
            <w:pPr>
              <w:spacing w:before="0" w:after="0"/>
              <w:jc w:val="right"/>
              <w:rPr>
                <w:rFonts w:eastAsia="Times New Roman" w:cs="Arial"/>
                <w:szCs w:val="16"/>
              </w:rPr>
            </w:pPr>
            <w:r w:rsidRPr="00210AC6">
              <w:rPr>
                <w:rFonts w:eastAsia="Times New Roman" w:cs="Arial"/>
                <w:szCs w:val="16"/>
              </w:rPr>
              <w:t>Total N/A Points in 618 Data Table Subtracted from Denominator</w:t>
            </w:r>
          </w:p>
        </w:tc>
        <w:tc>
          <w:tcPr>
            <w:tcW w:w="3364" w:type="dxa"/>
            <w:vAlign w:val="center"/>
            <w:hideMark/>
          </w:tcPr>
          <w:p w14:paraId="59AB081B" w14:textId="0EC0F562" w:rsidR="00435E51" w:rsidRPr="00210AC6" w:rsidRDefault="00435E51" w:rsidP="00435E51">
            <w:pPr>
              <w:spacing w:before="0" w:after="0"/>
              <w:rPr>
                <w:rFonts w:eastAsia="Times New Roman" w:cs="Arial"/>
                <w:szCs w:val="16"/>
              </w:rPr>
            </w:pPr>
            <w:r w:rsidRPr="00C1283C">
              <w:t>0.00</w:t>
            </w:r>
          </w:p>
        </w:tc>
      </w:tr>
      <w:tr w:rsidR="00435E51" w:rsidRPr="00210AC6" w14:paraId="028FED6F" w14:textId="77777777" w:rsidTr="00845B9B">
        <w:trPr>
          <w:trHeight w:val="432"/>
        </w:trPr>
        <w:tc>
          <w:tcPr>
            <w:tcW w:w="6475" w:type="dxa"/>
            <w:vAlign w:val="center"/>
            <w:hideMark/>
          </w:tcPr>
          <w:p w14:paraId="1738C251" w14:textId="1F807C1C" w:rsidR="00435E51" w:rsidRPr="00210AC6" w:rsidRDefault="00E31D6F" w:rsidP="00435E51">
            <w:pPr>
              <w:spacing w:before="0" w:after="0"/>
              <w:jc w:val="right"/>
              <w:rPr>
                <w:rFonts w:eastAsia="Times New Roman" w:cs="Arial"/>
                <w:b/>
                <w:bCs/>
                <w:szCs w:val="16"/>
              </w:rPr>
            </w:pPr>
            <w:r>
              <w:rPr>
                <w:rFonts w:eastAsia="Times New Roman" w:cs="Arial"/>
                <w:b/>
                <w:bCs/>
                <w:szCs w:val="16"/>
              </w:rPr>
              <w:t>Denominator</w:t>
            </w:r>
          </w:p>
        </w:tc>
        <w:tc>
          <w:tcPr>
            <w:tcW w:w="3364" w:type="dxa"/>
            <w:vAlign w:val="center"/>
            <w:hideMark/>
          </w:tcPr>
          <w:p w14:paraId="778348E2" w14:textId="6564F030" w:rsidR="00435E51" w:rsidRPr="00210AC6" w:rsidRDefault="00435E51" w:rsidP="00435E51">
            <w:pPr>
              <w:spacing w:before="0" w:after="0"/>
              <w:rPr>
                <w:rFonts w:eastAsia="Times New Roman" w:cs="Arial"/>
                <w:szCs w:val="16"/>
              </w:rPr>
            </w:pPr>
            <w:r w:rsidRPr="00C1283C">
              <w:t>52.00</w:t>
            </w:r>
          </w:p>
        </w:tc>
      </w:tr>
      <w:tr w:rsidR="00435E51" w:rsidRPr="00210AC6" w14:paraId="6982C8B2" w14:textId="77777777" w:rsidTr="00845B9B">
        <w:trPr>
          <w:trHeight w:val="432"/>
        </w:trPr>
        <w:tc>
          <w:tcPr>
            <w:tcW w:w="6475" w:type="dxa"/>
            <w:vAlign w:val="center"/>
            <w:hideMark/>
          </w:tcPr>
          <w:p w14:paraId="66945B04" w14:textId="200619E7" w:rsidR="00435E51" w:rsidRPr="00210AC6" w:rsidRDefault="00435E51" w:rsidP="00435E51">
            <w:pPr>
              <w:spacing w:before="0" w:after="0"/>
              <w:rPr>
                <w:rFonts w:eastAsia="Times New Roman" w:cs="Arial"/>
                <w:szCs w:val="16"/>
              </w:rPr>
            </w:pPr>
            <w:r w:rsidRPr="00210AC6">
              <w:rPr>
                <w:rFonts w:eastAsia="Times New Roman" w:cs="Arial"/>
                <w:szCs w:val="16"/>
              </w:rPr>
              <w:t>D. Subtotal (C divided by Denominator) (3) =</w:t>
            </w:r>
          </w:p>
        </w:tc>
        <w:tc>
          <w:tcPr>
            <w:tcW w:w="3364" w:type="dxa"/>
            <w:vAlign w:val="center"/>
            <w:hideMark/>
          </w:tcPr>
          <w:p w14:paraId="6474A249" w14:textId="2043387F" w:rsidR="00435E51" w:rsidRPr="00210AC6" w:rsidRDefault="00435E51" w:rsidP="00435E51">
            <w:pPr>
              <w:spacing w:before="0" w:after="0"/>
              <w:rPr>
                <w:rFonts w:eastAsia="Times New Roman" w:cs="Arial"/>
                <w:szCs w:val="16"/>
              </w:rPr>
            </w:pPr>
            <w:r w:rsidRPr="00C1283C">
              <w:t>1.0000</w:t>
            </w:r>
          </w:p>
        </w:tc>
      </w:tr>
      <w:tr w:rsidR="00435E51" w:rsidRPr="00210AC6" w14:paraId="7D8A43BC" w14:textId="77777777" w:rsidTr="00845B9B">
        <w:trPr>
          <w:trHeight w:val="432"/>
        </w:trPr>
        <w:tc>
          <w:tcPr>
            <w:tcW w:w="6475" w:type="dxa"/>
            <w:vAlign w:val="center"/>
            <w:hideMark/>
          </w:tcPr>
          <w:p w14:paraId="595A505F" w14:textId="77777777" w:rsidR="00435E51" w:rsidRPr="00210AC6" w:rsidRDefault="00435E51" w:rsidP="00435E51">
            <w:pPr>
              <w:spacing w:before="0" w:after="0"/>
              <w:rPr>
                <w:rFonts w:eastAsia="Times New Roman" w:cs="Arial"/>
                <w:szCs w:val="16"/>
              </w:rPr>
            </w:pPr>
            <w:r w:rsidRPr="00210AC6">
              <w:rPr>
                <w:rFonts w:eastAsia="Times New Roman" w:cs="Arial"/>
                <w:szCs w:val="16"/>
              </w:rPr>
              <w:t>E. Indicator Score (Subtotal D x 100) =</w:t>
            </w:r>
          </w:p>
        </w:tc>
        <w:tc>
          <w:tcPr>
            <w:tcW w:w="3364" w:type="dxa"/>
            <w:vAlign w:val="center"/>
            <w:hideMark/>
          </w:tcPr>
          <w:p w14:paraId="78CA2214" w14:textId="6B3E20AB" w:rsidR="00435E51" w:rsidRPr="00210AC6" w:rsidRDefault="00435E51" w:rsidP="00435E51">
            <w:pPr>
              <w:spacing w:before="0" w:after="0"/>
              <w:rPr>
                <w:rFonts w:eastAsia="Times New Roman" w:cs="Arial"/>
                <w:szCs w:val="16"/>
              </w:rPr>
            </w:pPr>
            <w:r w:rsidRPr="00C1283C">
              <w:t>100.00</w:t>
            </w:r>
          </w:p>
        </w:tc>
      </w:tr>
    </w:tbl>
    <w:p w14:paraId="769E196A" w14:textId="77777777" w:rsidR="001853BF" w:rsidRDefault="001853BF" w:rsidP="00B42C5F">
      <w:pPr>
        <w:rPr>
          <w:rFonts w:eastAsia="Times New Roman" w:cs="Arial"/>
          <w:b/>
          <w:bCs/>
          <w:szCs w:val="16"/>
        </w:rPr>
      </w:pPr>
    </w:p>
    <w:p w14:paraId="5EFBC357" w14:textId="251C80C5" w:rsidR="00F02F41" w:rsidRDefault="006B6EF0" w:rsidP="00D12506">
      <w:pPr>
        <w:rPr>
          <w:rFonts w:eastAsia="Times New Roman" w:cs="Arial"/>
          <w:b/>
          <w:bCs/>
          <w:szCs w:val="16"/>
        </w:rPr>
      </w:pPr>
      <w:r>
        <w:rPr>
          <w:rFonts w:eastAsia="Times New Roman" w:cs="Arial"/>
          <w:b/>
          <w:bCs/>
          <w:szCs w:val="16"/>
        </w:rPr>
        <w:t>(3) Note that any cell marked as N/A in the APR Data Table will decrease the denominator by 1, and any cell marked as N/A in the 618 Data Table will decrease the denominator by 1.23809524.</w:t>
      </w:r>
    </w:p>
    <w:p w14:paraId="78EE533A" w14:textId="77777777" w:rsidR="0078594A" w:rsidRDefault="0078594A" w:rsidP="00D12506">
      <w:pPr>
        <w:rPr>
          <w:rFonts w:eastAsia="Times New Roman" w:cs="Arial"/>
          <w:b/>
          <w:bCs/>
          <w:szCs w:val="16"/>
        </w:rPr>
      </w:pPr>
    </w:p>
    <w:p w14:paraId="7D8DC835" w14:textId="77777777" w:rsidR="0078594A" w:rsidRDefault="0078594A" w:rsidP="00D12506">
      <w:pPr>
        <w:rPr>
          <w:rFonts w:eastAsia="Times New Roman" w:cs="Arial"/>
          <w:b/>
          <w:bCs/>
          <w:szCs w:val="16"/>
        </w:rPr>
      </w:pPr>
    </w:p>
    <w:p w14:paraId="7BAA8128" w14:textId="77777777" w:rsidR="0078594A" w:rsidRDefault="0078594A" w:rsidP="00D12506">
      <w:pPr>
        <w:rPr>
          <w:rFonts w:eastAsia="Times New Roman" w:cs="Arial"/>
          <w:b/>
          <w:bCs/>
          <w:szCs w:val="16"/>
        </w:rPr>
      </w:pPr>
    </w:p>
    <w:p w14:paraId="1680CB83" w14:textId="77777777" w:rsidR="0078594A" w:rsidRDefault="0078594A" w:rsidP="00D12506"/>
    <w:p w14:paraId="6EA24703" w14:textId="77777777" w:rsidR="00D84A0A" w:rsidRDefault="00D84A0A" w:rsidP="00D84A0A">
      <w:pPr>
        <w:spacing w:before="0" w:after="200" w:line="276" w:lineRule="auto"/>
      </w:pPr>
    </w:p>
    <w:p w14:paraId="130C5698" w14:textId="7694A105" w:rsidR="00D84A0A" w:rsidRPr="003A34C1" w:rsidRDefault="00D84A0A" w:rsidP="00D84A0A">
      <w:pPr>
        <w:spacing w:before="0" w:after="200" w:line="276" w:lineRule="auto"/>
      </w:pPr>
      <w:r>
        <w:br w:type="page"/>
      </w:r>
    </w:p>
    <w:p w14:paraId="37CA7204" w14:textId="77777777" w:rsidR="004777CA" w:rsidRPr="008A41E6" w:rsidRDefault="004777CA" w:rsidP="004777CA">
      <w:pPr>
        <w:rPr>
          <w:b/>
          <w:bCs/>
          <w:sz w:val="20"/>
          <w:szCs w:val="28"/>
        </w:rPr>
      </w:pPr>
      <w:r w:rsidRPr="008A41E6">
        <w:rPr>
          <w:b/>
          <w:bCs/>
          <w:sz w:val="20"/>
          <w:szCs w:val="28"/>
        </w:rPr>
        <w:lastRenderedPageBreak/>
        <w:t>APR and 618 -Timely and Accurate State Reported Data</w:t>
      </w:r>
    </w:p>
    <w:p w14:paraId="6C84D9C5" w14:textId="77777777" w:rsidR="004777CA" w:rsidRDefault="004777CA" w:rsidP="004777CA"/>
    <w:p w14:paraId="3FA33DFF" w14:textId="5184D4D7" w:rsidR="004777CA" w:rsidRPr="008A41E6" w:rsidRDefault="004777CA" w:rsidP="004777CA">
      <w:pPr>
        <w:rPr>
          <w:b/>
          <w:bCs/>
        </w:rPr>
      </w:pPr>
      <w:r w:rsidRPr="008A41E6">
        <w:rPr>
          <w:b/>
          <w:bCs/>
        </w:rPr>
        <w:t>DATE: February 2024 Submission</w:t>
      </w:r>
    </w:p>
    <w:p w14:paraId="748E3AF9" w14:textId="77777777" w:rsidR="004777CA" w:rsidRDefault="004777CA" w:rsidP="004777CA"/>
    <w:p w14:paraId="51D89716" w14:textId="30A47721" w:rsidR="00EF6405" w:rsidRPr="00EF6405" w:rsidRDefault="00EF6405" w:rsidP="004777CA">
      <w:pPr>
        <w:rPr>
          <w:b/>
          <w:bCs/>
        </w:rPr>
      </w:pPr>
      <w:r w:rsidRPr="00EF6405">
        <w:rPr>
          <w:b/>
          <w:bCs/>
        </w:rPr>
        <w:t>SPP/APR Data</w:t>
      </w:r>
    </w:p>
    <w:p w14:paraId="2BC0BE25" w14:textId="77777777" w:rsidR="00EF6405" w:rsidRDefault="00EF6405" w:rsidP="004777CA"/>
    <w:p w14:paraId="0F794C69" w14:textId="77777777" w:rsidR="004777CA" w:rsidRDefault="004777CA" w:rsidP="004777CA">
      <w:r w:rsidRPr="008A41E6">
        <w:rPr>
          <w:b/>
          <w:bCs/>
        </w:rPr>
        <w:t>1) Valid and Reliable Data</w:t>
      </w:r>
      <w:r w:rsidRPr="008A41E6">
        <w:t xml:space="preserve"> - Data provided are from the correct time period, are consistent with 618 (when appropriate) and the measurement, and are consistent with previous indicator data (unless explained).</w:t>
      </w:r>
    </w:p>
    <w:p w14:paraId="3B7505A0" w14:textId="77777777" w:rsidR="004777CA" w:rsidRDefault="004777CA" w:rsidP="004777CA"/>
    <w:p w14:paraId="1365AEC8" w14:textId="77944949" w:rsidR="004777CA" w:rsidRDefault="004777CA" w:rsidP="004777CA">
      <w:r w:rsidRPr="008A41E6">
        <w:rPr>
          <w:b/>
          <w:bCs/>
        </w:rPr>
        <w:t>Part B 618 Data</w:t>
      </w:r>
    </w:p>
    <w:p w14:paraId="3EEEF876" w14:textId="77777777" w:rsidR="004777CA" w:rsidRDefault="004777CA" w:rsidP="004777CA"/>
    <w:p w14:paraId="5BAC76FC" w14:textId="005D8856" w:rsidR="004777CA" w:rsidRPr="004777CA" w:rsidRDefault="004777CA" w:rsidP="004777CA">
      <w:r w:rsidRPr="004777CA">
        <w:rPr>
          <w:b/>
          <w:bCs/>
        </w:rPr>
        <w:t xml:space="preserve">1) Timely </w:t>
      </w:r>
      <w:r w:rsidRPr="004777CA">
        <w:t xml:space="preserve">–   A State will receive one point if it submits all </w:t>
      </w:r>
      <w:proofErr w:type="spellStart"/>
      <w:r w:rsidRPr="004777CA">
        <w:t>ED</w:t>
      </w:r>
      <w:r w:rsidRPr="00BA3DBE">
        <w:rPr>
          <w:i/>
          <w:iCs/>
        </w:rPr>
        <w:t>Facts</w:t>
      </w:r>
      <w:proofErr w:type="spellEnd"/>
      <w:r w:rsidRPr="004777CA">
        <w:t xml:space="preserve"> files or the entire E</w:t>
      </w:r>
      <w:r w:rsidRPr="00BA3DBE">
        <w:rPr>
          <w:i/>
          <w:iCs/>
        </w:rPr>
        <w:t>MAPS</w:t>
      </w:r>
      <w:r w:rsidRPr="004777CA">
        <w:t xml:space="preserve"> survey associated with the IDEA Section 618 data collection to ED by the initial due date for that collection (as described the table below).    </w:t>
      </w:r>
    </w:p>
    <w:p w14:paraId="1F43F1D5" w14:textId="77777777" w:rsidR="004777CA" w:rsidRDefault="004777CA" w:rsidP="004777CA"/>
    <w:tbl>
      <w:tblPr>
        <w:tblStyle w:val="TableGrid"/>
        <w:tblW w:w="0" w:type="auto"/>
        <w:tblLook w:val="04A0" w:firstRow="1" w:lastRow="0" w:firstColumn="1" w:lastColumn="0" w:noHBand="0" w:noVBand="1"/>
        <w:tblCaption w:val="BRUBCFFYREADME"/>
      </w:tblPr>
      <w:tblGrid>
        <w:gridCol w:w="2605"/>
        <w:gridCol w:w="3617"/>
        <w:gridCol w:w="3618"/>
      </w:tblGrid>
      <w:tr w:rsidR="004777CA" w:rsidRPr="004777CA" w14:paraId="4472B9F9" w14:textId="77777777" w:rsidTr="004777CA">
        <w:trPr>
          <w:trHeight w:val="20"/>
        </w:trPr>
        <w:tc>
          <w:tcPr>
            <w:tcW w:w="2605" w:type="dxa"/>
            <w:hideMark/>
          </w:tcPr>
          <w:p w14:paraId="1648227D" w14:textId="77777777" w:rsidR="004777CA" w:rsidRPr="004777CA" w:rsidRDefault="004777CA" w:rsidP="004777CA">
            <w:pPr>
              <w:rPr>
                <w:b/>
                <w:bCs/>
              </w:rPr>
            </w:pPr>
            <w:r w:rsidRPr="004777CA">
              <w:rPr>
                <w:b/>
                <w:bCs/>
              </w:rPr>
              <w:t>618 Data Collection</w:t>
            </w:r>
          </w:p>
        </w:tc>
        <w:tc>
          <w:tcPr>
            <w:tcW w:w="3617" w:type="dxa"/>
            <w:hideMark/>
          </w:tcPr>
          <w:p w14:paraId="685FDACB" w14:textId="77777777" w:rsidR="004777CA" w:rsidRPr="004777CA" w:rsidRDefault="004777CA">
            <w:pPr>
              <w:rPr>
                <w:b/>
                <w:bCs/>
              </w:rPr>
            </w:pPr>
            <w:proofErr w:type="spellStart"/>
            <w:r w:rsidRPr="004777CA">
              <w:rPr>
                <w:b/>
                <w:bCs/>
              </w:rPr>
              <w:t>ED</w:t>
            </w:r>
            <w:r w:rsidRPr="00BA3DBE">
              <w:rPr>
                <w:b/>
                <w:bCs/>
                <w:i/>
                <w:iCs/>
              </w:rPr>
              <w:t>Facts</w:t>
            </w:r>
            <w:proofErr w:type="spellEnd"/>
            <w:r w:rsidRPr="004777CA">
              <w:rPr>
                <w:b/>
                <w:bCs/>
              </w:rPr>
              <w:t xml:space="preserve"> Files/ E</w:t>
            </w:r>
            <w:r w:rsidRPr="00BA3DBE">
              <w:rPr>
                <w:b/>
                <w:bCs/>
                <w:i/>
                <w:iCs/>
              </w:rPr>
              <w:t>MAPS</w:t>
            </w:r>
            <w:r w:rsidRPr="004777CA">
              <w:rPr>
                <w:b/>
                <w:bCs/>
              </w:rPr>
              <w:t xml:space="preserve"> Survey</w:t>
            </w:r>
          </w:p>
        </w:tc>
        <w:tc>
          <w:tcPr>
            <w:tcW w:w="3618" w:type="dxa"/>
            <w:hideMark/>
          </w:tcPr>
          <w:p w14:paraId="40597F3A" w14:textId="77777777" w:rsidR="004777CA" w:rsidRPr="004777CA" w:rsidRDefault="004777CA">
            <w:pPr>
              <w:rPr>
                <w:b/>
                <w:bCs/>
              </w:rPr>
            </w:pPr>
            <w:r w:rsidRPr="004777CA">
              <w:rPr>
                <w:b/>
                <w:bCs/>
              </w:rPr>
              <w:t>Due Date</w:t>
            </w:r>
          </w:p>
        </w:tc>
      </w:tr>
      <w:tr w:rsidR="004777CA" w:rsidRPr="004777CA" w14:paraId="5AB489B7" w14:textId="77777777" w:rsidTr="004777CA">
        <w:trPr>
          <w:trHeight w:val="20"/>
        </w:trPr>
        <w:tc>
          <w:tcPr>
            <w:tcW w:w="2605" w:type="dxa"/>
            <w:hideMark/>
          </w:tcPr>
          <w:p w14:paraId="00556080" w14:textId="77777777" w:rsidR="004777CA" w:rsidRPr="004777CA" w:rsidRDefault="004777CA">
            <w:r w:rsidRPr="004777CA">
              <w:t>Part B Child Count and Educational Environments</w:t>
            </w:r>
          </w:p>
        </w:tc>
        <w:tc>
          <w:tcPr>
            <w:tcW w:w="3617" w:type="dxa"/>
            <w:hideMark/>
          </w:tcPr>
          <w:p w14:paraId="6663B636" w14:textId="77777777" w:rsidR="004777CA" w:rsidRPr="004777CA" w:rsidRDefault="004777CA">
            <w:r w:rsidRPr="004777CA">
              <w:t>C002 &amp; C089</w:t>
            </w:r>
          </w:p>
        </w:tc>
        <w:tc>
          <w:tcPr>
            <w:tcW w:w="3618" w:type="dxa"/>
            <w:hideMark/>
          </w:tcPr>
          <w:p w14:paraId="1A5219CD" w14:textId="6DFEAC0A" w:rsidR="004777CA" w:rsidRPr="004777CA" w:rsidRDefault="006B068C">
            <w:r>
              <w:t>8/30/2023</w:t>
            </w:r>
          </w:p>
        </w:tc>
      </w:tr>
      <w:tr w:rsidR="004777CA" w:rsidRPr="004777CA" w14:paraId="34F5C842" w14:textId="77777777" w:rsidTr="004777CA">
        <w:trPr>
          <w:trHeight w:val="20"/>
        </w:trPr>
        <w:tc>
          <w:tcPr>
            <w:tcW w:w="2605" w:type="dxa"/>
            <w:hideMark/>
          </w:tcPr>
          <w:p w14:paraId="5B140CD1" w14:textId="77777777" w:rsidR="004777CA" w:rsidRPr="004777CA" w:rsidRDefault="004777CA">
            <w:r w:rsidRPr="004777CA">
              <w:t xml:space="preserve">Part B Personnel </w:t>
            </w:r>
          </w:p>
        </w:tc>
        <w:tc>
          <w:tcPr>
            <w:tcW w:w="3617" w:type="dxa"/>
            <w:hideMark/>
          </w:tcPr>
          <w:p w14:paraId="2B3C97E0" w14:textId="77777777" w:rsidR="004777CA" w:rsidRPr="004777CA" w:rsidRDefault="004777CA">
            <w:r w:rsidRPr="004777CA">
              <w:t>C070, C099, C112</w:t>
            </w:r>
          </w:p>
        </w:tc>
        <w:tc>
          <w:tcPr>
            <w:tcW w:w="3618" w:type="dxa"/>
            <w:hideMark/>
          </w:tcPr>
          <w:p w14:paraId="4E9B4012" w14:textId="3DF1435D" w:rsidR="004777CA" w:rsidRPr="004777CA" w:rsidRDefault="006B068C">
            <w:r>
              <w:t>2/21/2024</w:t>
            </w:r>
          </w:p>
        </w:tc>
      </w:tr>
      <w:tr w:rsidR="006B068C" w:rsidRPr="004777CA" w14:paraId="2A4CEB99" w14:textId="77777777" w:rsidTr="004777CA">
        <w:trPr>
          <w:trHeight w:val="20"/>
        </w:trPr>
        <w:tc>
          <w:tcPr>
            <w:tcW w:w="2605" w:type="dxa"/>
            <w:hideMark/>
          </w:tcPr>
          <w:p w14:paraId="54105E06" w14:textId="77777777" w:rsidR="006B068C" w:rsidRPr="004777CA" w:rsidRDefault="006B068C" w:rsidP="006B068C">
            <w:r w:rsidRPr="004777CA">
              <w:t>Part B Exiting</w:t>
            </w:r>
          </w:p>
        </w:tc>
        <w:tc>
          <w:tcPr>
            <w:tcW w:w="3617" w:type="dxa"/>
            <w:hideMark/>
          </w:tcPr>
          <w:p w14:paraId="12F3E20D" w14:textId="77777777" w:rsidR="006B068C" w:rsidRPr="004777CA" w:rsidRDefault="006B068C" w:rsidP="006B068C">
            <w:r w:rsidRPr="004777CA">
              <w:t>C009</w:t>
            </w:r>
          </w:p>
        </w:tc>
        <w:tc>
          <w:tcPr>
            <w:tcW w:w="3618" w:type="dxa"/>
            <w:hideMark/>
          </w:tcPr>
          <w:p w14:paraId="3133C658" w14:textId="7D4F3A29" w:rsidR="006B068C" w:rsidRPr="004777CA" w:rsidRDefault="006B068C" w:rsidP="006B068C">
            <w:r w:rsidRPr="00546C82">
              <w:t>2/21/2024</w:t>
            </w:r>
          </w:p>
        </w:tc>
      </w:tr>
      <w:tr w:rsidR="006B068C" w:rsidRPr="004777CA" w14:paraId="31D5C68C" w14:textId="77777777" w:rsidTr="004777CA">
        <w:trPr>
          <w:trHeight w:val="20"/>
        </w:trPr>
        <w:tc>
          <w:tcPr>
            <w:tcW w:w="2605" w:type="dxa"/>
            <w:hideMark/>
          </w:tcPr>
          <w:p w14:paraId="63F706F3" w14:textId="77777777" w:rsidR="006B068C" w:rsidRPr="004777CA" w:rsidRDefault="006B068C" w:rsidP="006B068C">
            <w:r w:rsidRPr="004777CA">
              <w:t xml:space="preserve">Part B Discipline </w:t>
            </w:r>
          </w:p>
        </w:tc>
        <w:tc>
          <w:tcPr>
            <w:tcW w:w="3617" w:type="dxa"/>
            <w:hideMark/>
          </w:tcPr>
          <w:p w14:paraId="16D2853A" w14:textId="77777777" w:rsidR="006B068C" w:rsidRPr="004777CA" w:rsidRDefault="006B068C" w:rsidP="006B068C">
            <w:r w:rsidRPr="004777CA">
              <w:t>C005, C006, C007, C088, C143, C144</w:t>
            </w:r>
          </w:p>
        </w:tc>
        <w:tc>
          <w:tcPr>
            <w:tcW w:w="3618" w:type="dxa"/>
            <w:hideMark/>
          </w:tcPr>
          <w:p w14:paraId="254DB998" w14:textId="484C0578" w:rsidR="006B068C" w:rsidRPr="004777CA" w:rsidRDefault="006B068C" w:rsidP="006B068C">
            <w:r w:rsidRPr="00546C82">
              <w:t>2/21/2024</w:t>
            </w:r>
          </w:p>
        </w:tc>
      </w:tr>
      <w:tr w:rsidR="004777CA" w:rsidRPr="004777CA" w14:paraId="2E5FB44E" w14:textId="77777777" w:rsidTr="004777CA">
        <w:trPr>
          <w:trHeight w:val="20"/>
        </w:trPr>
        <w:tc>
          <w:tcPr>
            <w:tcW w:w="2605" w:type="dxa"/>
            <w:hideMark/>
          </w:tcPr>
          <w:p w14:paraId="712EC9E4" w14:textId="77777777" w:rsidR="004777CA" w:rsidRPr="004777CA" w:rsidRDefault="004777CA">
            <w:r w:rsidRPr="004777CA">
              <w:t>Part B Assessment</w:t>
            </w:r>
          </w:p>
        </w:tc>
        <w:tc>
          <w:tcPr>
            <w:tcW w:w="3617" w:type="dxa"/>
            <w:hideMark/>
          </w:tcPr>
          <w:p w14:paraId="2B041249" w14:textId="77777777" w:rsidR="004777CA" w:rsidRPr="004777CA" w:rsidRDefault="004777CA">
            <w:r w:rsidRPr="004777CA">
              <w:t>C175, C178, C185, C188</w:t>
            </w:r>
          </w:p>
        </w:tc>
        <w:tc>
          <w:tcPr>
            <w:tcW w:w="3618" w:type="dxa"/>
            <w:hideMark/>
          </w:tcPr>
          <w:p w14:paraId="563E4812" w14:textId="4985C1F7" w:rsidR="004777CA" w:rsidRPr="004777CA" w:rsidRDefault="006B068C">
            <w:r>
              <w:t>1/10/2024</w:t>
            </w:r>
          </w:p>
        </w:tc>
      </w:tr>
      <w:tr w:rsidR="004777CA" w:rsidRPr="004777CA" w14:paraId="4C08C198" w14:textId="77777777" w:rsidTr="004777CA">
        <w:trPr>
          <w:trHeight w:val="20"/>
        </w:trPr>
        <w:tc>
          <w:tcPr>
            <w:tcW w:w="2605" w:type="dxa"/>
            <w:hideMark/>
          </w:tcPr>
          <w:p w14:paraId="2894DF0B" w14:textId="77777777" w:rsidR="004777CA" w:rsidRPr="004777CA" w:rsidRDefault="004777CA">
            <w:r w:rsidRPr="004777CA">
              <w:t xml:space="preserve">Part B Dispute Resolution </w:t>
            </w:r>
          </w:p>
        </w:tc>
        <w:tc>
          <w:tcPr>
            <w:tcW w:w="3617" w:type="dxa"/>
            <w:hideMark/>
          </w:tcPr>
          <w:p w14:paraId="723D6024" w14:textId="77777777" w:rsidR="004777CA" w:rsidRPr="004777CA" w:rsidRDefault="004777CA">
            <w:r w:rsidRPr="004777CA">
              <w:t>Part B Dispute Resolution Survey in E</w:t>
            </w:r>
            <w:r w:rsidRPr="00CC6999">
              <w:rPr>
                <w:i/>
                <w:iCs/>
              </w:rPr>
              <w:t>MAPS</w:t>
            </w:r>
          </w:p>
        </w:tc>
        <w:tc>
          <w:tcPr>
            <w:tcW w:w="3618" w:type="dxa"/>
            <w:hideMark/>
          </w:tcPr>
          <w:p w14:paraId="379E394B" w14:textId="35C2DF26" w:rsidR="004777CA" w:rsidRPr="004777CA" w:rsidRDefault="006B068C">
            <w:r>
              <w:t>11/15/2023</w:t>
            </w:r>
          </w:p>
        </w:tc>
      </w:tr>
      <w:tr w:rsidR="004777CA" w:rsidRPr="004777CA" w14:paraId="3B69FF00" w14:textId="77777777" w:rsidTr="004777CA">
        <w:trPr>
          <w:trHeight w:val="20"/>
        </w:trPr>
        <w:tc>
          <w:tcPr>
            <w:tcW w:w="2605" w:type="dxa"/>
            <w:hideMark/>
          </w:tcPr>
          <w:p w14:paraId="06F7CBC6" w14:textId="77777777" w:rsidR="004777CA" w:rsidRPr="004777CA" w:rsidRDefault="004777CA">
            <w:r w:rsidRPr="004777CA">
              <w:t>Part B LEA Maintenance of Effort Reduction and Coordinated Early Intervening Services</w:t>
            </w:r>
          </w:p>
        </w:tc>
        <w:tc>
          <w:tcPr>
            <w:tcW w:w="3617" w:type="dxa"/>
            <w:hideMark/>
          </w:tcPr>
          <w:p w14:paraId="6B511F74" w14:textId="77777777" w:rsidR="004777CA" w:rsidRPr="004777CA" w:rsidRDefault="004777CA">
            <w:r w:rsidRPr="004777CA">
              <w:t>Part B MOE Reduction and CEIS Survey in E</w:t>
            </w:r>
            <w:r w:rsidRPr="00CC6999">
              <w:rPr>
                <w:i/>
                <w:iCs/>
              </w:rPr>
              <w:t>MAPS</w:t>
            </w:r>
          </w:p>
        </w:tc>
        <w:tc>
          <w:tcPr>
            <w:tcW w:w="3618" w:type="dxa"/>
            <w:hideMark/>
          </w:tcPr>
          <w:p w14:paraId="22308BA5" w14:textId="365B3A93" w:rsidR="004777CA" w:rsidRPr="004777CA" w:rsidRDefault="006B068C">
            <w:r>
              <w:t>5/3/2023</w:t>
            </w:r>
          </w:p>
        </w:tc>
      </w:tr>
    </w:tbl>
    <w:p w14:paraId="52ACECA5" w14:textId="77777777" w:rsidR="004777CA" w:rsidRDefault="004777CA" w:rsidP="004777CA"/>
    <w:p w14:paraId="4EFF5866" w14:textId="4128FE84" w:rsidR="004777CA" w:rsidRPr="008A41E6" w:rsidRDefault="004777CA" w:rsidP="004777CA">
      <w:pPr>
        <w:rPr>
          <w:b/>
          <w:bCs/>
        </w:rPr>
      </w:pPr>
      <w:r w:rsidRPr="008A41E6">
        <w:rPr>
          <w:b/>
          <w:bCs/>
        </w:rPr>
        <w:t>2) Complete Data</w:t>
      </w:r>
      <w:r w:rsidRPr="008A41E6">
        <w:t xml:space="preserve"> – </w:t>
      </w:r>
      <w:r w:rsidRPr="004777CA">
        <w:t xml:space="preserve">A State will receive one point if it submits data for all files, permitted values, category sets, subtotals, and totals associated with a specific data collection by the initial due date. No data is reported as missing. No placeholder data is submitted. The data submitted to </w:t>
      </w:r>
      <w:proofErr w:type="spellStart"/>
      <w:r w:rsidRPr="004777CA">
        <w:t>ED</w:t>
      </w:r>
      <w:r w:rsidRPr="00BA3DBE">
        <w:rPr>
          <w:i/>
          <w:iCs/>
        </w:rPr>
        <w:t>Facts</w:t>
      </w:r>
      <w:proofErr w:type="spellEnd"/>
      <w:r w:rsidRPr="004777CA">
        <w:t xml:space="preserve"> aligns with the metadata survey responses provided by the state in the State Supplemental Survey IDEA (SSS IDEA) and Assessment Metadata survey in E</w:t>
      </w:r>
      <w:r w:rsidRPr="00CC6999">
        <w:rPr>
          <w:i/>
          <w:iCs/>
        </w:rPr>
        <w:t>MAPS</w:t>
      </w:r>
      <w:r w:rsidRPr="004777CA">
        <w:t>.  State-level data include data from all districts or agencies</w:t>
      </w:r>
      <w:r w:rsidRPr="008A41E6">
        <w:t>.</w:t>
      </w:r>
    </w:p>
    <w:p w14:paraId="34EF2576" w14:textId="77777777" w:rsidR="004777CA" w:rsidRDefault="004777CA" w:rsidP="004777CA"/>
    <w:p w14:paraId="557CE2A1" w14:textId="5CB8EF22" w:rsidR="004777CA" w:rsidRPr="008A41E6" w:rsidRDefault="004777CA" w:rsidP="004777CA">
      <w:pPr>
        <w:rPr>
          <w:b/>
          <w:bCs/>
        </w:rPr>
      </w:pPr>
      <w:r w:rsidRPr="008A41E6">
        <w:rPr>
          <w:b/>
          <w:bCs/>
        </w:rPr>
        <w:t xml:space="preserve">3) Passed Edit Check – </w:t>
      </w:r>
      <w:r w:rsidRPr="008A41E6">
        <w:t xml:space="preserve">A State will receive one point if it submits data that meets all the edit checks related to the specific data collection by the initial due date. The counts included in 618 data submissions are internally consistent within a data collection </w:t>
      </w:r>
    </w:p>
    <w:p w14:paraId="330F0E42" w14:textId="3DBADBBF" w:rsidR="004777CA" w:rsidRDefault="004777CA">
      <w:pPr>
        <w:spacing w:before="0" w:after="200" w:line="276" w:lineRule="auto"/>
      </w:pPr>
      <w:r>
        <w:br w:type="page"/>
      </w:r>
    </w:p>
    <w:p w14:paraId="66EA6C1B" w14:textId="3AB83F96" w:rsidR="0058254D" w:rsidRDefault="0058254D" w:rsidP="0058254D">
      <w:pPr>
        <w:pStyle w:val="Heading2"/>
      </w:pPr>
      <w:r>
        <w:lastRenderedPageBreak/>
        <w:t>Dispute Resolution</w:t>
      </w:r>
    </w:p>
    <w:p w14:paraId="02996E50" w14:textId="77777777" w:rsidR="00EE2E01" w:rsidRPr="007367EC" w:rsidRDefault="00EE2E01" w:rsidP="00EE2E01">
      <w:pPr>
        <w:rPr>
          <w:b/>
          <w:bCs/>
          <w:sz w:val="18"/>
          <w:szCs w:val="24"/>
        </w:rPr>
      </w:pPr>
      <w:r w:rsidRPr="007367EC">
        <w:rPr>
          <w:b/>
          <w:bCs/>
          <w:sz w:val="18"/>
          <w:szCs w:val="24"/>
        </w:rPr>
        <w:t>IDEA Part B</w:t>
      </w:r>
    </w:p>
    <w:p w14:paraId="53299F7E" w14:textId="77777777" w:rsidR="00EE2E01" w:rsidRPr="007367EC" w:rsidRDefault="00EE2E01" w:rsidP="00EE2E01">
      <w:pPr>
        <w:rPr>
          <w:b/>
          <w:bCs/>
          <w:sz w:val="18"/>
          <w:szCs w:val="24"/>
        </w:rPr>
      </w:pPr>
      <w:r w:rsidRPr="007367EC">
        <w:rPr>
          <w:b/>
          <w:bCs/>
          <w:sz w:val="18"/>
          <w:szCs w:val="24"/>
        </w:rPr>
        <w:t>New Mexico</w:t>
      </w:r>
    </w:p>
    <w:p w14:paraId="7ED899F6" w14:textId="77777777" w:rsidR="00EE2E01" w:rsidRPr="007367EC" w:rsidRDefault="00EE2E01" w:rsidP="00EE2E01">
      <w:pPr>
        <w:rPr>
          <w:b/>
          <w:bCs/>
          <w:sz w:val="18"/>
          <w:szCs w:val="24"/>
        </w:rPr>
      </w:pPr>
      <w:r>
        <w:rPr>
          <w:b/>
          <w:bCs/>
          <w:sz w:val="18"/>
          <w:szCs w:val="24"/>
        </w:rPr>
        <w:t xml:space="preserve">School </w:t>
      </w:r>
      <w:r w:rsidRPr="007367EC">
        <w:rPr>
          <w:b/>
          <w:bCs/>
          <w:sz w:val="18"/>
          <w:szCs w:val="24"/>
        </w:rPr>
        <w:t>Year</w:t>
      </w:r>
      <w:r>
        <w:rPr>
          <w:b/>
          <w:bCs/>
          <w:sz w:val="18"/>
          <w:szCs w:val="24"/>
        </w:rPr>
        <w:t>:</w:t>
      </w:r>
      <w:r w:rsidRPr="007367EC">
        <w:rPr>
          <w:b/>
          <w:bCs/>
          <w:sz w:val="18"/>
          <w:szCs w:val="24"/>
        </w:rPr>
        <w:t xml:space="preserve"> 2022-23</w:t>
      </w:r>
    </w:p>
    <w:p w14:paraId="56976681" w14:textId="77777777" w:rsidR="00EE2E01" w:rsidRPr="00320834" w:rsidRDefault="00EE2E01" w:rsidP="00EE2E01"/>
    <w:p w14:paraId="094451B0" w14:textId="77777777" w:rsidR="00EE2E01" w:rsidRDefault="00EE2E01" w:rsidP="00EE2E01">
      <w:pPr>
        <w:spacing w:before="0" w:after="0"/>
        <w:rPr>
          <w:szCs w:val="16"/>
        </w:rPr>
      </w:pPr>
      <w:r>
        <w:rPr>
          <w:szCs w:val="16"/>
        </w:rPr>
        <w:t xml:space="preserve">A zero count should be used when there were no events or occurrences to report in the specific category for the given reporting period. Check “Missing’ if the state did not collect or could not report a count for the specific category. Please provide an explanation for the missing data in the comment box at the top of the page. </w:t>
      </w:r>
    </w:p>
    <w:p w14:paraId="1CFE72DB" w14:textId="77777777" w:rsidR="00EE2E01" w:rsidRDefault="00EE2E01" w:rsidP="00EE2E01">
      <w:pPr>
        <w:rPr>
          <w:rFonts w:cs="Arial"/>
          <w:b/>
          <w:bCs/>
          <w:szCs w:val="16"/>
        </w:rPr>
      </w:pPr>
      <w:r>
        <w:rPr>
          <w:rFonts w:cs="Arial"/>
          <w:b/>
          <w:bCs/>
          <w:szCs w:val="16"/>
        </w:rPr>
        <w:t>Section A: Written, Signed Complaints</w:t>
      </w:r>
    </w:p>
    <w:tbl>
      <w:tblPr>
        <w:tblStyle w:val="TableGrid1"/>
        <w:tblW w:w="5008" w:type="pct"/>
        <w:tblLook w:val="04A0" w:firstRow="1" w:lastRow="0" w:firstColumn="1" w:lastColumn="0" w:noHBand="0" w:noVBand="1"/>
        <w:tblCaption w:val="B03ACPDQ"/>
      </w:tblPr>
      <w:tblGrid>
        <w:gridCol w:w="7986"/>
        <w:gridCol w:w="2821"/>
      </w:tblGrid>
      <w:tr w:rsidR="00EE2E01" w14:paraId="35E1D8F8" w14:textId="77777777" w:rsidTr="00736617">
        <w:trPr>
          <w:trHeight w:val="332"/>
        </w:trPr>
        <w:tc>
          <w:tcPr>
            <w:tcW w:w="3695" w:type="pct"/>
            <w:tcBorders>
              <w:top w:val="single" w:sz="4" w:space="0" w:color="auto"/>
              <w:left w:val="single" w:sz="4" w:space="0" w:color="auto"/>
              <w:bottom w:val="single" w:sz="4" w:space="0" w:color="auto"/>
              <w:right w:val="single" w:sz="4" w:space="0" w:color="auto"/>
            </w:tcBorders>
            <w:hideMark/>
          </w:tcPr>
          <w:p w14:paraId="6888EB96" w14:textId="77777777" w:rsidR="00EE2E01" w:rsidRPr="00A21F84" w:rsidRDefault="00EE2E01" w:rsidP="00736617">
            <w:pPr>
              <w:rPr>
                <w:rFonts w:cs="Arial"/>
                <w:b/>
                <w:bCs/>
                <w:szCs w:val="16"/>
              </w:rPr>
            </w:pPr>
            <w:r>
              <w:rPr>
                <w:rFonts w:cs="Arial"/>
                <w:b/>
                <w:bCs/>
                <w:szCs w:val="16"/>
              </w:rPr>
              <w:t xml:space="preserve">(1) </w:t>
            </w:r>
            <w:r w:rsidRPr="00A21F84">
              <w:rPr>
                <w:rFonts w:cs="Arial"/>
                <w:b/>
                <w:bCs/>
                <w:szCs w:val="16"/>
              </w:rPr>
              <w:t>Total number of written signed complaints filed.</w:t>
            </w:r>
          </w:p>
        </w:tc>
        <w:tc>
          <w:tcPr>
            <w:tcW w:w="1305"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C2C3E3" w14:textId="77777777" w:rsidR="00EE2E01" w:rsidRDefault="00EE2E01" w:rsidP="00736617">
            <w:pPr>
              <w:rPr>
                <w:rFonts w:cs="Arial"/>
                <w:szCs w:val="16"/>
              </w:rPr>
            </w:pPr>
            <w:r>
              <w:rPr>
                <w:rFonts w:cs="Arial"/>
                <w:szCs w:val="16"/>
              </w:rPr>
              <w:t>65</w:t>
            </w:r>
          </w:p>
        </w:tc>
      </w:tr>
      <w:tr w:rsidR="00EE2E01" w14:paraId="7269D6A3" w14:textId="77777777" w:rsidTr="00736617">
        <w:trPr>
          <w:trHeight w:val="332"/>
        </w:trPr>
        <w:tc>
          <w:tcPr>
            <w:tcW w:w="3695" w:type="pct"/>
            <w:tcBorders>
              <w:top w:val="single" w:sz="4" w:space="0" w:color="auto"/>
              <w:left w:val="single" w:sz="4" w:space="0" w:color="auto"/>
              <w:bottom w:val="single" w:sz="4" w:space="0" w:color="auto"/>
              <w:right w:val="single" w:sz="4" w:space="0" w:color="auto"/>
            </w:tcBorders>
            <w:hideMark/>
          </w:tcPr>
          <w:p w14:paraId="344D8573" w14:textId="77777777" w:rsidR="00EE2E01" w:rsidRPr="00E21765" w:rsidRDefault="00EE2E01">
            <w:pPr>
              <w:pStyle w:val="ListParagraph"/>
              <w:numPr>
                <w:ilvl w:val="1"/>
                <w:numId w:val="5"/>
              </w:numPr>
              <w:rPr>
                <w:rFonts w:cs="Arial"/>
                <w:szCs w:val="16"/>
              </w:rPr>
            </w:pPr>
            <w:r w:rsidRPr="00E21765">
              <w:rPr>
                <w:rFonts w:cs="Arial"/>
                <w:szCs w:val="16"/>
              </w:rPr>
              <w:t xml:space="preserve">Complaints with reports issued. </w:t>
            </w:r>
          </w:p>
        </w:tc>
        <w:tc>
          <w:tcPr>
            <w:tcW w:w="1305"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D056113" w14:textId="77777777" w:rsidR="00EE2E01" w:rsidRDefault="00EE2E01" w:rsidP="00736617">
            <w:pPr>
              <w:rPr>
                <w:rFonts w:cs="Arial"/>
                <w:szCs w:val="16"/>
              </w:rPr>
            </w:pPr>
            <w:r>
              <w:rPr>
                <w:rFonts w:cs="Arial"/>
                <w:szCs w:val="16"/>
              </w:rPr>
              <w:t>33</w:t>
            </w:r>
          </w:p>
        </w:tc>
      </w:tr>
      <w:tr w:rsidR="00EE2E01" w14:paraId="064B4642" w14:textId="77777777" w:rsidTr="00736617">
        <w:trPr>
          <w:trHeight w:val="278"/>
        </w:trPr>
        <w:tc>
          <w:tcPr>
            <w:tcW w:w="3695" w:type="pct"/>
            <w:tcBorders>
              <w:top w:val="single" w:sz="4" w:space="0" w:color="auto"/>
              <w:left w:val="single" w:sz="4" w:space="0" w:color="auto"/>
              <w:bottom w:val="single" w:sz="4" w:space="0" w:color="auto"/>
              <w:right w:val="single" w:sz="4" w:space="0" w:color="auto"/>
            </w:tcBorders>
            <w:hideMark/>
          </w:tcPr>
          <w:p w14:paraId="615C2905" w14:textId="77777777" w:rsidR="00EE2E01" w:rsidRPr="00E21765" w:rsidRDefault="00EE2E01">
            <w:pPr>
              <w:pStyle w:val="ListParagraph"/>
              <w:numPr>
                <w:ilvl w:val="1"/>
                <w:numId w:val="7"/>
              </w:numPr>
              <w:rPr>
                <w:rFonts w:cs="Arial"/>
                <w:szCs w:val="16"/>
              </w:rPr>
            </w:pPr>
            <w:r w:rsidRPr="00E21765">
              <w:rPr>
                <w:rFonts w:cs="Arial"/>
                <w:szCs w:val="16"/>
              </w:rPr>
              <w:t>(a) Reports with findings of noncompliance</w:t>
            </w:r>
          </w:p>
        </w:tc>
        <w:tc>
          <w:tcPr>
            <w:tcW w:w="1305"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9E7DC2" w14:textId="77777777" w:rsidR="00EE2E01" w:rsidRDefault="00EE2E01" w:rsidP="00736617">
            <w:pPr>
              <w:rPr>
                <w:rFonts w:cs="Arial"/>
                <w:szCs w:val="16"/>
              </w:rPr>
            </w:pPr>
            <w:r>
              <w:rPr>
                <w:rFonts w:cs="Arial"/>
                <w:szCs w:val="16"/>
              </w:rPr>
              <w:t>28</w:t>
            </w:r>
          </w:p>
        </w:tc>
      </w:tr>
      <w:tr w:rsidR="00EE2E01" w14:paraId="5725356D" w14:textId="77777777" w:rsidTr="00736617">
        <w:trPr>
          <w:trHeight w:val="242"/>
        </w:trPr>
        <w:tc>
          <w:tcPr>
            <w:tcW w:w="3695" w:type="pct"/>
            <w:tcBorders>
              <w:top w:val="single" w:sz="4" w:space="0" w:color="auto"/>
              <w:left w:val="single" w:sz="4" w:space="0" w:color="auto"/>
              <w:bottom w:val="single" w:sz="4" w:space="0" w:color="auto"/>
              <w:right w:val="single" w:sz="4" w:space="0" w:color="auto"/>
            </w:tcBorders>
            <w:hideMark/>
          </w:tcPr>
          <w:p w14:paraId="10D31018" w14:textId="77777777" w:rsidR="00EE2E01" w:rsidRPr="002E5FC0" w:rsidRDefault="00EE2E01" w:rsidP="00736617">
            <w:pPr>
              <w:rPr>
                <w:rFonts w:cs="Arial"/>
                <w:szCs w:val="16"/>
              </w:rPr>
            </w:pPr>
            <w:r>
              <w:rPr>
                <w:rFonts w:cs="Arial"/>
                <w:szCs w:val="16"/>
              </w:rPr>
              <w:t xml:space="preserve">(1.1) (b) </w:t>
            </w:r>
            <w:r w:rsidRPr="002E5FC0">
              <w:rPr>
                <w:rFonts w:cs="Arial"/>
                <w:szCs w:val="16"/>
              </w:rPr>
              <w:t>Reports within timelines</w:t>
            </w:r>
          </w:p>
        </w:tc>
        <w:tc>
          <w:tcPr>
            <w:tcW w:w="1305"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C1D3274" w14:textId="77777777" w:rsidR="00EE2E01" w:rsidRDefault="00EE2E01" w:rsidP="00736617">
            <w:pPr>
              <w:rPr>
                <w:rFonts w:cs="Arial"/>
                <w:szCs w:val="16"/>
              </w:rPr>
            </w:pPr>
            <w:r>
              <w:rPr>
                <w:rFonts w:cs="Arial"/>
                <w:szCs w:val="16"/>
              </w:rPr>
              <w:t>28</w:t>
            </w:r>
          </w:p>
        </w:tc>
      </w:tr>
      <w:tr w:rsidR="00EE2E01" w14:paraId="3A4A4E1C" w14:textId="77777777" w:rsidTr="00736617">
        <w:trPr>
          <w:trHeight w:val="242"/>
        </w:trPr>
        <w:tc>
          <w:tcPr>
            <w:tcW w:w="3695" w:type="pct"/>
            <w:tcBorders>
              <w:top w:val="single" w:sz="4" w:space="0" w:color="auto"/>
              <w:left w:val="single" w:sz="4" w:space="0" w:color="auto"/>
              <w:bottom w:val="single" w:sz="4" w:space="0" w:color="auto"/>
              <w:right w:val="single" w:sz="4" w:space="0" w:color="auto"/>
            </w:tcBorders>
            <w:hideMark/>
          </w:tcPr>
          <w:p w14:paraId="497F73A9" w14:textId="77777777" w:rsidR="00EE2E01" w:rsidRPr="00E21765" w:rsidRDefault="00EE2E01">
            <w:pPr>
              <w:pStyle w:val="ListParagraph"/>
              <w:numPr>
                <w:ilvl w:val="1"/>
                <w:numId w:val="6"/>
              </w:numPr>
              <w:rPr>
                <w:rFonts w:cs="Arial"/>
                <w:szCs w:val="16"/>
              </w:rPr>
            </w:pPr>
            <w:r>
              <w:rPr>
                <w:rFonts w:cs="Arial"/>
                <w:szCs w:val="16"/>
              </w:rPr>
              <w:t xml:space="preserve">(c) </w:t>
            </w:r>
            <w:r w:rsidRPr="00E21765">
              <w:rPr>
                <w:rFonts w:cs="Arial"/>
                <w:szCs w:val="16"/>
              </w:rPr>
              <w:t>Reports within extended timelines</w:t>
            </w:r>
          </w:p>
        </w:tc>
        <w:tc>
          <w:tcPr>
            <w:tcW w:w="1305"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984E4CD" w14:textId="77777777" w:rsidR="00EE2E01" w:rsidRDefault="00EE2E01" w:rsidP="00736617">
            <w:pPr>
              <w:rPr>
                <w:rFonts w:cs="Arial"/>
                <w:szCs w:val="16"/>
              </w:rPr>
            </w:pPr>
            <w:r>
              <w:rPr>
                <w:rFonts w:cs="Arial"/>
                <w:szCs w:val="16"/>
              </w:rPr>
              <w:t>5</w:t>
            </w:r>
          </w:p>
        </w:tc>
      </w:tr>
      <w:tr w:rsidR="00EE2E01" w14:paraId="043689AC" w14:textId="77777777" w:rsidTr="00736617">
        <w:trPr>
          <w:trHeight w:val="242"/>
        </w:trPr>
        <w:tc>
          <w:tcPr>
            <w:tcW w:w="3695" w:type="pct"/>
            <w:tcBorders>
              <w:top w:val="single" w:sz="4" w:space="0" w:color="auto"/>
              <w:left w:val="single" w:sz="4" w:space="0" w:color="auto"/>
              <w:bottom w:val="single" w:sz="4" w:space="0" w:color="auto"/>
              <w:right w:val="single" w:sz="4" w:space="0" w:color="auto"/>
            </w:tcBorders>
            <w:hideMark/>
          </w:tcPr>
          <w:p w14:paraId="4FA36682" w14:textId="77777777" w:rsidR="00EE2E01" w:rsidRPr="00E21765" w:rsidRDefault="00EE2E01">
            <w:pPr>
              <w:pStyle w:val="ListParagraph"/>
              <w:numPr>
                <w:ilvl w:val="1"/>
                <w:numId w:val="6"/>
              </w:numPr>
              <w:rPr>
                <w:rFonts w:cs="Arial"/>
                <w:szCs w:val="16"/>
              </w:rPr>
            </w:pPr>
            <w:r w:rsidRPr="00E21765">
              <w:rPr>
                <w:rFonts w:cs="Arial"/>
                <w:szCs w:val="16"/>
              </w:rPr>
              <w:t xml:space="preserve">Complaints pending. </w:t>
            </w:r>
          </w:p>
        </w:tc>
        <w:tc>
          <w:tcPr>
            <w:tcW w:w="1305"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A05700" w14:textId="77777777" w:rsidR="00EE2E01" w:rsidRDefault="00EE2E01" w:rsidP="00736617">
            <w:pPr>
              <w:rPr>
                <w:rFonts w:cs="Arial"/>
                <w:szCs w:val="16"/>
              </w:rPr>
            </w:pPr>
            <w:r>
              <w:rPr>
                <w:rFonts w:cs="Arial"/>
                <w:szCs w:val="16"/>
              </w:rPr>
              <w:t>0</w:t>
            </w:r>
          </w:p>
        </w:tc>
      </w:tr>
      <w:tr w:rsidR="00EE2E01" w14:paraId="6C99942B" w14:textId="77777777" w:rsidTr="00736617">
        <w:trPr>
          <w:trHeight w:val="242"/>
        </w:trPr>
        <w:tc>
          <w:tcPr>
            <w:tcW w:w="3695" w:type="pct"/>
            <w:tcBorders>
              <w:top w:val="single" w:sz="4" w:space="0" w:color="auto"/>
              <w:left w:val="single" w:sz="4" w:space="0" w:color="auto"/>
              <w:bottom w:val="single" w:sz="4" w:space="0" w:color="auto"/>
              <w:right w:val="single" w:sz="4" w:space="0" w:color="auto"/>
            </w:tcBorders>
            <w:hideMark/>
          </w:tcPr>
          <w:p w14:paraId="3B4C49D3" w14:textId="77777777" w:rsidR="00EE2E01" w:rsidRPr="00E21765" w:rsidRDefault="00EE2E01" w:rsidP="00736617">
            <w:pPr>
              <w:rPr>
                <w:rFonts w:cs="Arial"/>
                <w:szCs w:val="16"/>
              </w:rPr>
            </w:pPr>
            <w:r w:rsidRPr="00E21765">
              <w:rPr>
                <w:rFonts w:cs="Arial"/>
                <w:szCs w:val="16"/>
              </w:rPr>
              <w:t>(1</w:t>
            </w:r>
            <w:r>
              <w:rPr>
                <w:rFonts w:cs="Arial"/>
                <w:szCs w:val="16"/>
              </w:rPr>
              <w:t xml:space="preserve">.2) </w:t>
            </w:r>
            <w:r w:rsidRPr="00E21765">
              <w:rPr>
                <w:rFonts w:cs="Arial"/>
                <w:szCs w:val="16"/>
              </w:rPr>
              <w:t xml:space="preserve">(a) Complaints pending a due process hearing. </w:t>
            </w:r>
          </w:p>
        </w:tc>
        <w:tc>
          <w:tcPr>
            <w:tcW w:w="1305"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8B90249" w14:textId="77777777" w:rsidR="00EE2E01" w:rsidRDefault="00EE2E01" w:rsidP="00736617">
            <w:pPr>
              <w:rPr>
                <w:rFonts w:cs="Arial"/>
                <w:szCs w:val="16"/>
              </w:rPr>
            </w:pPr>
            <w:r>
              <w:rPr>
                <w:rFonts w:cs="Arial"/>
                <w:szCs w:val="16"/>
              </w:rPr>
              <w:t>0</w:t>
            </w:r>
          </w:p>
        </w:tc>
      </w:tr>
      <w:tr w:rsidR="00EE2E01" w14:paraId="60DE7FD5" w14:textId="77777777" w:rsidTr="00736617">
        <w:trPr>
          <w:trHeight w:val="242"/>
        </w:trPr>
        <w:tc>
          <w:tcPr>
            <w:tcW w:w="3695" w:type="pct"/>
            <w:tcBorders>
              <w:top w:val="single" w:sz="4" w:space="0" w:color="auto"/>
              <w:left w:val="single" w:sz="4" w:space="0" w:color="auto"/>
              <w:bottom w:val="single" w:sz="4" w:space="0" w:color="auto"/>
              <w:right w:val="single" w:sz="4" w:space="0" w:color="auto"/>
            </w:tcBorders>
            <w:hideMark/>
          </w:tcPr>
          <w:p w14:paraId="5AD613F4" w14:textId="77777777" w:rsidR="00EE2E01" w:rsidRPr="00E21765" w:rsidRDefault="00EE2E01">
            <w:pPr>
              <w:pStyle w:val="ListParagraph"/>
              <w:numPr>
                <w:ilvl w:val="1"/>
                <w:numId w:val="6"/>
              </w:numPr>
              <w:rPr>
                <w:rFonts w:cs="Arial"/>
                <w:szCs w:val="16"/>
              </w:rPr>
            </w:pPr>
            <w:r w:rsidRPr="00E21765">
              <w:rPr>
                <w:rFonts w:cs="Arial"/>
                <w:szCs w:val="16"/>
              </w:rPr>
              <w:t xml:space="preserve">Complaints withdrawn or dismissed. </w:t>
            </w:r>
          </w:p>
        </w:tc>
        <w:tc>
          <w:tcPr>
            <w:tcW w:w="1305"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1C86BDA" w14:textId="77777777" w:rsidR="00EE2E01" w:rsidRDefault="00EE2E01" w:rsidP="00736617">
            <w:pPr>
              <w:rPr>
                <w:rFonts w:cs="Arial"/>
                <w:szCs w:val="16"/>
              </w:rPr>
            </w:pPr>
            <w:r>
              <w:rPr>
                <w:rFonts w:cs="Arial"/>
                <w:szCs w:val="16"/>
              </w:rPr>
              <w:t>32</w:t>
            </w:r>
          </w:p>
        </w:tc>
      </w:tr>
    </w:tbl>
    <w:p w14:paraId="52DAEEF6" w14:textId="77777777" w:rsidR="00EE2E01" w:rsidRDefault="00EE2E01" w:rsidP="00EE2E01">
      <w:pPr>
        <w:rPr>
          <w:rFonts w:cs="Arial"/>
          <w:b/>
          <w:bCs/>
          <w:szCs w:val="16"/>
        </w:rPr>
      </w:pPr>
    </w:p>
    <w:p w14:paraId="340E3261" w14:textId="77777777" w:rsidR="00EE2E01" w:rsidRDefault="00EE2E01" w:rsidP="00EE2E01">
      <w:pPr>
        <w:rPr>
          <w:rFonts w:cs="Arial"/>
          <w:b/>
          <w:bCs/>
          <w:szCs w:val="16"/>
        </w:rPr>
      </w:pPr>
      <w:r>
        <w:rPr>
          <w:rFonts w:cs="Arial"/>
          <w:b/>
          <w:bCs/>
          <w:szCs w:val="16"/>
        </w:rPr>
        <w:t>Section B: Mediation Requests</w:t>
      </w:r>
    </w:p>
    <w:tbl>
      <w:tblPr>
        <w:tblStyle w:val="TableGrid1"/>
        <w:tblW w:w="5064" w:type="pct"/>
        <w:tblLook w:val="04A0" w:firstRow="1" w:lastRow="0" w:firstColumn="1" w:lastColumn="0" w:noHBand="0" w:noVBand="1"/>
        <w:tblCaption w:val="B03BCPDQ"/>
      </w:tblPr>
      <w:tblGrid>
        <w:gridCol w:w="7866"/>
        <w:gridCol w:w="3062"/>
      </w:tblGrid>
      <w:tr w:rsidR="00EE2E01" w14:paraId="100623A1" w14:textId="77777777" w:rsidTr="00736617">
        <w:trPr>
          <w:trHeight w:val="332"/>
        </w:trPr>
        <w:tc>
          <w:tcPr>
            <w:tcW w:w="3599" w:type="pct"/>
            <w:tcBorders>
              <w:top w:val="single" w:sz="4" w:space="0" w:color="auto"/>
              <w:left w:val="single" w:sz="4" w:space="0" w:color="auto"/>
              <w:bottom w:val="single" w:sz="4" w:space="0" w:color="auto"/>
              <w:right w:val="single" w:sz="4" w:space="0" w:color="auto"/>
            </w:tcBorders>
            <w:hideMark/>
          </w:tcPr>
          <w:p w14:paraId="1FAF7301" w14:textId="77777777" w:rsidR="00EE2E01" w:rsidRPr="00A21F84" w:rsidRDefault="00EE2E01" w:rsidP="00736617">
            <w:pPr>
              <w:rPr>
                <w:rFonts w:cs="Arial"/>
                <w:b/>
                <w:bCs/>
                <w:szCs w:val="16"/>
              </w:rPr>
            </w:pPr>
            <w:r>
              <w:rPr>
                <w:rFonts w:cs="Arial"/>
                <w:b/>
                <w:bCs/>
                <w:szCs w:val="16"/>
              </w:rPr>
              <w:t xml:space="preserve">(2) </w:t>
            </w:r>
            <w:r w:rsidRPr="00A21F84">
              <w:rPr>
                <w:rFonts w:cs="Arial"/>
                <w:b/>
                <w:bCs/>
                <w:szCs w:val="16"/>
              </w:rPr>
              <w:t xml:space="preserve">Total number of mediation requests received through all dispute resolution processes. </w:t>
            </w:r>
          </w:p>
        </w:tc>
        <w:tc>
          <w:tcPr>
            <w:tcW w:w="140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DBB6F2" w14:textId="77777777" w:rsidR="00EE2E01" w:rsidRDefault="00EE2E01" w:rsidP="00736617">
            <w:pPr>
              <w:rPr>
                <w:rFonts w:cs="Arial"/>
                <w:szCs w:val="16"/>
              </w:rPr>
            </w:pPr>
            <w:r>
              <w:rPr>
                <w:rFonts w:cs="Arial"/>
                <w:szCs w:val="16"/>
              </w:rPr>
              <w:t>57</w:t>
            </w:r>
          </w:p>
        </w:tc>
      </w:tr>
      <w:tr w:rsidR="00EE2E01" w14:paraId="2B114D15" w14:textId="77777777" w:rsidTr="00736617">
        <w:trPr>
          <w:trHeight w:val="332"/>
        </w:trPr>
        <w:tc>
          <w:tcPr>
            <w:tcW w:w="3599" w:type="pct"/>
            <w:tcBorders>
              <w:top w:val="single" w:sz="4" w:space="0" w:color="auto"/>
              <w:left w:val="single" w:sz="4" w:space="0" w:color="auto"/>
              <w:bottom w:val="single" w:sz="4" w:space="0" w:color="auto"/>
              <w:right w:val="single" w:sz="4" w:space="0" w:color="auto"/>
            </w:tcBorders>
            <w:hideMark/>
          </w:tcPr>
          <w:p w14:paraId="5691966D" w14:textId="77777777" w:rsidR="00EE2E01" w:rsidRDefault="00EE2E01" w:rsidP="00736617">
            <w:pPr>
              <w:rPr>
                <w:rFonts w:cs="Arial"/>
                <w:szCs w:val="16"/>
              </w:rPr>
            </w:pPr>
            <w:r>
              <w:rPr>
                <w:rFonts w:cs="Arial"/>
                <w:szCs w:val="16"/>
              </w:rPr>
              <w:t xml:space="preserve">(2.1) Mediations held. </w:t>
            </w:r>
          </w:p>
        </w:tc>
        <w:tc>
          <w:tcPr>
            <w:tcW w:w="140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A44C39E" w14:textId="77777777" w:rsidR="00EE2E01" w:rsidRDefault="00EE2E01" w:rsidP="00736617">
            <w:pPr>
              <w:rPr>
                <w:rFonts w:cs="Arial"/>
                <w:szCs w:val="16"/>
              </w:rPr>
            </w:pPr>
            <w:r>
              <w:rPr>
                <w:rFonts w:cs="Arial"/>
                <w:szCs w:val="16"/>
              </w:rPr>
              <w:t>50</w:t>
            </w:r>
          </w:p>
        </w:tc>
      </w:tr>
      <w:tr w:rsidR="00EE2E01" w14:paraId="5426FC5B" w14:textId="77777777" w:rsidTr="00736617">
        <w:trPr>
          <w:trHeight w:val="278"/>
        </w:trPr>
        <w:tc>
          <w:tcPr>
            <w:tcW w:w="3599" w:type="pct"/>
            <w:tcBorders>
              <w:top w:val="single" w:sz="4" w:space="0" w:color="auto"/>
              <w:left w:val="single" w:sz="4" w:space="0" w:color="auto"/>
              <w:bottom w:val="single" w:sz="4" w:space="0" w:color="auto"/>
              <w:right w:val="single" w:sz="4" w:space="0" w:color="auto"/>
            </w:tcBorders>
            <w:hideMark/>
          </w:tcPr>
          <w:p w14:paraId="51C6D972" w14:textId="77777777" w:rsidR="00EE2E01" w:rsidRDefault="00EE2E01" w:rsidP="00736617">
            <w:pPr>
              <w:rPr>
                <w:rFonts w:cs="Arial"/>
                <w:szCs w:val="16"/>
              </w:rPr>
            </w:pPr>
            <w:r>
              <w:rPr>
                <w:rFonts w:cs="Arial"/>
                <w:szCs w:val="16"/>
              </w:rPr>
              <w:t xml:space="preserve">(2.1) (a) Mediations held related to due process complaints. </w:t>
            </w:r>
          </w:p>
        </w:tc>
        <w:tc>
          <w:tcPr>
            <w:tcW w:w="140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490DACE" w14:textId="77777777" w:rsidR="00EE2E01" w:rsidRDefault="00EE2E01" w:rsidP="00736617">
            <w:pPr>
              <w:rPr>
                <w:rFonts w:cs="Arial"/>
                <w:szCs w:val="16"/>
              </w:rPr>
            </w:pPr>
            <w:r>
              <w:rPr>
                <w:rFonts w:cs="Arial"/>
                <w:szCs w:val="16"/>
              </w:rPr>
              <w:t>24</w:t>
            </w:r>
          </w:p>
        </w:tc>
      </w:tr>
      <w:tr w:rsidR="00EE2E01" w14:paraId="7537E8E7" w14:textId="77777777" w:rsidTr="00736617">
        <w:trPr>
          <w:trHeight w:val="242"/>
        </w:trPr>
        <w:tc>
          <w:tcPr>
            <w:tcW w:w="3599" w:type="pct"/>
            <w:tcBorders>
              <w:top w:val="single" w:sz="4" w:space="0" w:color="auto"/>
              <w:left w:val="single" w:sz="4" w:space="0" w:color="auto"/>
              <w:bottom w:val="single" w:sz="4" w:space="0" w:color="auto"/>
              <w:right w:val="single" w:sz="4" w:space="0" w:color="auto"/>
            </w:tcBorders>
            <w:hideMark/>
          </w:tcPr>
          <w:p w14:paraId="76AC21FF" w14:textId="77777777" w:rsidR="00EE2E01" w:rsidRDefault="00EE2E01" w:rsidP="00736617">
            <w:pPr>
              <w:rPr>
                <w:rFonts w:cs="Arial"/>
                <w:szCs w:val="16"/>
              </w:rPr>
            </w:pPr>
            <w:r>
              <w:rPr>
                <w:rFonts w:cs="Arial"/>
                <w:szCs w:val="16"/>
              </w:rPr>
              <w:t>(2.1) (a) (</w:t>
            </w:r>
            <w:proofErr w:type="spellStart"/>
            <w:r>
              <w:rPr>
                <w:rFonts w:cs="Arial"/>
                <w:szCs w:val="16"/>
              </w:rPr>
              <w:t>i</w:t>
            </w:r>
            <w:proofErr w:type="spellEnd"/>
            <w:r>
              <w:rPr>
                <w:rFonts w:cs="Arial"/>
                <w:szCs w:val="16"/>
              </w:rPr>
              <w:t xml:space="preserve">) Mediation agreements related to due process complaints. </w:t>
            </w:r>
          </w:p>
        </w:tc>
        <w:tc>
          <w:tcPr>
            <w:tcW w:w="140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4A125E7" w14:textId="77777777" w:rsidR="00EE2E01" w:rsidRDefault="00EE2E01" w:rsidP="00736617">
            <w:pPr>
              <w:rPr>
                <w:rFonts w:cs="Arial"/>
                <w:szCs w:val="16"/>
              </w:rPr>
            </w:pPr>
            <w:r>
              <w:rPr>
                <w:rFonts w:cs="Arial"/>
                <w:szCs w:val="16"/>
              </w:rPr>
              <w:t>18</w:t>
            </w:r>
          </w:p>
        </w:tc>
      </w:tr>
      <w:tr w:rsidR="00EE2E01" w14:paraId="449AF7DF" w14:textId="77777777" w:rsidTr="00736617">
        <w:trPr>
          <w:trHeight w:val="242"/>
        </w:trPr>
        <w:tc>
          <w:tcPr>
            <w:tcW w:w="3599" w:type="pct"/>
            <w:tcBorders>
              <w:top w:val="single" w:sz="4" w:space="0" w:color="auto"/>
              <w:left w:val="single" w:sz="4" w:space="0" w:color="auto"/>
              <w:bottom w:val="single" w:sz="4" w:space="0" w:color="auto"/>
              <w:right w:val="single" w:sz="4" w:space="0" w:color="auto"/>
            </w:tcBorders>
            <w:hideMark/>
          </w:tcPr>
          <w:p w14:paraId="7CEEEBE3" w14:textId="77777777" w:rsidR="00EE2E01" w:rsidRDefault="00EE2E01" w:rsidP="00736617">
            <w:pPr>
              <w:rPr>
                <w:rFonts w:cs="Arial"/>
                <w:szCs w:val="16"/>
              </w:rPr>
            </w:pPr>
            <w:r>
              <w:rPr>
                <w:rFonts w:cs="Arial"/>
                <w:szCs w:val="16"/>
              </w:rPr>
              <w:t xml:space="preserve">(2.1) (b) Mediations held not related to due process complaints. </w:t>
            </w:r>
          </w:p>
        </w:tc>
        <w:tc>
          <w:tcPr>
            <w:tcW w:w="140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4DC5AF9" w14:textId="77777777" w:rsidR="00EE2E01" w:rsidRDefault="00EE2E01" w:rsidP="00736617">
            <w:pPr>
              <w:rPr>
                <w:rFonts w:cs="Arial"/>
                <w:szCs w:val="16"/>
              </w:rPr>
            </w:pPr>
            <w:r>
              <w:rPr>
                <w:rFonts w:cs="Arial"/>
                <w:szCs w:val="16"/>
              </w:rPr>
              <w:t>26</w:t>
            </w:r>
          </w:p>
        </w:tc>
      </w:tr>
      <w:tr w:rsidR="00EE2E01" w14:paraId="77EC9D97" w14:textId="77777777" w:rsidTr="00736617">
        <w:trPr>
          <w:trHeight w:val="242"/>
        </w:trPr>
        <w:tc>
          <w:tcPr>
            <w:tcW w:w="3599" w:type="pct"/>
            <w:tcBorders>
              <w:top w:val="single" w:sz="4" w:space="0" w:color="auto"/>
              <w:left w:val="single" w:sz="4" w:space="0" w:color="auto"/>
              <w:bottom w:val="single" w:sz="4" w:space="0" w:color="auto"/>
              <w:right w:val="single" w:sz="4" w:space="0" w:color="auto"/>
            </w:tcBorders>
            <w:hideMark/>
          </w:tcPr>
          <w:p w14:paraId="0823F1C5" w14:textId="77777777" w:rsidR="00EE2E01" w:rsidRDefault="00EE2E01" w:rsidP="00736617">
            <w:pPr>
              <w:rPr>
                <w:rFonts w:cs="Arial"/>
                <w:szCs w:val="16"/>
              </w:rPr>
            </w:pPr>
            <w:r>
              <w:rPr>
                <w:rFonts w:cs="Arial"/>
                <w:szCs w:val="16"/>
              </w:rPr>
              <w:t>(2.1) (b) (</w:t>
            </w:r>
            <w:proofErr w:type="spellStart"/>
            <w:r>
              <w:rPr>
                <w:rFonts w:cs="Arial"/>
                <w:szCs w:val="16"/>
              </w:rPr>
              <w:t>i</w:t>
            </w:r>
            <w:proofErr w:type="spellEnd"/>
            <w:r>
              <w:rPr>
                <w:rFonts w:cs="Arial"/>
                <w:szCs w:val="16"/>
              </w:rPr>
              <w:t xml:space="preserve">) Mediation agreements not related to due process complaints. </w:t>
            </w:r>
          </w:p>
        </w:tc>
        <w:tc>
          <w:tcPr>
            <w:tcW w:w="140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FEB82E" w14:textId="77777777" w:rsidR="00EE2E01" w:rsidRDefault="00EE2E01" w:rsidP="00736617">
            <w:pPr>
              <w:rPr>
                <w:rFonts w:cs="Arial"/>
                <w:szCs w:val="16"/>
              </w:rPr>
            </w:pPr>
            <w:r>
              <w:rPr>
                <w:rFonts w:cs="Arial"/>
                <w:szCs w:val="16"/>
              </w:rPr>
              <w:t>21</w:t>
            </w:r>
          </w:p>
        </w:tc>
      </w:tr>
      <w:tr w:rsidR="00EE2E01" w14:paraId="6BA6C769" w14:textId="77777777" w:rsidTr="00736617">
        <w:trPr>
          <w:trHeight w:val="242"/>
        </w:trPr>
        <w:tc>
          <w:tcPr>
            <w:tcW w:w="3599" w:type="pct"/>
            <w:tcBorders>
              <w:top w:val="single" w:sz="4" w:space="0" w:color="auto"/>
              <w:left w:val="single" w:sz="4" w:space="0" w:color="auto"/>
              <w:bottom w:val="single" w:sz="4" w:space="0" w:color="auto"/>
              <w:right w:val="single" w:sz="4" w:space="0" w:color="auto"/>
            </w:tcBorders>
            <w:hideMark/>
          </w:tcPr>
          <w:p w14:paraId="4B66A4BD" w14:textId="77777777" w:rsidR="00EE2E01" w:rsidRDefault="00EE2E01" w:rsidP="00736617">
            <w:pPr>
              <w:rPr>
                <w:rFonts w:cs="Arial"/>
                <w:szCs w:val="16"/>
              </w:rPr>
            </w:pPr>
            <w:r>
              <w:rPr>
                <w:rFonts w:cs="Arial"/>
                <w:szCs w:val="16"/>
              </w:rPr>
              <w:t xml:space="preserve">(2.2) Mediations pending. </w:t>
            </w:r>
          </w:p>
        </w:tc>
        <w:tc>
          <w:tcPr>
            <w:tcW w:w="140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BCABC4E" w14:textId="77777777" w:rsidR="00EE2E01" w:rsidRDefault="00EE2E01" w:rsidP="00736617">
            <w:pPr>
              <w:rPr>
                <w:rFonts w:cs="Arial"/>
                <w:szCs w:val="16"/>
              </w:rPr>
            </w:pPr>
            <w:r>
              <w:rPr>
                <w:rFonts w:cs="Arial"/>
                <w:szCs w:val="16"/>
              </w:rPr>
              <w:t>0</w:t>
            </w:r>
          </w:p>
        </w:tc>
      </w:tr>
      <w:tr w:rsidR="00EE2E01" w14:paraId="6122BA7A" w14:textId="77777777" w:rsidTr="00736617">
        <w:trPr>
          <w:trHeight w:val="242"/>
        </w:trPr>
        <w:tc>
          <w:tcPr>
            <w:tcW w:w="3599" w:type="pct"/>
            <w:tcBorders>
              <w:top w:val="single" w:sz="4" w:space="0" w:color="auto"/>
              <w:left w:val="single" w:sz="4" w:space="0" w:color="auto"/>
              <w:bottom w:val="single" w:sz="4" w:space="0" w:color="auto"/>
              <w:right w:val="single" w:sz="4" w:space="0" w:color="auto"/>
            </w:tcBorders>
            <w:hideMark/>
          </w:tcPr>
          <w:p w14:paraId="783D077E" w14:textId="77777777" w:rsidR="00EE2E01" w:rsidRDefault="00EE2E01" w:rsidP="00736617">
            <w:pPr>
              <w:rPr>
                <w:rFonts w:cs="Arial"/>
                <w:szCs w:val="16"/>
              </w:rPr>
            </w:pPr>
            <w:r>
              <w:rPr>
                <w:rFonts w:cs="Arial"/>
                <w:szCs w:val="16"/>
              </w:rPr>
              <w:t xml:space="preserve">(2.3) Mediations withdrawn or not held. </w:t>
            </w:r>
          </w:p>
        </w:tc>
        <w:tc>
          <w:tcPr>
            <w:tcW w:w="140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85572D2" w14:textId="77777777" w:rsidR="00EE2E01" w:rsidRDefault="00EE2E01" w:rsidP="00736617">
            <w:pPr>
              <w:rPr>
                <w:rFonts w:cs="Arial"/>
                <w:szCs w:val="16"/>
              </w:rPr>
            </w:pPr>
            <w:r>
              <w:rPr>
                <w:rFonts w:cs="Arial"/>
                <w:szCs w:val="16"/>
              </w:rPr>
              <w:t>7</w:t>
            </w:r>
            <w:r w:rsidRPr="00490EDC">
              <w:rPr>
                <w:rFonts w:cs="Arial"/>
                <w:szCs w:val="16"/>
              </w:rPr>
              <w:t xml:space="preserve"> </w:t>
            </w:r>
          </w:p>
        </w:tc>
      </w:tr>
    </w:tbl>
    <w:p w14:paraId="0C58D282" w14:textId="77777777" w:rsidR="00EE2E01" w:rsidRDefault="00EE2E01" w:rsidP="00EE2E01">
      <w:pPr>
        <w:rPr>
          <w:rFonts w:cs="Arial"/>
          <w:b/>
          <w:bCs/>
          <w:szCs w:val="16"/>
        </w:rPr>
      </w:pPr>
    </w:p>
    <w:p w14:paraId="46908630" w14:textId="77777777" w:rsidR="00EE2E01" w:rsidRDefault="00EE2E01" w:rsidP="00EE2E01">
      <w:pPr>
        <w:rPr>
          <w:rFonts w:cs="Arial"/>
          <w:b/>
          <w:bCs/>
          <w:szCs w:val="16"/>
        </w:rPr>
      </w:pPr>
      <w:r>
        <w:rPr>
          <w:rFonts w:cs="Arial"/>
          <w:b/>
          <w:bCs/>
          <w:szCs w:val="16"/>
        </w:rPr>
        <w:t>Section C: Due Process Complaints</w:t>
      </w:r>
    </w:p>
    <w:tbl>
      <w:tblPr>
        <w:tblStyle w:val="TableGrid1"/>
        <w:tblW w:w="5000" w:type="pct"/>
        <w:tblLook w:val="04A0" w:firstRow="1" w:lastRow="0" w:firstColumn="1" w:lastColumn="0" w:noHBand="0" w:noVBand="1"/>
        <w:tblCaption w:val="B03CCPDQ"/>
      </w:tblPr>
      <w:tblGrid>
        <w:gridCol w:w="8004"/>
        <w:gridCol w:w="2786"/>
      </w:tblGrid>
      <w:tr w:rsidR="00EE2E01" w14:paraId="53509B9D" w14:textId="77777777" w:rsidTr="00736617">
        <w:trPr>
          <w:trHeight w:val="332"/>
        </w:trPr>
        <w:tc>
          <w:tcPr>
            <w:tcW w:w="3709" w:type="pct"/>
            <w:tcBorders>
              <w:top w:val="single" w:sz="4" w:space="0" w:color="auto"/>
              <w:left w:val="single" w:sz="4" w:space="0" w:color="auto"/>
              <w:bottom w:val="single" w:sz="4" w:space="0" w:color="auto"/>
              <w:right w:val="single" w:sz="4" w:space="0" w:color="auto"/>
            </w:tcBorders>
            <w:hideMark/>
          </w:tcPr>
          <w:p w14:paraId="3178CBC9" w14:textId="77777777" w:rsidR="00EE2E01" w:rsidRPr="00A21F84" w:rsidRDefault="00EE2E01" w:rsidP="00736617">
            <w:pPr>
              <w:rPr>
                <w:rFonts w:cs="Arial"/>
                <w:b/>
                <w:bCs/>
                <w:szCs w:val="16"/>
              </w:rPr>
            </w:pPr>
            <w:r>
              <w:rPr>
                <w:rFonts w:cs="Arial"/>
                <w:b/>
                <w:bCs/>
                <w:szCs w:val="16"/>
              </w:rPr>
              <w:t xml:space="preserve">(3) </w:t>
            </w:r>
            <w:r w:rsidRPr="00A21F84">
              <w:rPr>
                <w:rFonts w:cs="Arial"/>
                <w:b/>
                <w:bCs/>
                <w:szCs w:val="16"/>
              </w:rPr>
              <w:t xml:space="preserve">Total number of due process complaints filed. </w:t>
            </w:r>
          </w:p>
        </w:tc>
        <w:tc>
          <w:tcPr>
            <w:tcW w:w="129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22EAA87" w14:textId="77777777" w:rsidR="00EE2E01" w:rsidRDefault="00EE2E01" w:rsidP="00736617">
            <w:pPr>
              <w:rPr>
                <w:rFonts w:cs="Arial"/>
                <w:szCs w:val="16"/>
              </w:rPr>
            </w:pPr>
            <w:r>
              <w:rPr>
                <w:rFonts w:cs="Arial"/>
                <w:szCs w:val="16"/>
              </w:rPr>
              <w:t>25</w:t>
            </w:r>
          </w:p>
        </w:tc>
      </w:tr>
      <w:tr w:rsidR="00EE2E01" w14:paraId="258EA5ED" w14:textId="77777777" w:rsidTr="00736617">
        <w:trPr>
          <w:trHeight w:val="332"/>
        </w:trPr>
        <w:tc>
          <w:tcPr>
            <w:tcW w:w="3709" w:type="pct"/>
            <w:tcBorders>
              <w:top w:val="single" w:sz="4" w:space="0" w:color="auto"/>
              <w:left w:val="single" w:sz="4" w:space="0" w:color="auto"/>
              <w:bottom w:val="single" w:sz="4" w:space="0" w:color="auto"/>
              <w:right w:val="single" w:sz="4" w:space="0" w:color="auto"/>
            </w:tcBorders>
            <w:hideMark/>
          </w:tcPr>
          <w:p w14:paraId="566EB412" w14:textId="77777777" w:rsidR="00EE2E01" w:rsidRDefault="00EE2E01" w:rsidP="00736617">
            <w:pPr>
              <w:rPr>
                <w:rFonts w:cs="Arial"/>
                <w:szCs w:val="16"/>
              </w:rPr>
            </w:pPr>
            <w:r>
              <w:rPr>
                <w:rFonts w:cs="Arial"/>
                <w:szCs w:val="16"/>
              </w:rPr>
              <w:t xml:space="preserve">(3.1) Resolution meetings. </w:t>
            </w:r>
          </w:p>
        </w:tc>
        <w:tc>
          <w:tcPr>
            <w:tcW w:w="129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FF05CE" w14:textId="77777777" w:rsidR="00EE2E01" w:rsidRDefault="00EE2E01" w:rsidP="00736617">
            <w:pPr>
              <w:rPr>
                <w:rFonts w:cs="Arial"/>
                <w:szCs w:val="16"/>
              </w:rPr>
            </w:pPr>
            <w:r>
              <w:rPr>
                <w:rFonts w:cs="Arial"/>
                <w:szCs w:val="16"/>
              </w:rPr>
              <w:t>1</w:t>
            </w:r>
          </w:p>
        </w:tc>
      </w:tr>
      <w:tr w:rsidR="00EE2E01" w14:paraId="5E7E3092" w14:textId="77777777" w:rsidTr="00736617">
        <w:trPr>
          <w:trHeight w:val="242"/>
        </w:trPr>
        <w:tc>
          <w:tcPr>
            <w:tcW w:w="3709" w:type="pct"/>
            <w:tcBorders>
              <w:top w:val="single" w:sz="4" w:space="0" w:color="auto"/>
              <w:left w:val="single" w:sz="4" w:space="0" w:color="auto"/>
              <w:bottom w:val="single" w:sz="4" w:space="0" w:color="auto"/>
              <w:right w:val="single" w:sz="4" w:space="0" w:color="auto"/>
            </w:tcBorders>
            <w:hideMark/>
          </w:tcPr>
          <w:p w14:paraId="6C8032C3" w14:textId="77777777" w:rsidR="00EE2E01" w:rsidRDefault="00EE2E01" w:rsidP="00736617">
            <w:pPr>
              <w:rPr>
                <w:rFonts w:cs="Arial"/>
                <w:szCs w:val="16"/>
              </w:rPr>
            </w:pPr>
            <w:r>
              <w:rPr>
                <w:rFonts w:cs="Arial"/>
                <w:szCs w:val="16"/>
              </w:rPr>
              <w:t xml:space="preserve">(3.1) (a) Written settlement agreements reached through resolution meetings. </w:t>
            </w:r>
          </w:p>
        </w:tc>
        <w:tc>
          <w:tcPr>
            <w:tcW w:w="129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D284F7D" w14:textId="77777777" w:rsidR="00EE2E01" w:rsidRDefault="00EE2E01" w:rsidP="00736617">
            <w:pPr>
              <w:rPr>
                <w:rFonts w:cs="Arial"/>
                <w:szCs w:val="16"/>
              </w:rPr>
            </w:pPr>
            <w:r>
              <w:rPr>
                <w:rFonts w:cs="Arial"/>
                <w:szCs w:val="16"/>
              </w:rPr>
              <w:t>1</w:t>
            </w:r>
          </w:p>
        </w:tc>
      </w:tr>
      <w:tr w:rsidR="00EE2E01" w14:paraId="51A3A4C6" w14:textId="77777777" w:rsidTr="00736617">
        <w:trPr>
          <w:trHeight w:val="242"/>
        </w:trPr>
        <w:tc>
          <w:tcPr>
            <w:tcW w:w="3709" w:type="pct"/>
            <w:tcBorders>
              <w:top w:val="single" w:sz="4" w:space="0" w:color="auto"/>
              <w:left w:val="single" w:sz="4" w:space="0" w:color="auto"/>
              <w:bottom w:val="single" w:sz="4" w:space="0" w:color="auto"/>
              <w:right w:val="single" w:sz="4" w:space="0" w:color="auto"/>
            </w:tcBorders>
            <w:hideMark/>
          </w:tcPr>
          <w:p w14:paraId="2A1A39CA" w14:textId="77777777" w:rsidR="00EE2E01" w:rsidRDefault="00EE2E01" w:rsidP="00736617">
            <w:pPr>
              <w:rPr>
                <w:rFonts w:cs="Arial"/>
                <w:szCs w:val="16"/>
              </w:rPr>
            </w:pPr>
            <w:r>
              <w:rPr>
                <w:rFonts w:cs="Arial"/>
                <w:szCs w:val="16"/>
              </w:rPr>
              <w:t xml:space="preserve">(3.2) Hearings fully adjudicated. </w:t>
            </w:r>
          </w:p>
        </w:tc>
        <w:tc>
          <w:tcPr>
            <w:tcW w:w="129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B27D1AD" w14:textId="77777777" w:rsidR="00EE2E01" w:rsidRDefault="00EE2E01" w:rsidP="00736617">
            <w:pPr>
              <w:rPr>
                <w:rFonts w:cs="Arial"/>
                <w:szCs w:val="16"/>
              </w:rPr>
            </w:pPr>
            <w:r>
              <w:rPr>
                <w:rFonts w:cs="Arial"/>
                <w:szCs w:val="16"/>
              </w:rPr>
              <w:t>1</w:t>
            </w:r>
          </w:p>
        </w:tc>
      </w:tr>
      <w:tr w:rsidR="00EE2E01" w14:paraId="1C7EE5B1" w14:textId="77777777" w:rsidTr="00736617">
        <w:trPr>
          <w:trHeight w:val="242"/>
        </w:trPr>
        <w:tc>
          <w:tcPr>
            <w:tcW w:w="3709" w:type="pct"/>
            <w:tcBorders>
              <w:top w:val="single" w:sz="4" w:space="0" w:color="auto"/>
              <w:left w:val="single" w:sz="4" w:space="0" w:color="auto"/>
              <w:bottom w:val="single" w:sz="4" w:space="0" w:color="auto"/>
              <w:right w:val="single" w:sz="4" w:space="0" w:color="auto"/>
            </w:tcBorders>
            <w:hideMark/>
          </w:tcPr>
          <w:p w14:paraId="0DF53259" w14:textId="77777777" w:rsidR="00EE2E01" w:rsidRDefault="00EE2E01" w:rsidP="00736617">
            <w:pPr>
              <w:rPr>
                <w:rFonts w:cs="Arial"/>
                <w:szCs w:val="16"/>
              </w:rPr>
            </w:pPr>
            <w:r>
              <w:rPr>
                <w:rFonts w:cs="Arial"/>
                <w:szCs w:val="16"/>
              </w:rPr>
              <w:t xml:space="preserve">(3.2) (a) Decisions within timeline (include expedited). </w:t>
            </w:r>
          </w:p>
        </w:tc>
        <w:tc>
          <w:tcPr>
            <w:tcW w:w="129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29941D3" w14:textId="77777777" w:rsidR="00EE2E01" w:rsidRDefault="00EE2E01" w:rsidP="00736617">
            <w:pPr>
              <w:rPr>
                <w:rFonts w:cs="Arial"/>
                <w:szCs w:val="16"/>
              </w:rPr>
            </w:pPr>
            <w:r>
              <w:rPr>
                <w:rFonts w:cs="Arial"/>
                <w:szCs w:val="16"/>
              </w:rPr>
              <w:t>0</w:t>
            </w:r>
          </w:p>
        </w:tc>
      </w:tr>
      <w:tr w:rsidR="00EE2E01" w14:paraId="141D35B3" w14:textId="77777777" w:rsidTr="00736617">
        <w:trPr>
          <w:trHeight w:val="242"/>
        </w:trPr>
        <w:tc>
          <w:tcPr>
            <w:tcW w:w="3709" w:type="pct"/>
            <w:tcBorders>
              <w:top w:val="single" w:sz="4" w:space="0" w:color="auto"/>
              <w:left w:val="single" w:sz="4" w:space="0" w:color="auto"/>
              <w:bottom w:val="single" w:sz="4" w:space="0" w:color="auto"/>
              <w:right w:val="single" w:sz="4" w:space="0" w:color="auto"/>
            </w:tcBorders>
            <w:hideMark/>
          </w:tcPr>
          <w:p w14:paraId="4B3E66F4" w14:textId="77777777" w:rsidR="00EE2E01" w:rsidRDefault="00EE2E01" w:rsidP="00736617">
            <w:pPr>
              <w:rPr>
                <w:rFonts w:cs="Arial"/>
                <w:szCs w:val="16"/>
              </w:rPr>
            </w:pPr>
            <w:r>
              <w:rPr>
                <w:rFonts w:cs="Arial"/>
                <w:szCs w:val="16"/>
              </w:rPr>
              <w:t>(3.2) (b) Decisions within extended timeline.</w:t>
            </w:r>
          </w:p>
        </w:tc>
        <w:tc>
          <w:tcPr>
            <w:tcW w:w="129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4008C90" w14:textId="77777777" w:rsidR="00EE2E01" w:rsidRDefault="00EE2E01" w:rsidP="00736617">
            <w:pPr>
              <w:rPr>
                <w:rFonts w:cs="Arial"/>
                <w:szCs w:val="16"/>
              </w:rPr>
            </w:pPr>
            <w:r>
              <w:rPr>
                <w:rFonts w:cs="Arial"/>
                <w:szCs w:val="16"/>
              </w:rPr>
              <w:t>1</w:t>
            </w:r>
          </w:p>
        </w:tc>
      </w:tr>
      <w:tr w:rsidR="00EE2E01" w14:paraId="0A719F03" w14:textId="77777777" w:rsidTr="00736617">
        <w:trPr>
          <w:trHeight w:val="242"/>
        </w:trPr>
        <w:tc>
          <w:tcPr>
            <w:tcW w:w="3709" w:type="pct"/>
            <w:tcBorders>
              <w:top w:val="single" w:sz="4" w:space="0" w:color="auto"/>
              <w:left w:val="single" w:sz="4" w:space="0" w:color="auto"/>
              <w:bottom w:val="single" w:sz="4" w:space="0" w:color="auto"/>
              <w:right w:val="single" w:sz="4" w:space="0" w:color="auto"/>
            </w:tcBorders>
            <w:hideMark/>
          </w:tcPr>
          <w:p w14:paraId="3FA1CF25" w14:textId="77777777" w:rsidR="00EE2E01" w:rsidRDefault="00EE2E01" w:rsidP="00736617">
            <w:pPr>
              <w:rPr>
                <w:rFonts w:cs="Arial"/>
                <w:szCs w:val="16"/>
              </w:rPr>
            </w:pPr>
            <w:r>
              <w:rPr>
                <w:rFonts w:cs="Arial"/>
                <w:szCs w:val="16"/>
              </w:rPr>
              <w:t xml:space="preserve">(3.3) Due process complaints pending.  </w:t>
            </w:r>
          </w:p>
        </w:tc>
        <w:tc>
          <w:tcPr>
            <w:tcW w:w="129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D94A458" w14:textId="77777777" w:rsidR="00EE2E01" w:rsidRDefault="00EE2E01" w:rsidP="00736617">
            <w:pPr>
              <w:rPr>
                <w:rFonts w:cs="Arial"/>
                <w:szCs w:val="16"/>
              </w:rPr>
            </w:pPr>
            <w:r>
              <w:rPr>
                <w:rFonts w:cs="Arial"/>
                <w:szCs w:val="16"/>
              </w:rPr>
              <w:t>0</w:t>
            </w:r>
            <w:r w:rsidRPr="0054428D">
              <w:rPr>
                <w:rFonts w:cs="Arial"/>
                <w:szCs w:val="16"/>
              </w:rPr>
              <w:t xml:space="preserve"> </w:t>
            </w:r>
          </w:p>
        </w:tc>
      </w:tr>
      <w:tr w:rsidR="00EE2E01" w14:paraId="48110BE3" w14:textId="77777777" w:rsidTr="00736617">
        <w:trPr>
          <w:trHeight w:val="242"/>
        </w:trPr>
        <w:tc>
          <w:tcPr>
            <w:tcW w:w="3709" w:type="pct"/>
            <w:tcBorders>
              <w:top w:val="single" w:sz="4" w:space="0" w:color="auto"/>
              <w:left w:val="single" w:sz="4" w:space="0" w:color="auto"/>
              <w:bottom w:val="single" w:sz="4" w:space="0" w:color="auto"/>
              <w:right w:val="single" w:sz="4" w:space="0" w:color="auto"/>
            </w:tcBorders>
            <w:hideMark/>
          </w:tcPr>
          <w:p w14:paraId="43EDDDCD" w14:textId="77777777" w:rsidR="00EE2E01" w:rsidRDefault="00EE2E01" w:rsidP="00736617">
            <w:pPr>
              <w:rPr>
                <w:rFonts w:cs="Arial"/>
                <w:szCs w:val="16"/>
              </w:rPr>
            </w:pPr>
            <w:r>
              <w:rPr>
                <w:rFonts w:cs="Arial"/>
                <w:szCs w:val="16"/>
              </w:rPr>
              <w:t>(3.4) Due process complaints withdrawn or dismissed (including resolved without a hearing).</w:t>
            </w:r>
          </w:p>
        </w:tc>
        <w:tc>
          <w:tcPr>
            <w:tcW w:w="129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762E5A8" w14:textId="77777777" w:rsidR="00EE2E01" w:rsidRDefault="00EE2E01" w:rsidP="00736617">
            <w:pPr>
              <w:rPr>
                <w:rFonts w:cs="Arial"/>
                <w:szCs w:val="16"/>
              </w:rPr>
            </w:pPr>
            <w:r>
              <w:rPr>
                <w:rFonts w:cs="Arial"/>
                <w:szCs w:val="16"/>
              </w:rPr>
              <w:t>24</w:t>
            </w:r>
          </w:p>
        </w:tc>
      </w:tr>
    </w:tbl>
    <w:p w14:paraId="5101E399" w14:textId="77777777" w:rsidR="00EE2E01" w:rsidRDefault="00EE2E01" w:rsidP="00EE2E01">
      <w:pPr>
        <w:rPr>
          <w:rFonts w:cs="Arial"/>
          <w:b/>
          <w:bCs/>
          <w:szCs w:val="16"/>
        </w:rPr>
      </w:pPr>
    </w:p>
    <w:p w14:paraId="50854025" w14:textId="77777777" w:rsidR="00EE2E01" w:rsidRDefault="00EE2E01" w:rsidP="00EE2E01">
      <w:pPr>
        <w:rPr>
          <w:rFonts w:cs="Arial"/>
          <w:b/>
          <w:bCs/>
          <w:szCs w:val="16"/>
        </w:rPr>
      </w:pPr>
      <w:r>
        <w:rPr>
          <w:rFonts w:cs="Arial"/>
          <w:b/>
          <w:bCs/>
          <w:szCs w:val="16"/>
        </w:rPr>
        <w:t xml:space="preserve">Section D: Expedited Due Process Complaints (Related to Disciplinary Decision) </w:t>
      </w:r>
    </w:p>
    <w:tbl>
      <w:tblPr>
        <w:tblStyle w:val="TableGrid1"/>
        <w:tblW w:w="5000" w:type="pct"/>
        <w:tblLook w:val="04A0" w:firstRow="1" w:lastRow="0" w:firstColumn="1" w:lastColumn="0" w:noHBand="0" w:noVBand="1"/>
        <w:tblCaption w:val="B03DCPDQ"/>
      </w:tblPr>
      <w:tblGrid>
        <w:gridCol w:w="7986"/>
        <w:gridCol w:w="2804"/>
      </w:tblGrid>
      <w:tr w:rsidR="00EE2E01" w14:paraId="506B085F" w14:textId="77777777" w:rsidTr="00736617">
        <w:trPr>
          <w:trHeight w:val="332"/>
        </w:trPr>
        <w:tc>
          <w:tcPr>
            <w:tcW w:w="3709" w:type="pct"/>
            <w:tcBorders>
              <w:top w:val="single" w:sz="4" w:space="0" w:color="auto"/>
              <w:left w:val="single" w:sz="4" w:space="0" w:color="auto"/>
              <w:bottom w:val="single" w:sz="4" w:space="0" w:color="auto"/>
              <w:right w:val="single" w:sz="4" w:space="0" w:color="auto"/>
            </w:tcBorders>
            <w:hideMark/>
          </w:tcPr>
          <w:p w14:paraId="22FAA3EF" w14:textId="77777777" w:rsidR="00EE2E01" w:rsidRPr="00A21F84" w:rsidRDefault="00EE2E01" w:rsidP="00736617">
            <w:pPr>
              <w:rPr>
                <w:rFonts w:cs="Arial"/>
                <w:b/>
                <w:bCs/>
                <w:szCs w:val="16"/>
              </w:rPr>
            </w:pPr>
            <w:r>
              <w:rPr>
                <w:rFonts w:cs="Arial"/>
                <w:b/>
                <w:bCs/>
                <w:szCs w:val="16"/>
              </w:rPr>
              <w:t xml:space="preserve">(4) </w:t>
            </w:r>
            <w:r w:rsidRPr="00A21F84">
              <w:rPr>
                <w:rFonts w:cs="Arial"/>
                <w:b/>
                <w:bCs/>
                <w:szCs w:val="16"/>
              </w:rPr>
              <w:t xml:space="preserve">Total number of expedited due process complaints filed. </w:t>
            </w:r>
          </w:p>
        </w:tc>
        <w:tc>
          <w:tcPr>
            <w:tcW w:w="129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46FCF29" w14:textId="77777777" w:rsidR="00EE2E01" w:rsidRDefault="00EE2E01" w:rsidP="00736617">
            <w:pPr>
              <w:rPr>
                <w:rFonts w:cs="Arial"/>
                <w:szCs w:val="16"/>
              </w:rPr>
            </w:pPr>
            <w:r>
              <w:rPr>
                <w:rFonts w:cs="Arial"/>
                <w:szCs w:val="16"/>
              </w:rPr>
              <w:t>1</w:t>
            </w:r>
          </w:p>
        </w:tc>
      </w:tr>
      <w:tr w:rsidR="00EE2E01" w14:paraId="58872458" w14:textId="77777777" w:rsidTr="00736617">
        <w:trPr>
          <w:trHeight w:val="332"/>
        </w:trPr>
        <w:tc>
          <w:tcPr>
            <w:tcW w:w="3709" w:type="pct"/>
            <w:tcBorders>
              <w:top w:val="single" w:sz="4" w:space="0" w:color="auto"/>
              <w:left w:val="single" w:sz="4" w:space="0" w:color="auto"/>
              <w:bottom w:val="single" w:sz="4" w:space="0" w:color="auto"/>
              <w:right w:val="single" w:sz="4" w:space="0" w:color="auto"/>
            </w:tcBorders>
          </w:tcPr>
          <w:p w14:paraId="352D125C" w14:textId="77777777" w:rsidR="00EE2E01" w:rsidRPr="007F7054" w:rsidRDefault="00EE2E01" w:rsidP="00736617">
            <w:pPr>
              <w:rPr>
                <w:rFonts w:cs="Arial"/>
                <w:szCs w:val="16"/>
              </w:rPr>
            </w:pPr>
            <w:r>
              <w:rPr>
                <w:rFonts w:cs="Arial"/>
                <w:szCs w:val="16"/>
              </w:rPr>
              <w:t xml:space="preserve">(4.1) </w:t>
            </w:r>
            <w:r w:rsidRPr="007F7054">
              <w:rPr>
                <w:rFonts w:cs="Arial"/>
                <w:szCs w:val="16"/>
              </w:rPr>
              <w:t xml:space="preserve">Expedited resolution meetings. </w:t>
            </w:r>
          </w:p>
        </w:tc>
        <w:tc>
          <w:tcPr>
            <w:tcW w:w="129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D2611D7" w14:textId="77777777" w:rsidR="00EE2E01" w:rsidRDefault="00EE2E01" w:rsidP="00736617">
            <w:pPr>
              <w:rPr>
                <w:rFonts w:cs="Arial"/>
                <w:szCs w:val="16"/>
              </w:rPr>
            </w:pPr>
            <w:r>
              <w:rPr>
                <w:rFonts w:cs="Arial"/>
                <w:szCs w:val="16"/>
              </w:rPr>
              <w:t>0</w:t>
            </w:r>
          </w:p>
        </w:tc>
      </w:tr>
      <w:tr w:rsidR="00EE2E01" w14:paraId="60A14E58" w14:textId="77777777" w:rsidTr="00736617">
        <w:trPr>
          <w:trHeight w:val="332"/>
        </w:trPr>
        <w:tc>
          <w:tcPr>
            <w:tcW w:w="3709" w:type="pct"/>
            <w:tcBorders>
              <w:top w:val="single" w:sz="4" w:space="0" w:color="auto"/>
              <w:left w:val="single" w:sz="4" w:space="0" w:color="auto"/>
              <w:bottom w:val="single" w:sz="4" w:space="0" w:color="auto"/>
              <w:right w:val="single" w:sz="4" w:space="0" w:color="auto"/>
            </w:tcBorders>
          </w:tcPr>
          <w:p w14:paraId="538A297F" w14:textId="77777777" w:rsidR="00EE2E01" w:rsidRPr="007F7054" w:rsidRDefault="00EE2E01" w:rsidP="00736617">
            <w:pPr>
              <w:rPr>
                <w:rFonts w:cs="Arial"/>
                <w:szCs w:val="16"/>
              </w:rPr>
            </w:pPr>
            <w:r>
              <w:rPr>
                <w:rFonts w:cs="Arial"/>
                <w:szCs w:val="16"/>
              </w:rPr>
              <w:t xml:space="preserve">(4.1) (a) </w:t>
            </w:r>
            <w:r w:rsidRPr="007F7054">
              <w:rPr>
                <w:rFonts w:cs="Arial"/>
                <w:szCs w:val="16"/>
              </w:rPr>
              <w:t xml:space="preserve">Expedited written settlement agreements. </w:t>
            </w:r>
          </w:p>
        </w:tc>
        <w:tc>
          <w:tcPr>
            <w:tcW w:w="129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666CBB1" w14:textId="77777777" w:rsidR="00EE2E01" w:rsidRDefault="00EE2E01" w:rsidP="00736617">
            <w:pPr>
              <w:rPr>
                <w:rFonts w:cs="Arial"/>
                <w:szCs w:val="16"/>
              </w:rPr>
            </w:pPr>
            <w:r>
              <w:rPr>
                <w:rFonts w:cs="Arial"/>
                <w:szCs w:val="16"/>
              </w:rPr>
              <w:t>0</w:t>
            </w:r>
          </w:p>
        </w:tc>
      </w:tr>
      <w:tr w:rsidR="00EE2E01" w14:paraId="0066C0F1" w14:textId="77777777" w:rsidTr="00736617">
        <w:trPr>
          <w:trHeight w:val="332"/>
        </w:trPr>
        <w:tc>
          <w:tcPr>
            <w:tcW w:w="3709" w:type="pct"/>
            <w:tcBorders>
              <w:top w:val="single" w:sz="4" w:space="0" w:color="auto"/>
              <w:left w:val="single" w:sz="4" w:space="0" w:color="auto"/>
              <w:bottom w:val="single" w:sz="4" w:space="0" w:color="auto"/>
              <w:right w:val="single" w:sz="4" w:space="0" w:color="auto"/>
            </w:tcBorders>
          </w:tcPr>
          <w:p w14:paraId="2747685A" w14:textId="77777777" w:rsidR="00EE2E01" w:rsidRPr="007F7054" w:rsidRDefault="00EE2E01" w:rsidP="00736617">
            <w:pPr>
              <w:rPr>
                <w:rFonts w:cs="Arial"/>
                <w:szCs w:val="16"/>
              </w:rPr>
            </w:pPr>
            <w:r>
              <w:rPr>
                <w:rFonts w:cs="Arial"/>
                <w:szCs w:val="16"/>
              </w:rPr>
              <w:t xml:space="preserve">(4.2) </w:t>
            </w:r>
            <w:r w:rsidRPr="007F7054">
              <w:rPr>
                <w:rFonts w:cs="Arial"/>
                <w:szCs w:val="16"/>
              </w:rPr>
              <w:t xml:space="preserve">Expedited hearings fully adjudicated. </w:t>
            </w:r>
          </w:p>
        </w:tc>
        <w:tc>
          <w:tcPr>
            <w:tcW w:w="129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97B0B20" w14:textId="77777777" w:rsidR="00EE2E01" w:rsidRDefault="00EE2E01" w:rsidP="00736617">
            <w:pPr>
              <w:rPr>
                <w:rFonts w:cs="Arial"/>
                <w:szCs w:val="16"/>
              </w:rPr>
            </w:pPr>
            <w:r>
              <w:rPr>
                <w:rFonts w:cs="Arial"/>
                <w:szCs w:val="16"/>
              </w:rPr>
              <w:t>0</w:t>
            </w:r>
          </w:p>
        </w:tc>
      </w:tr>
      <w:tr w:rsidR="00EE2E01" w14:paraId="7E4DEF3C" w14:textId="77777777" w:rsidTr="00736617">
        <w:trPr>
          <w:trHeight w:val="332"/>
        </w:trPr>
        <w:tc>
          <w:tcPr>
            <w:tcW w:w="3709" w:type="pct"/>
            <w:tcBorders>
              <w:top w:val="single" w:sz="4" w:space="0" w:color="auto"/>
              <w:left w:val="single" w:sz="4" w:space="0" w:color="auto"/>
              <w:bottom w:val="single" w:sz="4" w:space="0" w:color="auto"/>
              <w:right w:val="single" w:sz="4" w:space="0" w:color="auto"/>
            </w:tcBorders>
          </w:tcPr>
          <w:p w14:paraId="010489D6" w14:textId="77777777" w:rsidR="00EE2E01" w:rsidRPr="007F7054" w:rsidRDefault="00EE2E01" w:rsidP="00736617">
            <w:pPr>
              <w:rPr>
                <w:rFonts w:cs="Arial"/>
                <w:szCs w:val="16"/>
              </w:rPr>
            </w:pPr>
            <w:r>
              <w:rPr>
                <w:rFonts w:cs="Arial"/>
                <w:szCs w:val="16"/>
              </w:rPr>
              <w:t xml:space="preserve">(4.2) (a) </w:t>
            </w:r>
            <w:r w:rsidRPr="007F7054">
              <w:rPr>
                <w:rFonts w:cs="Arial"/>
                <w:szCs w:val="16"/>
              </w:rPr>
              <w:t>Change of placement ordered</w:t>
            </w:r>
          </w:p>
        </w:tc>
        <w:tc>
          <w:tcPr>
            <w:tcW w:w="129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2897A2" w14:textId="77777777" w:rsidR="00EE2E01" w:rsidRDefault="00EE2E01" w:rsidP="00736617">
            <w:pPr>
              <w:rPr>
                <w:rFonts w:cs="Arial"/>
                <w:szCs w:val="16"/>
              </w:rPr>
            </w:pPr>
            <w:r>
              <w:rPr>
                <w:rFonts w:cs="Arial"/>
                <w:szCs w:val="16"/>
              </w:rPr>
              <w:t>0</w:t>
            </w:r>
          </w:p>
        </w:tc>
      </w:tr>
      <w:tr w:rsidR="00EE2E01" w14:paraId="357234F6" w14:textId="77777777" w:rsidTr="00736617">
        <w:trPr>
          <w:trHeight w:val="332"/>
        </w:trPr>
        <w:tc>
          <w:tcPr>
            <w:tcW w:w="3709" w:type="pct"/>
            <w:tcBorders>
              <w:top w:val="single" w:sz="4" w:space="0" w:color="auto"/>
              <w:left w:val="single" w:sz="4" w:space="0" w:color="auto"/>
              <w:bottom w:val="single" w:sz="4" w:space="0" w:color="auto"/>
              <w:right w:val="single" w:sz="4" w:space="0" w:color="auto"/>
            </w:tcBorders>
          </w:tcPr>
          <w:p w14:paraId="0EDFDDF7" w14:textId="77777777" w:rsidR="00EE2E01" w:rsidRPr="007F7054" w:rsidRDefault="00EE2E01" w:rsidP="00736617">
            <w:pPr>
              <w:rPr>
                <w:rFonts w:cs="Arial"/>
                <w:szCs w:val="16"/>
              </w:rPr>
            </w:pPr>
            <w:r>
              <w:rPr>
                <w:rFonts w:cs="Arial"/>
                <w:szCs w:val="16"/>
              </w:rPr>
              <w:t xml:space="preserve">(4.3) </w:t>
            </w:r>
            <w:r w:rsidRPr="007F7054">
              <w:rPr>
                <w:rFonts w:cs="Arial"/>
                <w:szCs w:val="16"/>
              </w:rPr>
              <w:t xml:space="preserve">Expedited due process complaints pending. </w:t>
            </w:r>
          </w:p>
        </w:tc>
        <w:tc>
          <w:tcPr>
            <w:tcW w:w="129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D53084D" w14:textId="77777777" w:rsidR="00EE2E01" w:rsidRDefault="00EE2E01" w:rsidP="00736617">
            <w:pPr>
              <w:rPr>
                <w:rFonts w:cs="Arial"/>
                <w:szCs w:val="16"/>
              </w:rPr>
            </w:pPr>
            <w:r>
              <w:rPr>
                <w:rFonts w:cs="Arial"/>
                <w:szCs w:val="16"/>
              </w:rPr>
              <w:t>0</w:t>
            </w:r>
          </w:p>
        </w:tc>
      </w:tr>
      <w:tr w:rsidR="00EE2E01" w14:paraId="7B27A8D1" w14:textId="77777777" w:rsidTr="00736617">
        <w:trPr>
          <w:trHeight w:val="332"/>
        </w:trPr>
        <w:tc>
          <w:tcPr>
            <w:tcW w:w="3709" w:type="pct"/>
            <w:tcBorders>
              <w:top w:val="single" w:sz="4" w:space="0" w:color="auto"/>
              <w:left w:val="single" w:sz="4" w:space="0" w:color="auto"/>
              <w:bottom w:val="single" w:sz="4" w:space="0" w:color="auto"/>
              <w:right w:val="single" w:sz="4" w:space="0" w:color="auto"/>
            </w:tcBorders>
          </w:tcPr>
          <w:p w14:paraId="796683AD" w14:textId="77777777" w:rsidR="00EE2E01" w:rsidRPr="007F7054" w:rsidRDefault="00EE2E01" w:rsidP="00736617">
            <w:pPr>
              <w:rPr>
                <w:rFonts w:cs="Arial"/>
                <w:szCs w:val="16"/>
              </w:rPr>
            </w:pPr>
            <w:r>
              <w:rPr>
                <w:rFonts w:cs="Arial"/>
                <w:szCs w:val="16"/>
              </w:rPr>
              <w:t>(4.4) E</w:t>
            </w:r>
            <w:r w:rsidRPr="007F7054">
              <w:rPr>
                <w:rFonts w:cs="Arial"/>
                <w:szCs w:val="16"/>
              </w:rPr>
              <w:t xml:space="preserve">xpedited due process complaints withdrawn or dismissed. </w:t>
            </w:r>
          </w:p>
        </w:tc>
        <w:tc>
          <w:tcPr>
            <w:tcW w:w="129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D67A88" w14:textId="77777777" w:rsidR="00EE2E01" w:rsidRDefault="00EE2E01" w:rsidP="00736617">
            <w:pPr>
              <w:rPr>
                <w:rFonts w:cs="Arial"/>
                <w:szCs w:val="16"/>
              </w:rPr>
            </w:pPr>
            <w:r>
              <w:rPr>
                <w:rFonts w:cs="Arial"/>
                <w:szCs w:val="16"/>
              </w:rPr>
              <w:t>1</w:t>
            </w:r>
          </w:p>
        </w:tc>
      </w:tr>
    </w:tbl>
    <w:p w14:paraId="3B844C0B" w14:textId="77777777" w:rsidR="00EE2E01" w:rsidRDefault="00EE2E01" w:rsidP="00EE2E01">
      <w:pPr>
        <w:spacing w:before="0" w:after="200" w:line="276" w:lineRule="auto"/>
      </w:pPr>
    </w:p>
    <w:p w14:paraId="5D660E0C" w14:textId="77777777" w:rsidR="00EE2E01" w:rsidRPr="00F07782" w:rsidRDefault="00EE2E01" w:rsidP="00EE2E01">
      <w:pPr>
        <w:spacing w:before="0" w:after="0"/>
        <w:rPr>
          <w:b/>
          <w:bCs/>
        </w:rPr>
      </w:pPr>
      <w:r w:rsidRPr="00F07782">
        <w:rPr>
          <w:b/>
          <w:bCs/>
        </w:rPr>
        <w:lastRenderedPageBreak/>
        <w:t xml:space="preserve">State Comments: </w:t>
      </w:r>
    </w:p>
    <w:p w14:paraId="2F35CA36" w14:textId="77777777" w:rsidR="00EE2E01" w:rsidRDefault="00EE2E01" w:rsidP="00EE2E01">
      <w:pPr>
        <w:spacing w:before="0" w:after="0"/>
      </w:pPr>
      <w:r>
        <w:t/>
      </w:r>
    </w:p>
    <w:p w14:paraId="3D9B4A04" w14:textId="77777777" w:rsidR="00EE2E01" w:rsidRDefault="00EE2E01" w:rsidP="00EE2E01">
      <w:pPr>
        <w:spacing w:before="0" w:after="0"/>
      </w:pPr>
    </w:p>
    <w:p w14:paraId="09735179" w14:textId="77777777" w:rsidR="00EE2E01" w:rsidRPr="00F07782" w:rsidRDefault="00EE2E01" w:rsidP="00EE2E01">
      <w:pPr>
        <w:spacing w:before="0" w:after="0"/>
        <w:rPr>
          <w:b/>
          <w:bCs/>
        </w:rPr>
      </w:pPr>
      <w:r w:rsidRPr="00F07782">
        <w:rPr>
          <w:b/>
          <w:bCs/>
        </w:rPr>
        <w:t xml:space="preserve">Errors: </w:t>
      </w:r>
    </w:p>
    <w:p w14:paraId="28095684" w14:textId="77777777" w:rsidR="00EE2E01" w:rsidRDefault="00EE2E01" w:rsidP="00EE2E01">
      <w:pPr>
        <w:spacing w:before="0" w:after="0"/>
      </w:pPr>
      <w:r>
        <w:t xml:space="preserve">Please note that the data entered result in the following relationships which violate edit checks: </w:t>
      </w:r>
    </w:p>
    <w:p w14:paraId="0948CB57" w14:textId="77777777" w:rsidR="00EE2E01" w:rsidRDefault="00EE2E01" w:rsidP="00EE2E01">
      <w:pPr>
        <w:spacing w:before="0" w:after="0"/>
      </w:pPr>
      <w:r w:rsidRPr="0016785F">
        <w:t/>
      </w:r>
    </w:p>
    <w:p w14:paraId="43A3361C" w14:textId="77777777" w:rsidR="00EE2E01" w:rsidRDefault="00EE2E01" w:rsidP="00EE2E01">
      <w:pPr>
        <w:spacing w:before="0" w:after="0"/>
        <w:rPr>
          <w:rStyle w:val="ui-provider"/>
        </w:rPr>
      </w:pPr>
      <w:r w:rsidRPr="00DB6FBF">
        <w:rPr>
          <w:rStyle w:val="ui-provider"/>
        </w:rPr>
        <w:t xml:space="preserve">State error comments: </w:t>
      </w:r>
    </w:p>
    <w:p w14:paraId="675FAB35" w14:textId="77777777" w:rsidR="00EE2E01" w:rsidRPr="00DB6FBF" w:rsidRDefault="00EE2E01" w:rsidP="00EE2E01">
      <w:pPr>
        <w:spacing w:before="0" w:after="0"/>
        <w:rPr>
          <w:rStyle w:val="ui-provider"/>
        </w:rPr>
      </w:pPr>
      <w:r w:rsidRPr="00DB6FBF">
        <w:rPr>
          <w:rStyle w:val="ui-provider"/>
        </w:rPr>
        <w:t/>
      </w:r>
    </w:p>
    <w:p w14:paraId="6C18DE7A" w14:textId="77777777" w:rsidR="00EE2E01" w:rsidRDefault="00EE2E01" w:rsidP="00EE2E01">
      <w:pPr>
        <w:spacing w:before="0" w:after="0"/>
      </w:pPr>
    </w:p>
    <w:p w14:paraId="111BE8E8" w14:textId="77777777" w:rsidR="00EE2E01" w:rsidRDefault="00EE2E01" w:rsidP="00EE2E01">
      <w:pPr>
        <w:spacing w:before="0" w:after="0"/>
      </w:pPr>
      <w:r>
        <w:t xml:space="preserve">This report shows the most recent data that was entered by: </w:t>
      </w:r>
    </w:p>
    <w:p w14:paraId="76C2C60C" w14:textId="77777777" w:rsidR="00EE2E01" w:rsidRDefault="00EE2E01" w:rsidP="00EE2E01">
      <w:pPr>
        <w:spacing w:before="0" w:after="0"/>
      </w:pPr>
      <w:r>
        <w:t>New Mexico</w:t>
      </w:r>
    </w:p>
    <w:p w14:paraId="2934BC49" w14:textId="77777777" w:rsidR="00EE2E01" w:rsidRDefault="00EE2E01" w:rsidP="00EE2E01">
      <w:pPr>
        <w:spacing w:before="0" w:after="0"/>
      </w:pPr>
      <w:r>
        <w:t>These data were extracted on the close date:</w:t>
      </w:r>
    </w:p>
    <w:p w14:paraId="67281528" w14:textId="77777777" w:rsidR="00EE2E01" w:rsidRDefault="00EE2E01" w:rsidP="00EE2E01">
      <w:pPr>
        <w:spacing w:before="0" w:after="0"/>
      </w:pPr>
      <w:r>
        <w:t>11/15/2023</w:t>
      </w:r>
    </w:p>
    <w:p w14:paraId="657C451C" w14:textId="77777777" w:rsidR="00EE2E01" w:rsidRPr="00EE2E01" w:rsidRDefault="00EE2E01" w:rsidP="00EE2E01"/>
    <w:p w14:paraId="10BA59E7" w14:textId="5817B082" w:rsidR="0058254D" w:rsidRDefault="0058254D">
      <w:pPr>
        <w:spacing w:before="0" w:after="200" w:line="276" w:lineRule="auto"/>
      </w:pPr>
      <w:r>
        <w:br w:type="page"/>
      </w:r>
    </w:p>
    <w:p w14:paraId="1EB6A9F6" w14:textId="77777777" w:rsidR="00085B13" w:rsidRDefault="00085B13" w:rsidP="00085B13">
      <w:pPr>
        <w:pStyle w:val="Heading2"/>
      </w:pPr>
      <w:r>
        <w:lastRenderedPageBreak/>
        <w:t>How the Department Made Determinations</w:t>
      </w:r>
    </w:p>
    <w:p w14:paraId="0972CDF2" w14:textId="77777777" w:rsidR="00085B13" w:rsidRPr="00D733C3" w:rsidRDefault="00085B13" w:rsidP="00085B13">
      <w:pPr>
        <w:rPr>
          <w:szCs w:val="16"/>
        </w:rPr>
      </w:pPr>
    </w:p>
    <w:p w14:paraId="0E00D438" w14:textId="77777777" w:rsidR="00EE2E01" w:rsidRPr="00D733C3" w:rsidRDefault="00EE2E01" w:rsidP="00EE2E01">
      <w:pPr>
        <w:rPr>
          <w:rFonts w:cs="Arial"/>
          <w:szCs w:val="16"/>
        </w:rPr>
      </w:pPr>
      <w:bookmarkStart w:id="122" w:name="Introduction"/>
      <w:bookmarkStart w:id="123" w:name="_Hlk124349373"/>
      <w:bookmarkEnd w:id="3"/>
      <w:bookmarkEnd w:id="122"/>
      <w:bookmarkEnd w:id="123"/>
      <w:r w:rsidRPr="00D733C3">
        <w:rPr>
          <w:rFonts w:cs="Arial"/>
          <w:szCs w:val="16"/>
        </w:rPr>
        <w:t>Below is the location of How the Department Made Determinations (HTDMD) on OSEP’s IDEA Website.  How the Department Made Determinations in 202</w:t>
      </w:r>
      <w:r>
        <w:rPr>
          <w:rFonts w:cs="Arial"/>
          <w:szCs w:val="16"/>
        </w:rPr>
        <w:t>4</w:t>
      </w:r>
      <w:r w:rsidRPr="00D733C3">
        <w:rPr>
          <w:rFonts w:cs="Arial"/>
          <w:szCs w:val="16"/>
        </w:rPr>
        <w:t xml:space="preserve"> will be posted in June 202</w:t>
      </w:r>
      <w:r>
        <w:rPr>
          <w:rFonts w:cs="Arial"/>
          <w:szCs w:val="16"/>
        </w:rPr>
        <w:t>4</w:t>
      </w:r>
      <w:r w:rsidRPr="00D733C3">
        <w:rPr>
          <w:rFonts w:cs="Arial"/>
          <w:szCs w:val="16"/>
        </w:rPr>
        <w:t>. Copy and paste the link below into a browser to view.</w:t>
      </w:r>
    </w:p>
    <w:p w14:paraId="50DA1C7E" w14:textId="77777777" w:rsidR="00EE2E01" w:rsidRPr="00D733C3" w:rsidRDefault="00EE2E01" w:rsidP="00EE2E01">
      <w:pPr>
        <w:pStyle w:val="BodyText"/>
        <w:spacing w:before="7"/>
        <w:rPr>
          <w:rFonts w:ascii="Arial" w:eastAsia="Calibri" w:hAnsi="Arial" w:cs="Arial"/>
          <w:sz w:val="16"/>
          <w:szCs w:val="16"/>
        </w:rPr>
      </w:pPr>
    </w:p>
    <w:p w14:paraId="5A83F7CC" w14:textId="77777777" w:rsidR="00EE2E01" w:rsidRDefault="00000000" w:rsidP="00EE2E01">
      <w:pPr>
        <w:spacing w:before="0" w:after="200" w:line="276" w:lineRule="auto"/>
        <w:rPr>
          <w:rStyle w:val="Hyperlink"/>
          <w:szCs w:val="16"/>
        </w:rPr>
      </w:pPr>
      <w:hyperlink r:id="rId13" w:history="1">
        <w:r w:rsidR="00EE2E01" w:rsidRPr="00D733C3">
          <w:rPr>
            <w:rStyle w:val="Hyperlink"/>
            <w:szCs w:val="16"/>
          </w:rPr>
          <w:t>https://sites.ed.gov/idea/how-the-department-made-determinations/</w:t>
        </w:r>
      </w:hyperlink>
    </w:p>
    <w:p w14:paraId="501736B2" w14:textId="25EA355D" w:rsidR="003749F7" w:rsidRDefault="003749F7">
      <w:pPr>
        <w:spacing w:before="0" w:after="200" w:line="276" w:lineRule="auto"/>
        <w:rPr>
          <w:rStyle w:val="Hyperlink"/>
          <w:szCs w:val="16"/>
        </w:rPr>
      </w:pPr>
      <w:r>
        <w:rPr>
          <w:rStyle w:val="Hyperlink"/>
          <w:szCs w:val="16"/>
        </w:rPr>
        <w:br w:type="page"/>
      </w:r>
    </w:p>
    <w:p w14:paraId="250DFECA" w14:textId="77777777" w:rsidR="003749F7" w:rsidRDefault="003749F7">
      <w:pPr>
        <w:spacing w:before="0" w:after="200" w:line="276" w:lineRule="auto"/>
        <w:rPr>
          <w:rStyle w:val="Hyperlink"/>
          <w:szCs w:val="16"/>
        </w:rPr>
        <w:sectPr w:rsidR="003749F7" w:rsidSect="00A70254">
          <w:headerReference w:type="default" r:id="rId14"/>
          <w:footerReference w:type="default" r:id="rId15"/>
          <w:pgSz w:w="12240" w:h="15840"/>
          <w:pgMar w:top="720" w:right="720" w:bottom="720" w:left="720" w:header="763" w:footer="431" w:gutter="0"/>
          <w:cols w:space="720"/>
          <w:docGrid w:linePitch="218"/>
        </w:sectPr>
      </w:pPr>
    </w:p>
    <w:p w14:paraId="08DC7C9E" w14:textId="77777777" w:rsidR="003749F7" w:rsidRPr="00B6363A" w:rsidRDefault="003749F7" w:rsidP="003749F7">
      <w:pPr>
        <w:pStyle w:val="Heading2"/>
      </w:pPr>
      <w:r w:rsidRPr="00B6363A">
        <w:lastRenderedPageBreak/>
        <w:t>Final Determination Letter</w:t>
      </w:r>
    </w:p>
    <w:p w14:paraId="0DA569F2" w14:textId="77777777" w:rsidR="003749F7" w:rsidRDefault="003749F7" w:rsidP="003749F7">
      <w:pPr>
        <w:spacing w:before="0" w:after="200" w:line="276" w:lineRule="auto"/>
        <w:rPr>
          <w:rFonts w:cs="Arial"/>
          <w:b/>
          <w:bCs/>
          <w:szCs w:val="16"/>
        </w:rPr>
      </w:pPr>
    </w:p>
    <w:p w14:paraId="1DDE281C" w14:textId="25D59CCF" w:rsidR="003749F7" w:rsidRDefault="003749F7" w:rsidP="003749F7">
      <w:pPr>
        <w:spacing w:before="0"/>
        <w:jc w:val="center"/>
        <w:rPr>
          <w:rFonts w:ascii="Times New Roman" w:hAnsi="Times New Roman"/>
          <w:sz w:val="24"/>
        </w:rPr>
      </w:pPr>
      <w:r>
        <w:t>June 2</w:t>
      </w:r>
      <w:r w:rsidR="00972967">
        <w:t>1</w:t>
      </w:r>
      <w:r>
        <w:t>, 2024</w:t>
      </w:r>
    </w:p>
    <w:p w14:paraId="6EB579C9" w14:textId="77777777" w:rsidR="003749F7" w:rsidRPr="001B1007" w:rsidRDefault="003749F7" w:rsidP="003749F7">
      <w:pPr>
        <w:rPr>
          <w:szCs w:val="24"/>
        </w:rPr>
      </w:pPr>
      <w:r w:rsidRPr="001B1007">
        <w:rPr>
          <w:szCs w:val="24"/>
        </w:rPr>
        <w:t xml:space="preserve">Honorable </w:t>
      </w:r>
      <w:r w:rsidRPr="001B1007">
        <w:rPr>
          <w:szCs w:val="24"/>
        </w:rPr>
        <w:t xml:space="preserve">Arsenio Romero</w:t>
      </w:r>
    </w:p>
    <w:p w14:paraId="430DF607" w14:textId="77777777" w:rsidR="003749F7" w:rsidRPr="001B1007" w:rsidRDefault="003749F7" w:rsidP="003749F7">
      <w:pPr>
        <w:spacing w:before="0"/>
        <w:rPr>
          <w:szCs w:val="24"/>
        </w:rPr>
      </w:pPr>
      <w:r w:rsidRPr="001B1007">
        <w:rPr>
          <w:szCs w:val="24"/>
        </w:rPr>
        <w:t>Cabinet Secretary of Public Education</w:t>
      </w:r>
    </w:p>
    <w:p w14:paraId="09A43480" w14:textId="77777777" w:rsidR="003749F7" w:rsidRPr="001B1007" w:rsidRDefault="003749F7" w:rsidP="003749F7">
      <w:pPr>
        <w:spacing w:before="0"/>
        <w:rPr>
          <w:szCs w:val="24"/>
        </w:rPr>
      </w:pPr>
      <w:r w:rsidRPr="001B1007">
        <w:rPr>
          <w:szCs w:val="24"/>
        </w:rPr>
        <w:t>New Mexico Public Education Department</w:t>
      </w:r>
    </w:p>
    <w:p w14:paraId="7B7ED0B0" w14:textId="77777777" w:rsidR="003749F7" w:rsidRPr="001B1007" w:rsidRDefault="003749F7" w:rsidP="003749F7">
      <w:pPr>
        <w:spacing w:before="0"/>
        <w:rPr>
          <w:szCs w:val="24"/>
        </w:rPr>
      </w:pPr>
      <w:r w:rsidRPr="001B1007">
        <w:rPr>
          <w:szCs w:val="24"/>
        </w:rPr>
        <w:t>300 Don Gaspar Avenue</w:t>
      </w:r>
    </w:p>
    <w:p w14:paraId="4B18E700" w14:textId="77777777" w:rsidR="003749F7" w:rsidRPr="001B1007" w:rsidRDefault="003749F7" w:rsidP="003749F7">
      <w:pPr>
        <w:spacing w:before="0"/>
        <w:rPr>
          <w:szCs w:val="24"/>
        </w:rPr>
      </w:pPr>
      <w:r w:rsidRPr="001B1007">
        <w:rPr>
          <w:szCs w:val="24"/>
        </w:rPr>
        <w:t>Santa Fe</w:t>
      </w:r>
      <w:r w:rsidRPr="001B1007">
        <w:rPr>
          <w:szCs w:val="24"/>
        </w:rPr>
        <w:t xml:space="preserve">, </w:t>
      </w:r>
      <w:r w:rsidRPr="001B1007">
        <w:rPr>
          <w:szCs w:val="24"/>
        </w:rPr>
        <w:t>NM</w:t>
      </w:r>
      <w:r w:rsidRPr="001B1007">
        <w:rPr>
          <w:szCs w:val="24"/>
        </w:rPr>
        <w:t xml:space="preserve"> </w:t>
      </w:r>
      <w:r w:rsidRPr="001B1007">
        <w:rPr>
          <w:szCs w:val="24"/>
        </w:rPr>
        <w:t>87501</w:t>
      </w:r>
    </w:p>
    <w:p w14:paraId="0287A8F5" w14:textId="77777777" w:rsidR="00923335" w:rsidRDefault="00923335" w:rsidP="003749F7">
      <w:pPr>
        <w:rPr>
          <w:szCs w:val="24"/>
        </w:rPr>
      </w:pPr>
    </w:p>
    <w:p w14:paraId="0704165A" w14:textId="6AA2AF20" w:rsidR="003749F7" w:rsidRPr="001B1007" w:rsidRDefault="003749F7" w:rsidP="003749F7">
      <w:pPr>
        <w:rPr>
          <w:szCs w:val="24"/>
        </w:rPr>
      </w:pPr>
      <w:r w:rsidRPr="001B1007">
        <w:rPr>
          <w:szCs w:val="24"/>
        </w:rPr>
        <w:t xml:space="preserve">Dear </w:t>
      </w:r>
      <w:r w:rsidRPr="001B1007">
        <w:rPr>
          <w:szCs w:val="24"/>
        </w:rPr>
        <w:t>Secretary</w:t>
      </w:r>
      <w:r w:rsidR="00457F3C">
        <w:rPr>
          <w:szCs w:val="24"/>
        </w:rPr>
        <w:t xml:space="preserve"> </w:t>
      </w:r>
      <w:r w:rsidR="00457F3C" w:rsidRPr="00457F3C">
        <w:rPr>
          <w:szCs w:val="24"/>
        </w:rPr>
        <w:t>Romero</w:t>
      </w:r>
      <w:r w:rsidRPr="001B1007">
        <w:rPr>
          <w:szCs w:val="24"/>
        </w:rPr>
        <w:t>:</w:t>
      </w:r>
    </w:p>
    <w:p w14:paraId="1BE61164" w14:textId="77777777" w:rsidR="00923335" w:rsidRDefault="00923335" w:rsidP="003749F7">
      <w:pPr>
        <w:spacing w:before="0" w:after="0"/>
        <w:rPr>
          <w:rStyle w:val="ui-provider"/>
        </w:rPr>
      </w:pPr>
    </w:p>
    <w:p w14:paraId="40B353E5" w14:textId="52CACC74" w:rsidR="003749F7" w:rsidRPr="001B1007" w:rsidRDefault="003749F7" w:rsidP="003749F7">
      <w:r w:rsidRPr="001B1007">
        <w:t>I am writing to advise you of the U.S. Department of Education’s (Department) 202</w:t>
      </w:r>
      <w:r w:rsidR="00F73E8E">
        <w:t>4</w:t>
      </w:r>
      <w:r w:rsidRPr="001B1007">
        <w:t xml:space="preserve"> determination under Section 616 of the Individuals with Disabilities Education Act (IDEA). The Department has determined that </w:t>
      </w:r>
      <w:r>
        <w:t>New Mexico</w:t>
      </w:r>
      <w:r w:rsidRPr="001B1007">
        <w:t xml:space="preserve"> needs assistance in implementing the requirements of Part B of the IDEA. This determination is based on the totality of </w:t>
      </w:r>
      <w:r w:rsidRPr="00BE0983">
        <w:t>New Mexico's</w:t>
      </w:r>
      <w:r w:rsidRPr="001B1007">
        <w:t xml:space="preserve"> data and information, including the Federal fiscal year (FFY) 202</w:t>
      </w:r>
      <w:r w:rsidR="00F73E8E">
        <w:t>2</w:t>
      </w:r>
      <w:r w:rsidRPr="001B1007">
        <w:t xml:space="preserve"> State Performance Plan/Annual Performance Report (SPP/APR), other State-reported data, and other publicly available information.</w:t>
      </w:r>
    </w:p>
    <w:p w14:paraId="0C0A0460" w14:textId="737D1939" w:rsidR="003749F7" w:rsidRPr="001B1007" w:rsidRDefault="003749F7" w:rsidP="003749F7">
      <w:r w:rsidRPr="00BE0983">
        <w:t>New Mexico's</w:t>
      </w:r>
      <w:r w:rsidRPr="001B1007">
        <w:t xml:space="preserve"> 202</w:t>
      </w:r>
      <w:r w:rsidR="00972967">
        <w:t>4</w:t>
      </w:r>
      <w:r w:rsidRPr="001B1007">
        <w:t xml:space="preserve"> determination is based on the data reflected in its “202</w:t>
      </w:r>
      <w:r w:rsidR="001532B7">
        <w:t>4</w:t>
      </w:r>
      <w:r w:rsidRPr="001B1007">
        <w:t xml:space="preserve"> Part B Results-Driven Accountability Matrix” (RDA Matrix). The RDA Matrix is individualized for each State and Entity and consists of: </w:t>
      </w:r>
    </w:p>
    <w:p w14:paraId="77568660" w14:textId="77777777" w:rsidR="003749F7" w:rsidRPr="001B1007" w:rsidRDefault="003749F7">
      <w:pPr>
        <w:pStyle w:val="ListParagraph"/>
        <w:numPr>
          <w:ilvl w:val="0"/>
          <w:numId w:val="9"/>
        </w:numPr>
        <w:spacing w:before="120" w:after="0"/>
        <w:contextualSpacing w:val="0"/>
      </w:pPr>
      <w:r w:rsidRPr="001B1007">
        <w:t xml:space="preserve">a Compliance Matrix that includes scoring on Compliance Indicators and other compliance factors; </w:t>
      </w:r>
    </w:p>
    <w:p w14:paraId="4D6E1739" w14:textId="77777777" w:rsidR="003749F7" w:rsidRPr="001B1007" w:rsidRDefault="003749F7">
      <w:pPr>
        <w:pStyle w:val="ListParagraph"/>
        <w:numPr>
          <w:ilvl w:val="0"/>
          <w:numId w:val="9"/>
        </w:numPr>
        <w:spacing w:before="120" w:after="0"/>
        <w:contextualSpacing w:val="0"/>
      </w:pPr>
      <w:r w:rsidRPr="001B1007">
        <w:t>a Results Matrix that includes scoring on Results Elements;</w:t>
      </w:r>
    </w:p>
    <w:p w14:paraId="137DB369" w14:textId="77777777" w:rsidR="003749F7" w:rsidRPr="001B1007" w:rsidRDefault="003749F7">
      <w:pPr>
        <w:pStyle w:val="ListParagraph"/>
        <w:numPr>
          <w:ilvl w:val="0"/>
          <w:numId w:val="9"/>
        </w:numPr>
        <w:spacing w:before="120" w:after="0"/>
        <w:contextualSpacing w:val="0"/>
      </w:pPr>
      <w:r w:rsidRPr="001B1007">
        <w:t>a Compliance Score and a Results Score;</w:t>
      </w:r>
    </w:p>
    <w:p w14:paraId="5858847B" w14:textId="77777777" w:rsidR="003749F7" w:rsidRPr="001B1007" w:rsidRDefault="003749F7">
      <w:pPr>
        <w:pStyle w:val="ListParagraph"/>
        <w:numPr>
          <w:ilvl w:val="0"/>
          <w:numId w:val="9"/>
        </w:numPr>
        <w:spacing w:before="120" w:after="0"/>
        <w:contextualSpacing w:val="0"/>
      </w:pPr>
      <w:r w:rsidRPr="001B1007">
        <w:t>an RDA Percentage based on both the Compliance Score and the Results Score; and</w:t>
      </w:r>
    </w:p>
    <w:p w14:paraId="56DF4B82" w14:textId="490513A5" w:rsidR="003749F7" w:rsidRPr="001B1007" w:rsidRDefault="003749F7">
      <w:pPr>
        <w:pStyle w:val="ListParagraph"/>
        <w:numPr>
          <w:ilvl w:val="0"/>
          <w:numId w:val="9"/>
        </w:numPr>
        <w:spacing w:before="120" w:after="0"/>
        <w:contextualSpacing w:val="0"/>
      </w:pPr>
      <w:r w:rsidRPr="001B1007">
        <w:t>the State</w:t>
      </w:r>
      <w:r w:rsidR="00C11944">
        <w:t>’s</w:t>
      </w:r>
      <w:r>
        <w:t xml:space="preserve"> or Entity</w:t>
      </w:r>
      <w:r w:rsidRPr="001B1007">
        <w:t xml:space="preserve">’s Determination. </w:t>
      </w:r>
    </w:p>
    <w:p w14:paraId="47C6BA38" w14:textId="213D822A" w:rsidR="003749F7" w:rsidRDefault="003749F7" w:rsidP="003749F7">
      <w:r w:rsidRPr="001B1007">
        <w:t>The RDA Matrix is further explained in a document, entitled “</w:t>
      </w:r>
      <w:hyperlink r:id="rId16" w:history="1">
        <w:r w:rsidRPr="00512718">
          <w:rPr>
            <w:rStyle w:val="Hyperlink"/>
            <w:szCs w:val="24"/>
          </w:rPr>
          <w:t>How the Department Made Determinations under Section 616(d) of the Individuals with Disabilities Education Act in 202</w:t>
        </w:r>
        <w:r w:rsidR="00972967" w:rsidRPr="00512718">
          <w:rPr>
            <w:rStyle w:val="Hyperlink"/>
            <w:szCs w:val="24"/>
          </w:rPr>
          <w:t>4</w:t>
        </w:r>
        <w:r w:rsidRPr="00512718">
          <w:rPr>
            <w:rStyle w:val="Hyperlink"/>
            <w:szCs w:val="24"/>
          </w:rPr>
          <w:t>: Part B</w:t>
        </w:r>
      </w:hyperlink>
      <w:r w:rsidRPr="001B1007">
        <w:t xml:space="preserve">” (HTDMD). </w:t>
      </w:r>
    </w:p>
    <w:p w14:paraId="2DE2C2C6" w14:textId="46F0A8F7" w:rsidR="003749F7" w:rsidRPr="001B1007" w:rsidRDefault="003749F7" w:rsidP="003749F7">
      <w:bookmarkStart w:id="124" w:name="_Hlk155263664"/>
      <w:r w:rsidRPr="001B1007">
        <w:t>The Office of Special Education Programs (OSEP) is continuing to use both results data and compliance data in making determinations in 202</w:t>
      </w:r>
      <w:r w:rsidR="00633B86">
        <w:t>4</w:t>
      </w:r>
      <w:r w:rsidRPr="001B1007">
        <w:t>, as it did for Part B determinations in 2014-202</w:t>
      </w:r>
      <w:r w:rsidR="00972967">
        <w:t>3</w:t>
      </w:r>
      <w:r w:rsidRPr="001B1007">
        <w:t xml:space="preserve">. </w:t>
      </w:r>
      <w:bookmarkEnd w:id="124"/>
      <w:r>
        <w:t>(</w:t>
      </w:r>
      <w:r w:rsidRPr="001B1007">
        <w:t xml:space="preserve">The specifics of the determination procedures and criteria are set forth in the HTDMD document and reflected in the RDA Matrix for </w:t>
      </w:r>
      <w:r>
        <w:t>New Mexico</w:t>
      </w:r>
      <w:r w:rsidRPr="001B1007">
        <w:t xml:space="preserve">). </w:t>
      </w:r>
    </w:p>
    <w:p w14:paraId="71E73B7B" w14:textId="2C9DE7CC" w:rsidR="003749F7" w:rsidRPr="001B1007" w:rsidRDefault="003749F7" w:rsidP="003749F7">
      <w:r w:rsidRPr="001B1007">
        <w:t>In making Part B determinations in 202</w:t>
      </w:r>
      <w:r w:rsidR="00E55A61">
        <w:t>4</w:t>
      </w:r>
      <w:r w:rsidRPr="001B1007">
        <w:t xml:space="preserve">, OSEP continued to use results data related to: </w:t>
      </w:r>
    </w:p>
    <w:p w14:paraId="4927095A" w14:textId="5B273E17" w:rsidR="003749F7" w:rsidRPr="001B1007" w:rsidRDefault="003749F7" w:rsidP="00E55A61">
      <w:pPr>
        <w:pStyle w:val="ListParagraph"/>
        <w:numPr>
          <w:ilvl w:val="0"/>
          <w:numId w:val="10"/>
        </w:numPr>
        <w:spacing w:before="120" w:after="0"/>
        <w:contextualSpacing w:val="0"/>
      </w:pPr>
      <w:bookmarkStart w:id="126" w:name="_Hlk6923073"/>
      <w:r w:rsidRPr="001B1007">
        <w:t>the participation and performance of CWD on the most recently administered (school year 2021-2022) National Assessment of Educational Progress (NAEP)</w:t>
      </w:r>
      <w:r w:rsidR="00633B86">
        <w:t>,</w:t>
      </w:r>
      <w:r w:rsidR="00E55A61">
        <w:t xml:space="preserve"> as applicable</w:t>
      </w:r>
      <w:r w:rsidRPr="001B1007">
        <w:t xml:space="preserve"> (For the 202</w:t>
      </w:r>
      <w:r w:rsidR="00E55A61">
        <w:t>4</w:t>
      </w:r>
      <w:r w:rsidRPr="001B1007">
        <w:t xml:space="preserve"> determinations, OSEP using results data on the participation and performance of children with disabilities on the NAEP for the 50 States, the District of Columbia, and Puerto Rico. OSEP us</w:t>
      </w:r>
      <w:r w:rsidR="00E55A61">
        <w:t>ed</w:t>
      </w:r>
      <w:r w:rsidRPr="001B1007">
        <w:t xml:space="preserve"> the </w:t>
      </w:r>
      <w:r w:rsidR="00E55A61">
        <w:t xml:space="preserve">available </w:t>
      </w:r>
      <w:r w:rsidRPr="001B1007">
        <w:t xml:space="preserve">NAEP data </w:t>
      </w:r>
      <w:r w:rsidR="00E55A61">
        <w:t>for</w:t>
      </w:r>
      <w:r w:rsidRPr="001B1007">
        <w:t xml:space="preserve"> </w:t>
      </w:r>
      <w:r w:rsidR="00E55A61">
        <w:t xml:space="preserve">Puerto Rico in making </w:t>
      </w:r>
      <w:r w:rsidRPr="001B1007">
        <w:t xml:space="preserve">Puerto Rico’s </w:t>
      </w:r>
      <w:r w:rsidR="00E55A61">
        <w:t xml:space="preserve">2024 </w:t>
      </w:r>
      <w:r w:rsidRPr="001B1007">
        <w:t xml:space="preserve">determination as </w:t>
      </w:r>
      <w:r w:rsidR="00E55A61">
        <w:t xml:space="preserve">it did for Puerto Rico’s 2023 determination. </w:t>
      </w:r>
      <w:r w:rsidRPr="001B1007">
        <w:t>OSEP did not use NAEP data in making the BIE’s 202</w:t>
      </w:r>
      <w:r w:rsidR="00E55A61">
        <w:t>4</w:t>
      </w:r>
      <w:r w:rsidRPr="001B1007">
        <w:t xml:space="preserve"> determination because the NAEP data available for the BIE were not comparable to the NAEP data available for the 50 States, the District of Columbia, and Puerto Rico; specifically, the most recently administered NAEP for the BIE is 2019, whereas the most recently administered NAEP for the 50 States, the District of Columbia, and Puerto Rico is 2022.)</w:t>
      </w:r>
    </w:p>
    <w:bookmarkEnd w:id="126"/>
    <w:p w14:paraId="799EADBD" w14:textId="77777777" w:rsidR="003749F7" w:rsidRPr="001B1007" w:rsidRDefault="003749F7">
      <w:pPr>
        <w:pStyle w:val="ListParagraph"/>
        <w:numPr>
          <w:ilvl w:val="0"/>
          <w:numId w:val="10"/>
        </w:numPr>
        <w:spacing w:before="120" w:after="0"/>
        <w:contextualSpacing w:val="0"/>
      </w:pPr>
      <w:r w:rsidRPr="001B1007">
        <w:t xml:space="preserve">the percentage of CWD who graduated with a regular high school diploma; and </w:t>
      </w:r>
    </w:p>
    <w:p w14:paraId="577C2904" w14:textId="77777777" w:rsidR="003749F7" w:rsidRPr="001B1007" w:rsidRDefault="003749F7">
      <w:pPr>
        <w:pStyle w:val="ListParagraph"/>
        <w:numPr>
          <w:ilvl w:val="0"/>
          <w:numId w:val="10"/>
        </w:numPr>
        <w:spacing w:before="120" w:after="0"/>
        <w:contextualSpacing w:val="0"/>
      </w:pPr>
      <w:r w:rsidRPr="001B1007">
        <w:t xml:space="preserve">the percentage of CWD who dropped out. </w:t>
      </w:r>
    </w:p>
    <w:p w14:paraId="5C507B88" w14:textId="31629AD4" w:rsidR="00745A63" w:rsidRDefault="00745A63" w:rsidP="00CC6999">
      <w:bookmarkStart w:id="127" w:name="_Hlk168481627"/>
      <w:r>
        <w:t>For the 2024 IDEA Part B determinations, OSEP also considered participation of CWD on Statewide assessments (which include the regular assessment and the alternate assessment). While the participation rates of CWD on Statewide assessments were a factor in each State or Entity’s 2024 Part B Results Matrix, no State or Entity received a Needs Intervention determination in 2024 due solely to this criterion. However, this criterion will be fully incorporated beginning with the 2025 determinations.</w:t>
      </w:r>
    </w:p>
    <w:bookmarkEnd w:id="127"/>
    <w:p w14:paraId="402FC587" w14:textId="77777777" w:rsidR="003749F7" w:rsidRPr="001B1007" w:rsidRDefault="003749F7" w:rsidP="003749F7">
      <w:r w:rsidRPr="001B1007">
        <w:t xml:space="preserve">You may access the results of OSEP’s review of </w:t>
      </w:r>
      <w:r w:rsidRPr="00BE0983">
        <w:t>New Mexico's</w:t>
      </w:r>
      <w:r w:rsidRPr="001B1007">
        <w:t xml:space="preserve"> SPP/APR and other relevant data by accessing the E</w:t>
      </w:r>
      <w:r w:rsidRPr="00CC6999">
        <w:rPr>
          <w:i/>
          <w:iCs/>
        </w:rPr>
        <w:t>MAPS</w:t>
      </w:r>
      <w:r w:rsidRPr="001B1007">
        <w:t xml:space="preserve"> SPP/APR reporting tool using your </w:t>
      </w:r>
      <w:r>
        <w:t>New Mexico</w:t>
      </w:r>
      <w:r w:rsidRPr="001B1007">
        <w:t xml:space="preserve">-specific log-on information at </w:t>
      </w:r>
      <w:hyperlink r:id="rId17" w:tooltip="EMAPS SPP/APR reporting tool" w:history="1">
        <w:r w:rsidRPr="007367EC">
          <w:rPr>
            <w:rStyle w:val="Hyperlink"/>
            <w:color w:val="auto"/>
            <w:szCs w:val="24"/>
          </w:rPr>
          <w:t>https://emaps.ed.gov/suite/</w:t>
        </w:r>
      </w:hyperlink>
      <w:r w:rsidRPr="001B1007">
        <w:t xml:space="preserve">. When you access </w:t>
      </w:r>
      <w:r w:rsidRPr="00BE0983">
        <w:t>New Mexico's</w:t>
      </w:r>
      <w:r>
        <w:t xml:space="preserve"> </w:t>
      </w:r>
      <w:r w:rsidRPr="001B1007">
        <w:t xml:space="preserve">SPP/APR on the site, you will find, in applicable Indicators 1 through 17, the OSEP Response to the indicator and any actions that </w:t>
      </w:r>
      <w:r>
        <w:t>New Mexico</w:t>
      </w:r>
      <w:r w:rsidRPr="001B1007">
        <w:t xml:space="preserve"> is required to take. The actions that </w:t>
      </w:r>
      <w:r>
        <w:t>New Mexico</w:t>
      </w:r>
      <w:r w:rsidRPr="001B1007">
        <w:t xml:space="preserve"> is required to take </w:t>
      </w:r>
      <w:r w:rsidRPr="001B1007">
        <w:rPr>
          <w:szCs w:val="24"/>
        </w:rPr>
        <w:t>are in the “Required Actions” section of the indicator.</w:t>
      </w:r>
      <w:r w:rsidRPr="001B1007">
        <w:t xml:space="preserve"> </w:t>
      </w:r>
    </w:p>
    <w:p w14:paraId="03B9B4DF" w14:textId="77777777" w:rsidR="003749F7" w:rsidRPr="001B1007" w:rsidRDefault="003749F7" w:rsidP="003749F7">
      <w:r w:rsidRPr="001B1007">
        <w:t xml:space="preserve">It is important for you to review the Introduction to the SPP/APR, which may also include language in the “OSEP Response” and/or “Required Actions” sections. </w:t>
      </w:r>
    </w:p>
    <w:p w14:paraId="065C86E9" w14:textId="7E1A1857" w:rsidR="003749F7" w:rsidRPr="001B1007" w:rsidRDefault="003749F7" w:rsidP="003749F7">
      <w:r w:rsidRPr="001B1007">
        <w:t xml:space="preserve">You will also find the following important documents </w:t>
      </w:r>
      <w:r w:rsidR="00C941CA">
        <w:t>in the Determinations Enclosures section</w:t>
      </w:r>
      <w:r w:rsidRPr="001B1007">
        <w:t xml:space="preserve">: </w:t>
      </w:r>
    </w:p>
    <w:p w14:paraId="26B05F74" w14:textId="77777777" w:rsidR="003749F7" w:rsidRPr="001B1007" w:rsidRDefault="003749F7">
      <w:pPr>
        <w:pStyle w:val="ListParagraph"/>
        <w:numPr>
          <w:ilvl w:val="0"/>
          <w:numId w:val="11"/>
        </w:numPr>
        <w:spacing w:before="120" w:after="0"/>
        <w:contextualSpacing w:val="0"/>
      </w:pPr>
      <w:r w:rsidRPr="00BE0983">
        <w:t>New Mexico's</w:t>
      </w:r>
      <w:r w:rsidRPr="001B1007">
        <w:t xml:space="preserve"> RDA Matrix; </w:t>
      </w:r>
    </w:p>
    <w:p w14:paraId="574AB191" w14:textId="4A24C268" w:rsidR="003749F7" w:rsidRPr="001B1007" w:rsidRDefault="003749F7">
      <w:pPr>
        <w:pStyle w:val="ListParagraph"/>
        <w:numPr>
          <w:ilvl w:val="0"/>
          <w:numId w:val="11"/>
        </w:numPr>
        <w:spacing w:before="120" w:after="0"/>
        <w:contextualSpacing w:val="0"/>
      </w:pPr>
      <w:r w:rsidRPr="001B1007">
        <w:t xml:space="preserve">the HTDMD </w:t>
      </w:r>
      <w:hyperlink r:id="rId18" w:history="1">
        <w:r w:rsidR="00C941CA" w:rsidRPr="00512718">
          <w:rPr>
            <w:rStyle w:val="Hyperlink"/>
          </w:rPr>
          <w:t>link</w:t>
        </w:r>
      </w:hyperlink>
      <w:r w:rsidRPr="001B1007">
        <w:t xml:space="preserve">; </w:t>
      </w:r>
    </w:p>
    <w:p w14:paraId="678AEC01" w14:textId="466DBA66" w:rsidR="003749F7" w:rsidRPr="001B1007" w:rsidRDefault="003749F7">
      <w:pPr>
        <w:pStyle w:val="ListParagraph"/>
        <w:numPr>
          <w:ilvl w:val="0"/>
          <w:numId w:val="11"/>
        </w:numPr>
        <w:spacing w:before="120" w:after="0"/>
        <w:contextualSpacing w:val="0"/>
      </w:pPr>
      <w:r w:rsidRPr="001B1007">
        <w:t>“202</w:t>
      </w:r>
      <w:r w:rsidR="007D0AB6">
        <w:t>4</w:t>
      </w:r>
      <w:r w:rsidRPr="001B1007">
        <w:t xml:space="preserve"> Data Rubric Part B,” which shows how OSEP calculated </w:t>
      </w:r>
      <w:r w:rsidRPr="00BE0983">
        <w:t>New Mexico's</w:t>
      </w:r>
      <w:r>
        <w:t xml:space="preserve"> </w:t>
      </w:r>
      <w:r w:rsidRPr="001B1007">
        <w:t xml:space="preserve"> “Timely and Accurate State-Reported Data” score in the Compliance Matrix; and</w:t>
      </w:r>
    </w:p>
    <w:p w14:paraId="578CC485" w14:textId="6FC92831" w:rsidR="003749F7" w:rsidRPr="001B1007" w:rsidRDefault="003749F7">
      <w:pPr>
        <w:numPr>
          <w:ilvl w:val="0"/>
          <w:numId w:val="11"/>
        </w:numPr>
        <w:spacing w:before="120" w:after="120"/>
        <w:rPr>
          <w:szCs w:val="24"/>
        </w:rPr>
      </w:pPr>
      <w:r w:rsidRPr="001B1007">
        <w:rPr>
          <w:szCs w:val="24"/>
        </w:rPr>
        <w:t>“Dispute Resolution 202</w:t>
      </w:r>
      <w:r w:rsidR="007D0AB6">
        <w:rPr>
          <w:szCs w:val="24"/>
        </w:rPr>
        <w:t>2</w:t>
      </w:r>
      <w:r w:rsidRPr="001B1007">
        <w:rPr>
          <w:szCs w:val="24"/>
        </w:rPr>
        <w:t>-202</w:t>
      </w:r>
      <w:r w:rsidR="007D0AB6">
        <w:rPr>
          <w:szCs w:val="24"/>
        </w:rPr>
        <w:t>3</w:t>
      </w:r>
      <w:r w:rsidRPr="001B1007">
        <w:rPr>
          <w:szCs w:val="24"/>
        </w:rPr>
        <w:t xml:space="preserve">,” which includes the IDEA Section 618 data that OSEP used to calculate the </w:t>
      </w:r>
      <w:r>
        <w:rPr>
          <w:szCs w:val="24"/>
        </w:rPr>
        <w:t>New Mexico's</w:t>
      </w:r>
      <w:r w:rsidRPr="001B1007">
        <w:rPr>
          <w:szCs w:val="24"/>
        </w:rPr>
        <w:t xml:space="preserve"> “Timely State Complaint Decisions” and “Timely Due Process Hearing Decisions” scores in the Compliance Matrix. </w:t>
      </w:r>
    </w:p>
    <w:p w14:paraId="488B63E9" w14:textId="41995147" w:rsidR="003749F7" w:rsidRPr="001B1007" w:rsidRDefault="003749F7" w:rsidP="003749F7">
      <w:r w:rsidRPr="001B1007">
        <w:t xml:space="preserve">As noted above, </w:t>
      </w:r>
      <w:r w:rsidRPr="00BE0983">
        <w:t>New Mexico's</w:t>
      </w:r>
      <w:r w:rsidRPr="001B1007">
        <w:t xml:space="preserve"> 202</w:t>
      </w:r>
      <w:r w:rsidR="007D0AB6">
        <w:t>4</w:t>
      </w:r>
      <w:r w:rsidRPr="001B1007">
        <w:t xml:space="preserve"> determination is Needs Assistance. A State</w:t>
      </w:r>
      <w:r w:rsidR="001150B3">
        <w:t>’s</w:t>
      </w:r>
      <w:r w:rsidRPr="001B1007">
        <w:t xml:space="preserve"> or Entity’s 202</w:t>
      </w:r>
      <w:r w:rsidR="007D0AB6">
        <w:t>4</w:t>
      </w:r>
      <w:r w:rsidRPr="001B1007">
        <w:t xml:space="preserve"> RDA Determination is Needs Assistance if the RDA Percentage is at least 60% but less than 80%. A State</w:t>
      </w:r>
      <w:r>
        <w:t xml:space="preserve"> or Entity</w:t>
      </w:r>
      <w:r w:rsidRPr="001B1007">
        <w:t>’s determination would also be Needs Assistance if its RDA Determination percentage is 80% or above but the Department has imposed Specific Conditions on the State</w:t>
      </w:r>
      <w:r w:rsidR="001150B3">
        <w:t>’s</w:t>
      </w:r>
      <w:r w:rsidRPr="001B1007">
        <w:t xml:space="preserve"> or Entity’s last three IDEA Part B grant awards (for FFYs 202</w:t>
      </w:r>
      <w:r w:rsidR="007D0AB6">
        <w:t>1</w:t>
      </w:r>
      <w:r w:rsidRPr="001B1007">
        <w:t>, 202</w:t>
      </w:r>
      <w:r w:rsidR="007D0AB6">
        <w:t>2</w:t>
      </w:r>
      <w:r w:rsidRPr="001B1007">
        <w:t>, and 202</w:t>
      </w:r>
      <w:r w:rsidR="007D0AB6">
        <w:t>3</w:t>
      </w:r>
      <w:r w:rsidRPr="001B1007">
        <w:t>), and those Specific Conditions are in effect at the time of the 202</w:t>
      </w:r>
      <w:r w:rsidR="007D0AB6">
        <w:t>4</w:t>
      </w:r>
      <w:r w:rsidRPr="001B1007">
        <w:t xml:space="preserve"> determination.</w:t>
      </w:r>
    </w:p>
    <w:p w14:paraId="0D4D4518" w14:textId="12886215" w:rsidR="003749F7" w:rsidRPr="001B1007" w:rsidRDefault="003749F7" w:rsidP="003749F7">
      <w:pPr>
        <w:rPr>
          <w:rFonts w:eastAsia="Calibri"/>
        </w:rPr>
      </w:pPr>
      <w:r w:rsidRPr="008005F5">
        <w:t>New Mexico's</w:t>
      </w:r>
      <w:r>
        <w:t xml:space="preserve"> </w:t>
      </w:r>
      <w:r w:rsidRPr="001B1007">
        <w:rPr>
          <w:rFonts w:eastAsia="Calibri"/>
        </w:rPr>
        <w:t>determination for 202</w:t>
      </w:r>
      <w:r w:rsidR="005D41B6">
        <w:rPr>
          <w:rFonts w:eastAsia="Calibri"/>
        </w:rPr>
        <w:t>3</w:t>
      </w:r>
      <w:r w:rsidRPr="001B1007">
        <w:rPr>
          <w:rFonts w:eastAsia="Calibri"/>
        </w:rPr>
        <w:t xml:space="preserve"> was also Needs Assistance. In accordance with Section 616(e)(1) of the IDEA and 34 C.F.R. §300.604(a), if a State or Entity is determined to need assistance for two consecutive years, the Secretary must take one or more of the following actions: </w:t>
      </w:r>
    </w:p>
    <w:p w14:paraId="68607193" w14:textId="77777777" w:rsidR="003749F7" w:rsidRPr="001B1007" w:rsidRDefault="003749F7">
      <w:pPr>
        <w:numPr>
          <w:ilvl w:val="0"/>
          <w:numId w:val="16"/>
        </w:numPr>
        <w:spacing w:before="120" w:after="120"/>
        <w:rPr>
          <w:rFonts w:eastAsia="Times New Roman"/>
          <w:szCs w:val="24"/>
        </w:rPr>
      </w:pPr>
      <w:r w:rsidRPr="001B1007">
        <w:rPr>
          <w:szCs w:val="24"/>
        </w:rPr>
        <w:lastRenderedPageBreak/>
        <w:t xml:space="preserve">advise the State or Entity of available sources of technical assistance that may help the State or Entity address the areas in which the State or Entity needs assistance and require the State </w:t>
      </w:r>
      <w:r>
        <w:rPr>
          <w:szCs w:val="24"/>
        </w:rPr>
        <w:t xml:space="preserve">or Entity </w:t>
      </w:r>
      <w:r w:rsidRPr="001B1007">
        <w:rPr>
          <w:szCs w:val="24"/>
        </w:rPr>
        <w:t xml:space="preserve">to work with appropriate entities; </w:t>
      </w:r>
    </w:p>
    <w:p w14:paraId="56F1F5A8" w14:textId="77777777" w:rsidR="003749F7" w:rsidRPr="001B1007" w:rsidRDefault="003749F7">
      <w:pPr>
        <w:numPr>
          <w:ilvl w:val="0"/>
          <w:numId w:val="16"/>
        </w:numPr>
        <w:spacing w:before="120" w:after="120"/>
        <w:rPr>
          <w:szCs w:val="24"/>
        </w:rPr>
      </w:pPr>
      <w:r w:rsidRPr="001B1007">
        <w:rPr>
          <w:szCs w:val="24"/>
        </w:rPr>
        <w:t xml:space="preserve">direct the use of State-level funds on the area or areas in which the State or Entity needs assistance; or </w:t>
      </w:r>
    </w:p>
    <w:p w14:paraId="1B6A2565" w14:textId="71DCD4AF" w:rsidR="003749F7" w:rsidRPr="001B1007" w:rsidRDefault="003749F7">
      <w:pPr>
        <w:numPr>
          <w:ilvl w:val="0"/>
          <w:numId w:val="16"/>
        </w:numPr>
        <w:spacing w:before="120" w:after="120"/>
        <w:rPr>
          <w:szCs w:val="24"/>
        </w:rPr>
      </w:pPr>
      <w:r w:rsidRPr="001B1007">
        <w:rPr>
          <w:szCs w:val="24"/>
        </w:rPr>
        <w:t>identify the State or Entity as a high-risk grantee and impose Specific Conditions on the State</w:t>
      </w:r>
      <w:r w:rsidR="001150B3">
        <w:rPr>
          <w:szCs w:val="24"/>
        </w:rPr>
        <w:t>’s</w:t>
      </w:r>
      <w:r w:rsidRPr="001B1007">
        <w:rPr>
          <w:szCs w:val="24"/>
        </w:rPr>
        <w:t xml:space="preserve"> or Entity’s IDEA Part B grant award.</w:t>
      </w:r>
    </w:p>
    <w:p w14:paraId="522954BA" w14:textId="29689717" w:rsidR="003749F7" w:rsidRPr="001B1007" w:rsidRDefault="003749F7" w:rsidP="003749F7">
      <w:pPr>
        <w:rPr>
          <w:rFonts w:eastAsia="Calibri"/>
        </w:rPr>
      </w:pPr>
      <w:r w:rsidRPr="001B1007">
        <w:rPr>
          <w:rFonts w:eastAsia="Calibri"/>
        </w:rPr>
        <w:t xml:space="preserve">Pursuant to these requirements, the Secretary is advising </w:t>
      </w:r>
      <w:r>
        <w:t>New Mexico</w:t>
      </w:r>
      <w:r w:rsidRPr="001B1007">
        <w:rPr>
          <w:rFonts w:eastAsia="Calibri"/>
        </w:rPr>
        <w:t xml:space="preserve"> of available sources of technical assistance, including OSEP-funded technical assistance centers and resources at the following websites: </w:t>
      </w:r>
      <w:bookmarkStart w:id="128" w:name="_Hlk75275845"/>
      <w:r w:rsidRPr="001B1007">
        <w:fldChar w:fldCharType="begin"/>
      </w:r>
      <w:r w:rsidRPr="001B1007">
        <w:instrText>HYPERLINK "https://osepideasthatwork.org/resources-grantees/program-areas/monitoring-and-state-improvement-planning-msip?tab=pa-resources"</w:instrText>
      </w:r>
      <w:r w:rsidRPr="001B1007">
        <w:fldChar w:fldCharType="separate"/>
      </w:r>
      <w:r w:rsidRPr="007367EC">
        <w:rPr>
          <w:rStyle w:val="Hyperlink"/>
          <w:color w:val="auto"/>
        </w:rPr>
        <w:t>Monitoring and State Improvement Planning (MSIP) | OSEP Ideas That Work</w:t>
      </w:r>
      <w:r w:rsidRPr="001B1007">
        <w:fldChar w:fldCharType="end"/>
      </w:r>
      <w:r w:rsidRPr="001B1007">
        <w:t xml:space="preserve">, </w:t>
      </w:r>
      <w:hyperlink r:id="rId19" w:history="1">
        <w:r w:rsidRPr="007367EC">
          <w:rPr>
            <w:rStyle w:val="Hyperlink"/>
            <w:color w:val="auto"/>
          </w:rPr>
          <w:t>Individuals with Disabilities Education Act (IDEA) Topic Areas</w:t>
        </w:r>
      </w:hyperlink>
      <w:bookmarkEnd w:id="128"/>
      <w:r w:rsidRPr="001B1007">
        <w:rPr>
          <w:rFonts w:eastAsia="Calibri"/>
        </w:rPr>
        <w:t xml:space="preserve">, and requiring </w:t>
      </w:r>
      <w:r>
        <w:t>New Mexico</w:t>
      </w:r>
      <w:r w:rsidRPr="001B1007">
        <w:rPr>
          <w:rFonts w:eastAsia="Calibri"/>
        </w:rPr>
        <w:t xml:space="preserve"> to work with appropriate entities. In addition, </w:t>
      </w:r>
      <w:r>
        <w:t>New Mexico</w:t>
      </w:r>
      <w:r w:rsidRPr="001B1007">
        <w:t xml:space="preserve"> </w:t>
      </w:r>
      <w:r w:rsidRPr="001B1007">
        <w:rPr>
          <w:rFonts w:eastAsia="Calibri"/>
        </w:rPr>
        <w:t xml:space="preserve">should consider accessing technical assistance from other Department-funded centers such as the Comprehensive Centers with resources at the following link: </w:t>
      </w:r>
      <w:hyperlink r:id="rId20" w:tooltip="Comprehensive Centers" w:history="1">
        <w:r w:rsidRPr="007367EC">
          <w:rPr>
            <w:rStyle w:val="Hyperlink"/>
            <w:rFonts w:eastAsia="Calibri"/>
            <w:color w:val="auto"/>
          </w:rPr>
          <w:t>https://compcenternetwork.org/states</w:t>
        </w:r>
      </w:hyperlink>
      <w:r w:rsidRPr="001B1007">
        <w:rPr>
          <w:rFonts w:eastAsia="Calibri"/>
        </w:rPr>
        <w:t xml:space="preserve">. The Secretary directs </w:t>
      </w:r>
      <w:r>
        <w:t>New Mexico</w:t>
      </w:r>
      <w:r w:rsidRPr="001B1007">
        <w:t xml:space="preserve"> </w:t>
      </w:r>
      <w:r w:rsidRPr="001B1007">
        <w:rPr>
          <w:rFonts w:eastAsia="Calibri"/>
        </w:rPr>
        <w:t xml:space="preserve">to determine the results elements and/or compliance indicators, and improvement strategies, on which it will focus its use of available technical assistance, in order to improve its performance. We strongly encourage </w:t>
      </w:r>
      <w:r>
        <w:t>New Mexico</w:t>
      </w:r>
      <w:r w:rsidRPr="001B1007">
        <w:rPr>
          <w:rFonts w:eastAsia="Calibri"/>
        </w:rPr>
        <w:t xml:space="preserve"> to access technical assistance related to those results elements and compliance indicators for which it received a score of zero. </w:t>
      </w:r>
      <w:r>
        <w:t>New Mexico</w:t>
      </w:r>
      <w:r w:rsidRPr="001B1007">
        <w:rPr>
          <w:rFonts w:eastAsia="Calibri"/>
        </w:rPr>
        <w:t xml:space="preserve"> must report with its FFY 202</w:t>
      </w:r>
      <w:r w:rsidR="001150B3">
        <w:rPr>
          <w:rFonts w:eastAsia="Calibri"/>
        </w:rPr>
        <w:t>3</w:t>
      </w:r>
      <w:r w:rsidRPr="001B1007">
        <w:rPr>
          <w:rFonts w:eastAsia="Calibri"/>
        </w:rPr>
        <w:t xml:space="preserve"> SPP/APR submission, due February 1, 202</w:t>
      </w:r>
      <w:r w:rsidR="001150B3">
        <w:rPr>
          <w:rFonts w:eastAsia="Calibri"/>
        </w:rPr>
        <w:t>5</w:t>
      </w:r>
      <w:r w:rsidRPr="001B1007">
        <w:rPr>
          <w:rFonts w:eastAsia="Calibri"/>
        </w:rPr>
        <w:t xml:space="preserve">, on: </w:t>
      </w:r>
    </w:p>
    <w:p w14:paraId="16A456E3" w14:textId="77777777" w:rsidR="003749F7" w:rsidRPr="001B1007" w:rsidRDefault="003749F7">
      <w:pPr>
        <w:numPr>
          <w:ilvl w:val="0"/>
          <w:numId w:val="8"/>
        </w:numPr>
        <w:spacing w:before="120" w:after="120"/>
        <w:rPr>
          <w:rFonts w:eastAsia="Calibri"/>
          <w:szCs w:val="24"/>
        </w:rPr>
      </w:pPr>
      <w:r w:rsidRPr="001B1007">
        <w:rPr>
          <w:rFonts w:eastAsia="Calibri"/>
          <w:szCs w:val="24"/>
        </w:rPr>
        <w:t xml:space="preserve">the technical assistance sources from which </w:t>
      </w:r>
      <w:r>
        <w:t>New Mexico</w:t>
      </w:r>
      <w:r w:rsidRPr="001B1007">
        <w:t xml:space="preserve"> </w:t>
      </w:r>
      <w:r w:rsidRPr="001B1007">
        <w:rPr>
          <w:rFonts w:eastAsia="Calibri"/>
          <w:szCs w:val="24"/>
        </w:rPr>
        <w:t xml:space="preserve">received assistance; and </w:t>
      </w:r>
    </w:p>
    <w:p w14:paraId="39A60AD9" w14:textId="77777777" w:rsidR="003749F7" w:rsidRPr="001B1007" w:rsidRDefault="003749F7">
      <w:pPr>
        <w:numPr>
          <w:ilvl w:val="0"/>
          <w:numId w:val="8"/>
        </w:numPr>
        <w:spacing w:before="120" w:after="120"/>
        <w:rPr>
          <w:rFonts w:eastAsia="Calibri"/>
          <w:szCs w:val="24"/>
        </w:rPr>
      </w:pPr>
      <w:r w:rsidRPr="001B1007">
        <w:rPr>
          <w:rFonts w:eastAsia="Calibri"/>
          <w:szCs w:val="24"/>
        </w:rPr>
        <w:t xml:space="preserve">the actions </w:t>
      </w:r>
      <w:r>
        <w:t>New Mexico</w:t>
      </w:r>
      <w:r w:rsidRPr="001B1007">
        <w:t xml:space="preserve"> </w:t>
      </w:r>
      <w:r w:rsidRPr="001B1007">
        <w:rPr>
          <w:rFonts w:eastAsia="Calibri"/>
          <w:szCs w:val="24"/>
        </w:rPr>
        <w:t>took as a result of that technical assistance.</w:t>
      </w:r>
    </w:p>
    <w:p w14:paraId="31FAEC24" w14:textId="2C790BB3" w:rsidR="003749F7" w:rsidRPr="001B1007" w:rsidRDefault="003749F7" w:rsidP="003749F7">
      <w:pPr>
        <w:rPr>
          <w:rFonts w:eastAsia="Times New Roman"/>
        </w:rPr>
      </w:pPr>
      <w:r w:rsidRPr="001B1007">
        <w:t xml:space="preserve">As required by IDEA Section 616(e)(7) and 34 C.F.R. §300.606, </w:t>
      </w:r>
      <w:r>
        <w:t>New Mexico</w:t>
      </w:r>
      <w:r w:rsidRPr="001B1007">
        <w:t xml:space="preserve"> must notify the public that the Secretary of Education has taken the above enforcement actions, including, at a minimum, by posting a public notice on its website and distributing the notice to the media and through public agencies.</w:t>
      </w:r>
    </w:p>
    <w:bookmarkEnd w:id="129"/>
    <w:p w14:paraId="1D47011F" w14:textId="77777777" w:rsidR="0045468C" w:rsidRDefault="0045468C" w:rsidP="0045468C">
      <w:r w:rsidRPr="001B1007">
        <w:t>IDEA determinations provide an opportunity for all stakeholders to examine State data as that data relate to improving outcomes for infants, toddlers, children, and youth with disabilities. The Department encourages stakeholders to review State SPP/APR data and other available data as part of the focus on improving equitable outcomes for infants, toddlers, children, and youth with disabilities. Key areas the Department encourages State and local personnel to review are access to high-quality intervention and instruction; effective implementation of individualized family service plans (IFSPs) and individualized education programs (IEPs), using data to drive decision-making, supporting strong relationship building with families, and actively addressing educator and other personnel shortages.</w:t>
      </w:r>
    </w:p>
    <w:p w14:paraId="4802C6AC" w14:textId="77777777" w:rsidR="00C941CA" w:rsidRDefault="00C941CA" w:rsidP="00C941CA">
      <w:r w:rsidRPr="001B1007">
        <w:t>For 2025 and beyond, the Department is considering three criteria related to IDEA Part B determinations as part of the Department’s continued efforts to incorporate equity and improve results for CWD. First, the Department is considering as a factor OSEP-identified longstanding noncompliance (i.e., unresolved findings issued by OSEP at least three or more years ago). This factor would be reflected in the determination for each State and Entity through the “longstanding noncompliance” section of the Compliance Matrix beginning with the 2025 determinations. In implementing this factor, the Department is also considering beginning in 2025 whether a State or Entity that would otherwise receive a score of Meets Requirements would not be able to receive a determination of Meets Requirements if the State or Entity had OSEP-identified longstanding noncompliance (i.e., unresolved findings issued by OSEP at least three or more years ago). Second, the Department is considering as potential additional factors the improvement in proficiency rates of CWD on Statewide assessments. Third, the Department is considering whether and how to continue including in its determinations criteria the participation and proficiency of CWD on the NAEP.</w:t>
      </w:r>
    </w:p>
    <w:p w14:paraId="2D8C881B" w14:textId="77777777" w:rsidR="00C941CA" w:rsidRDefault="00C941CA" w:rsidP="00C941CA">
      <w:r w:rsidRPr="001B1007">
        <w:t>For the FFY 2023 SPP/APR submission due on February 1, 2025, OSEP is providing the following information about the IDEA Section 618 data. The 2023-24 IDEA Section 618 Part B data submitted as of the due date will be used for the FFY 2023 SPP/APR and the 2025 IDEA Part B Results Matrix and States and Entities will not be able to resubmit their IDEA Section 618 data after the due date. The 2023-24 IDEA Section 618 Part B data will automatically be prepopulated in the SPP/APR reporting platform for Part B SPP/APR Indicators 3, 5, and 6 (as they have in the past). Under EDFacts Modernization, States and Entities are expected to submit high-quality IDEA Section 618 Part B data that can be published and used by the Department as of the due date. States and Entities are expected to conduct data quality reviews prior to the applicable due date. OSEP expects States and Entities to take one of the following actions for all business rules that are triggered in the EDPass or EMAPS system prior to the applicable due date: 1) revise the uploaded data to address the edit; or 2) provide a data note addressing why the data submission triggered the business rule. States and Entities will be unable to submit the IDEA Section 618 Part B data without taking one of these two actions. There will not be a resubmission period for the IDEA Section 618 Part B data.</w:t>
      </w:r>
    </w:p>
    <w:p w14:paraId="731228D5" w14:textId="1A4DB626" w:rsidR="003749F7" w:rsidRPr="001B1007" w:rsidRDefault="003749F7" w:rsidP="003749F7">
      <w:r w:rsidRPr="001B1007">
        <w:t xml:space="preserve">As a reminder, </w:t>
      </w:r>
      <w:r>
        <w:t>New Mexico</w:t>
      </w:r>
      <w:r w:rsidRPr="001B1007">
        <w:t xml:space="preserve"> must report annually to the public, by posting on the State educational agency’s (SEA’s) website, the performance of each local educational agency (LEA) located in </w:t>
      </w:r>
      <w:r>
        <w:t>New Mexico</w:t>
      </w:r>
      <w:r w:rsidRPr="001B1007">
        <w:t xml:space="preserve"> on the targets in the SPP/APR as soon as practicable, but no later than 120 days after </w:t>
      </w:r>
      <w:r w:rsidRPr="008005F5">
        <w:t>New Mexico's</w:t>
      </w:r>
      <w:r>
        <w:t xml:space="preserve"> </w:t>
      </w:r>
      <w:r w:rsidRPr="001B1007">
        <w:t>submission of its FFY 202</w:t>
      </w:r>
      <w:r w:rsidR="00972967">
        <w:t>2</w:t>
      </w:r>
      <w:r w:rsidRPr="001B1007">
        <w:t xml:space="preserve"> SPP/APR. In addition, </w:t>
      </w:r>
      <w:r>
        <w:t>New Mexico</w:t>
      </w:r>
      <w:r w:rsidRPr="001B1007">
        <w:t xml:space="preserve"> must: </w:t>
      </w:r>
    </w:p>
    <w:p w14:paraId="1AB572E9" w14:textId="77777777" w:rsidR="003749F7" w:rsidRPr="001B1007" w:rsidRDefault="003749F7">
      <w:pPr>
        <w:pStyle w:val="ListParagraph"/>
        <w:numPr>
          <w:ilvl w:val="0"/>
          <w:numId w:val="12"/>
        </w:numPr>
        <w:spacing w:before="120" w:after="0"/>
        <w:contextualSpacing w:val="0"/>
      </w:pPr>
      <w:r w:rsidRPr="001B1007">
        <w:t xml:space="preserve">review LEA performance against targets in the State’s SPP/APR; </w:t>
      </w:r>
    </w:p>
    <w:p w14:paraId="3E060E1D" w14:textId="77777777" w:rsidR="003749F7" w:rsidRPr="001B1007" w:rsidRDefault="003749F7">
      <w:pPr>
        <w:pStyle w:val="ListParagraph"/>
        <w:numPr>
          <w:ilvl w:val="0"/>
          <w:numId w:val="12"/>
        </w:numPr>
        <w:spacing w:before="120" w:after="0"/>
        <w:contextualSpacing w:val="0"/>
      </w:pPr>
      <w:r w:rsidRPr="001B1007">
        <w:t xml:space="preserve">determine if each LEA “meets the requirements” of Part B, or “needs assistance,” “needs intervention,” or “needs substantial intervention” in implementing Part B of the IDEA; </w:t>
      </w:r>
    </w:p>
    <w:p w14:paraId="09585497" w14:textId="77777777" w:rsidR="003749F7" w:rsidRPr="001B1007" w:rsidRDefault="003749F7">
      <w:pPr>
        <w:pStyle w:val="ListParagraph"/>
        <w:numPr>
          <w:ilvl w:val="0"/>
          <w:numId w:val="12"/>
        </w:numPr>
        <w:spacing w:before="120" w:after="0"/>
        <w:contextualSpacing w:val="0"/>
      </w:pPr>
      <w:r w:rsidRPr="001B1007">
        <w:t xml:space="preserve">take appropriate enforcement action; and </w:t>
      </w:r>
    </w:p>
    <w:p w14:paraId="1CB1E778" w14:textId="77777777" w:rsidR="003749F7" w:rsidRPr="001B1007" w:rsidRDefault="003749F7">
      <w:pPr>
        <w:pStyle w:val="ListParagraph"/>
        <w:numPr>
          <w:ilvl w:val="0"/>
          <w:numId w:val="12"/>
        </w:numPr>
        <w:spacing w:before="120" w:after="0"/>
        <w:contextualSpacing w:val="0"/>
      </w:pPr>
      <w:r w:rsidRPr="001B1007">
        <w:t xml:space="preserve">inform each LEA of its determination. </w:t>
      </w:r>
    </w:p>
    <w:p w14:paraId="7009AC6D" w14:textId="77777777" w:rsidR="003749F7" w:rsidRPr="001B1007" w:rsidRDefault="003749F7" w:rsidP="003749F7">
      <w:r w:rsidRPr="001B1007">
        <w:t xml:space="preserve">Further, </w:t>
      </w:r>
      <w:r>
        <w:t>New Mexico</w:t>
      </w:r>
      <w:r w:rsidRPr="001B1007">
        <w:t xml:space="preserve"> must make its SPP/APR available to the public by posting it on the SEA’s website. Within the upcoming weeks, OSEP will be finalizing a State Profile that:</w:t>
      </w:r>
    </w:p>
    <w:p w14:paraId="5DCD3DB3" w14:textId="77777777" w:rsidR="003749F7" w:rsidRPr="001B1007" w:rsidRDefault="003749F7">
      <w:pPr>
        <w:pStyle w:val="ListParagraph"/>
        <w:numPr>
          <w:ilvl w:val="0"/>
          <w:numId w:val="13"/>
        </w:numPr>
        <w:spacing w:before="120" w:after="0"/>
        <w:contextualSpacing w:val="0"/>
      </w:pPr>
      <w:r w:rsidRPr="001B1007">
        <w:t xml:space="preserve">includes </w:t>
      </w:r>
      <w:r w:rsidRPr="008005F5">
        <w:t>New Mexico's</w:t>
      </w:r>
      <w:r>
        <w:t xml:space="preserve"> determination letter and SPP/APR, OSEP attachments, and all State or Entity attachments that are accessible in accordance with Section 508 of the Rehabilitation Act of 1973; and </w:t>
      </w:r>
    </w:p>
    <w:p w14:paraId="25C4DDD0" w14:textId="77777777" w:rsidR="003749F7" w:rsidRPr="001B1007" w:rsidRDefault="003749F7">
      <w:pPr>
        <w:pStyle w:val="ListParagraph"/>
        <w:numPr>
          <w:ilvl w:val="0"/>
          <w:numId w:val="13"/>
        </w:numPr>
        <w:spacing w:before="120" w:after="0"/>
        <w:contextualSpacing w:val="0"/>
      </w:pPr>
      <w:r w:rsidRPr="001B1007">
        <w:t>will be accessible to the public via the ed.gov website.</w:t>
      </w:r>
    </w:p>
    <w:p w14:paraId="0C7E299D" w14:textId="77777777" w:rsidR="003749F7" w:rsidRPr="001B1007" w:rsidRDefault="003749F7" w:rsidP="003749F7">
      <w:r w:rsidRPr="001B1007">
        <w:t xml:space="preserve">OSEP appreciates </w:t>
      </w:r>
      <w:r w:rsidRPr="008005F5">
        <w:t>New Mexico's</w:t>
      </w:r>
      <w:r w:rsidRPr="001B1007">
        <w:t xml:space="preserve"> efforts to improve results for children and youth with disabilities and looks forward to working with </w:t>
      </w:r>
      <w:r>
        <w:t>New Mexico</w:t>
      </w:r>
      <w:r w:rsidRPr="001B1007">
        <w:t xml:space="preserve"> over the next year as we continue our important work of improving the lives of children with disabilities and their families. Please contact your OSEP State Lead if you have any questions, would like to discuss this further, or want to request technical assistance.</w:t>
      </w:r>
    </w:p>
    <w:p w14:paraId="5F0F3696" w14:textId="77777777" w:rsidR="003749F7" w:rsidRPr="001B1007" w:rsidRDefault="003749F7" w:rsidP="003749F7">
      <w:pPr>
        <w:keepNext/>
        <w:ind w:left="4680"/>
        <w:rPr>
          <w:szCs w:val="24"/>
        </w:rPr>
      </w:pPr>
      <w:r w:rsidRPr="001B1007">
        <w:rPr>
          <w:szCs w:val="24"/>
        </w:rPr>
        <w:lastRenderedPageBreak/>
        <w:t>Sincerely,</w:t>
      </w:r>
    </w:p>
    <w:p w14:paraId="65AE0E6D" w14:textId="77777777" w:rsidR="003749F7" w:rsidRPr="001B1007" w:rsidRDefault="003749F7" w:rsidP="003749F7">
      <w:pPr>
        <w:keepNext/>
        <w:spacing w:before="240"/>
        <w:ind w:left="4680"/>
        <w:rPr>
          <w:szCs w:val="24"/>
        </w:rPr>
      </w:pPr>
      <w:r>
        <w:rPr>
          <w:noProof/>
        </w:rPr>
        <w:drawing>
          <wp:inline distT="0" distB="0" distL="0" distR="0" wp14:anchorId="5F898211" wp14:editId="7BEF4D05">
            <wp:extent cx="1922918" cy="336166"/>
            <wp:effectExtent l="0" t="0" r="1270" b="6985"/>
            <wp:docPr id="1" name="Picture 1" descr="A close up of a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text  Description automatically generated"/>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19001" b="24041"/>
                    <a:stretch/>
                  </pic:blipFill>
                  <pic:spPr bwMode="auto">
                    <a:xfrm>
                      <a:off x="0" y="0"/>
                      <a:ext cx="1924050" cy="336364"/>
                    </a:xfrm>
                    <a:prstGeom prst="rect">
                      <a:avLst/>
                    </a:prstGeom>
                    <a:noFill/>
                    <a:ln>
                      <a:noFill/>
                    </a:ln>
                    <a:extLst>
                      <a:ext uri="{53640926-AAD7-44D8-BBD7-CCE9431645EC}">
                        <a14:shadowObscured xmlns:a14="http://schemas.microsoft.com/office/drawing/2010/main"/>
                      </a:ext>
                    </a:extLst>
                  </pic:spPr>
                </pic:pic>
              </a:graphicData>
            </a:graphic>
          </wp:inline>
        </w:drawing>
      </w:r>
    </w:p>
    <w:p w14:paraId="616C680D" w14:textId="77777777" w:rsidR="003749F7" w:rsidRPr="001B1007" w:rsidRDefault="003749F7" w:rsidP="003749F7">
      <w:pPr>
        <w:keepNext/>
        <w:pBdr>
          <w:top w:val="single" w:sz="4" w:space="1" w:color="auto"/>
        </w:pBdr>
        <w:spacing w:before="0"/>
        <w:ind w:left="4680"/>
        <w:rPr>
          <w:szCs w:val="24"/>
        </w:rPr>
      </w:pPr>
      <w:r w:rsidRPr="001B1007">
        <w:rPr>
          <w:szCs w:val="24"/>
        </w:rPr>
        <w:t xml:space="preserve">Valerie </w:t>
      </w:r>
      <w:r>
        <w:rPr>
          <w:szCs w:val="24"/>
        </w:rPr>
        <w:t xml:space="preserve">C. </w:t>
      </w:r>
      <w:r w:rsidRPr="001B1007">
        <w:rPr>
          <w:szCs w:val="24"/>
        </w:rPr>
        <w:t>Williams</w:t>
      </w:r>
    </w:p>
    <w:p w14:paraId="16E0AF9D" w14:textId="77777777" w:rsidR="003749F7" w:rsidRPr="001B1007" w:rsidRDefault="003749F7" w:rsidP="003749F7">
      <w:pPr>
        <w:keepNext/>
        <w:spacing w:before="0"/>
        <w:ind w:left="4680"/>
        <w:rPr>
          <w:szCs w:val="24"/>
        </w:rPr>
      </w:pPr>
      <w:r w:rsidRPr="001B1007">
        <w:rPr>
          <w:szCs w:val="24"/>
        </w:rPr>
        <w:t>Director</w:t>
      </w:r>
    </w:p>
    <w:p w14:paraId="44BDDB4C" w14:textId="77777777" w:rsidR="003749F7" w:rsidRPr="001B1007" w:rsidRDefault="003749F7" w:rsidP="003749F7">
      <w:pPr>
        <w:spacing w:before="0"/>
        <w:ind w:left="4680"/>
        <w:rPr>
          <w:szCs w:val="24"/>
        </w:rPr>
      </w:pPr>
      <w:r w:rsidRPr="001B1007">
        <w:rPr>
          <w:szCs w:val="24"/>
        </w:rPr>
        <w:t>Office of Special Education Programs</w:t>
      </w:r>
    </w:p>
    <w:p w14:paraId="4292D477" w14:textId="77777777" w:rsidR="003749F7" w:rsidRPr="001B1007" w:rsidRDefault="003749F7" w:rsidP="003749F7">
      <w:pPr>
        <w:rPr>
          <w:szCs w:val="24"/>
        </w:rPr>
      </w:pPr>
      <w:r w:rsidRPr="001B1007">
        <w:rPr>
          <w:szCs w:val="24"/>
        </w:rPr>
        <w:t xml:space="preserve">cc: </w:t>
      </w:r>
      <w:r>
        <w:rPr>
          <w:szCs w:val="24"/>
        </w:rPr>
        <w:t>New Mexico</w:t>
      </w:r>
      <w:r w:rsidRPr="001B1007">
        <w:rPr>
          <w:szCs w:val="24"/>
        </w:rPr>
        <w:t xml:space="preserve"> Director of Special Education </w:t>
      </w:r>
    </w:p>
    <w:p w14:paraId="15EDBB9D" w14:textId="77777777" w:rsidR="003749F7" w:rsidRPr="001B1007" w:rsidRDefault="003749F7" w:rsidP="003749F7"/>
    <w:p w14:paraId="5C433C77" w14:textId="77777777" w:rsidR="003749F7" w:rsidRPr="001B1007" w:rsidRDefault="003749F7" w:rsidP="003749F7">
      <w:pPr>
        <w:pStyle w:val="CommentText"/>
      </w:pPr>
    </w:p>
    <w:p w14:paraId="1A73978B" w14:textId="77777777" w:rsidR="003749F7" w:rsidRPr="001B1007" w:rsidRDefault="003749F7" w:rsidP="003749F7">
      <w:pPr>
        <w:spacing w:before="0" w:after="200" w:line="276" w:lineRule="auto"/>
        <w:rPr>
          <w:rFonts w:cs="Arial"/>
          <w:b/>
          <w:bCs/>
          <w:szCs w:val="16"/>
        </w:rPr>
      </w:pPr>
    </w:p>
    <w:p w14:paraId="05B81CB3" w14:textId="2220E482" w:rsidR="00D84A0A" w:rsidRPr="00D733C3" w:rsidRDefault="00D84A0A" w:rsidP="003749F7">
      <w:pPr>
        <w:rPr>
          <w:rFonts w:cs="Arial"/>
          <w:b/>
          <w:bCs/>
          <w:szCs w:val="16"/>
        </w:rPr>
      </w:pPr>
    </w:p>
    <w:sectPr w:rsidR="00D84A0A" w:rsidRPr="00D733C3" w:rsidSect="00A70254">
      <w:headerReference w:type="default" r:id="rId22"/>
      <w:footerReference w:type="default" r:id="rId23"/>
      <w:pgSz w:w="12240" w:h="15840"/>
      <w:pgMar w:top="720" w:right="720" w:bottom="720" w:left="720" w:header="763" w:footer="431"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76D04" w14:textId="77777777" w:rsidR="00330015" w:rsidRDefault="00330015" w:rsidP="000802F7">
      <w:pPr>
        <w:spacing w:before="0" w:after="0"/>
      </w:pPr>
      <w:r>
        <w:separator/>
      </w:r>
    </w:p>
  </w:endnote>
  <w:endnote w:type="continuationSeparator" w:id="0">
    <w:p w14:paraId="6A66D6EE" w14:textId="77777777" w:rsidR="00330015" w:rsidRDefault="00330015" w:rsidP="000802F7">
      <w:pPr>
        <w:spacing w:before="0" w:after="0"/>
      </w:pPr>
      <w:r>
        <w:continuationSeparator/>
      </w:r>
    </w:p>
  </w:endnote>
  <w:endnote w:type="continuationNotice" w:id="1">
    <w:p w14:paraId="52091EC1" w14:textId="77777777" w:rsidR="00330015" w:rsidRDefault="0033001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6032885"/>
      <w:docPartObj>
        <w:docPartGallery w:val="Page Numbers (Bottom of Page)"/>
        <w:docPartUnique/>
      </w:docPartObj>
    </w:sdtPr>
    <w:sdtEndPr>
      <w:rPr>
        <w:noProof/>
      </w:rPr>
    </w:sdtEndPr>
    <w:sdtContent>
      <w:sdt>
        <w:sdtPr>
          <w:id w:val="1521194661"/>
          <w:docPartObj>
            <w:docPartGallery w:val="Page Numbers (Bottom of Page)"/>
            <w:docPartUnique/>
          </w:docPartObj>
        </w:sdtPr>
        <w:sdtEndPr>
          <w:rPr>
            <w:noProof/>
          </w:rPr>
        </w:sdtEndPr>
        <w:sdtContent>
          <w:p w14:paraId="6320AF27" w14:textId="07F84AA5" w:rsidR="0031327B" w:rsidRDefault="00D733C3" w:rsidP="00D733C3">
            <w:pPr>
              <w:pStyle w:val="Footer"/>
              <w:jc w:val="right"/>
              <w:rPr>
                <w:noProof/>
              </w:rPr>
            </w:pPr>
            <w:r>
              <w:fldChar w:fldCharType="begin"/>
            </w:r>
            <w:r>
              <w:instrText xml:space="preserve"> PAGE   \* MERGEFORMAT </w:instrText>
            </w:r>
            <w:r>
              <w:fldChar w:fldCharType="separate"/>
            </w:r>
            <w:r>
              <w:t>3</w:t>
            </w:r>
            <w:r>
              <w:rPr>
                <w:noProof/>
              </w:rPr>
              <w:fldChar w:fldCharType="end"/>
            </w:r>
            <w:r>
              <w:ptab w:relativeTo="margin" w:alignment="right" w:leader="none"/>
            </w:r>
            <w:r>
              <w:t>Part B</w:t>
            </w:r>
          </w:p>
        </w:sdtContent>
      </w:sdt>
    </w:sdtContent>
  </w:sdt>
  <w:p w14:paraId="1BC23CDB" w14:textId="366F33BD" w:rsidR="000F4A1E" w:rsidRDefault="000F4A1E">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8575961"/>
      <w:docPartObj>
        <w:docPartGallery w:val="Page Numbers (Bottom of Page)"/>
        <w:docPartUnique/>
      </w:docPartObj>
    </w:sdtPr>
    <w:sdtEndPr>
      <w:rPr>
        <w:noProof/>
      </w:rPr>
    </w:sdtEndPr>
    <w:sdtContent>
      <w:p w14:paraId="21A975EC" w14:textId="77777777" w:rsidR="00725F6D" w:rsidRPr="00E52257" w:rsidRDefault="00862001" w:rsidP="00923F24">
        <w:pPr>
          <w:jc w:val="center"/>
          <w:rPr>
            <w:color w:val="17365D"/>
            <w:sz w:val="18"/>
          </w:rPr>
        </w:pPr>
        <w:r w:rsidRPr="00E52257">
          <w:rPr>
            <w:color w:val="17365D"/>
            <w:sz w:val="18"/>
          </w:rPr>
          <w:t>400 MARYLAND AVE. S.W., WASHINGTON DC 20202-2600</w:t>
        </w:r>
      </w:p>
      <w:p w14:paraId="7D1DA131" w14:textId="77777777" w:rsidR="00725F6D" w:rsidRPr="00021B5A" w:rsidRDefault="00862001" w:rsidP="00923F24">
        <w:pPr>
          <w:spacing w:before="40"/>
          <w:jc w:val="center"/>
          <w:rPr>
            <w:rStyle w:val="Hyperlink"/>
            <w:color w:val="17365D"/>
            <w:sz w:val="18"/>
          </w:rPr>
        </w:pPr>
        <w:r w:rsidRPr="00021B5A">
          <w:rPr>
            <w:color w:val="17365D"/>
            <w:sz w:val="18"/>
          </w:rPr>
          <w:fldChar w:fldCharType="begin"/>
        </w:r>
        <w:r>
          <w:instrText xml:space="preserve"> HYPERLINK "http://www.ed.gov/" \o "U.S. Department of Education website" </w:instrText>
        </w:r>
        <w:r w:rsidRPr="00021B5A">
          <w:rPr>
            <w:color w:val="17365D"/>
            <w:sz w:val="18"/>
          </w:rPr>
        </w:r>
        <w:r w:rsidRPr="00021B5A">
          <w:rPr>
            <w:color w:val="17365D"/>
            <w:sz w:val="18"/>
          </w:rPr>
          <w:fldChar w:fldCharType="separate"/>
        </w:r>
        <w:r w:rsidRPr="00543045">
          <w:rPr>
            <w:rStyle w:val="Hyperlink"/>
            <w:color w:val="17365D"/>
            <w:sz w:val="18"/>
          </w:rPr>
          <w:t>www.ed.gov</w:t>
        </w:r>
      </w:p>
      <w:p w14:paraId="74BDD96C" w14:textId="77777777" w:rsidR="00725F6D" w:rsidRPr="00E52257" w:rsidRDefault="00862001" w:rsidP="00923F24">
        <w:pPr>
          <w:spacing w:before="40"/>
          <w:jc w:val="center"/>
          <w:rPr>
            <w:color w:val="17365D"/>
            <w:sz w:val="18"/>
          </w:rPr>
        </w:pPr>
        <w:r w:rsidRPr="00021B5A">
          <w:rPr>
            <w:color w:val="17365D"/>
            <w:sz w:val="18"/>
          </w:rPr>
          <w:fldChar w:fldCharType="end"/>
        </w:r>
        <w:r w:rsidRPr="00E52257">
          <w:rPr>
            <w:i/>
            <w:iCs/>
            <w:color w:val="17365D"/>
            <w:sz w:val="18"/>
          </w:rPr>
          <w:t xml:space="preserve">The Department of Education’s mission is to promote student achievement and preparation for global competitiveness by </w:t>
        </w:r>
        <w:r w:rsidRPr="00E52257">
          <w:rPr>
            <w:i/>
            <w:iCs/>
            <w:color w:val="17365D"/>
            <w:sz w:val="18"/>
          </w:rPr>
          <w:br/>
          <w:t>fostering educational excellence and ensuring equal access.</w:t>
        </w:r>
      </w:p>
      <w:sdt>
        <w:sdtPr>
          <w:id w:val="-300998871"/>
          <w:docPartObj>
            <w:docPartGallery w:val="Page Numbers (Bottom of Page)"/>
            <w:docPartUnique/>
          </w:docPartObj>
        </w:sdtPr>
        <w:sdtEndPr>
          <w:rPr>
            <w:noProof/>
          </w:rPr>
        </w:sdtEndPr>
        <w:sdtContent>
          <w:p w14:paraId="324AF18E" w14:textId="77777777" w:rsidR="00725F6D" w:rsidRDefault="00862001" w:rsidP="00D733C3">
            <w:pPr>
              <w:pStyle w:val="Footer"/>
              <w:jc w:val="right"/>
              <w:rPr>
                <w:noProof/>
              </w:rPr>
            </w:pPr>
            <w:r>
              <w:fldChar w:fldCharType="begin"/>
            </w:r>
            <w:r>
              <w:instrText xml:space="preserve"> PAGE   \* MERGEFORMAT </w:instrText>
            </w:r>
            <w:r>
              <w:fldChar w:fldCharType="separate"/>
            </w:r>
            <w:r>
              <w:t>3</w:t>
            </w:r>
            <w:r>
              <w:rPr>
                <w:noProof/>
              </w:rPr>
              <w:fldChar w:fldCharType="end"/>
            </w:r>
            <w:r>
              <w:ptab w:relativeTo="margin" w:alignment="right" w:leader="none"/>
            </w:r>
            <w:r>
              <w:t>Part B</w:t>
            </w:r>
          </w:p>
        </w:sdtContent>
      </w:sdt>
    </w:sdtContent>
  </w:sdt>
  <w:p w14:paraId="0021AF07" w14:textId="77777777" w:rsidR="00725F6D" w:rsidRDefault="00725F6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7AD06" w14:textId="77777777" w:rsidR="00330015" w:rsidRDefault="00330015" w:rsidP="000802F7">
      <w:pPr>
        <w:spacing w:before="0" w:after="0"/>
      </w:pPr>
      <w:r>
        <w:separator/>
      </w:r>
    </w:p>
  </w:footnote>
  <w:footnote w:type="continuationSeparator" w:id="0">
    <w:p w14:paraId="4FBA576A" w14:textId="77777777" w:rsidR="00330015" w:rsidRDefault="00330015" w:rsidP="000802F7">
      <w:pPr>
        <w:spacing w:before="0" w:after="0"/>
      </w:pPr>
      <w:r>
        <w:continuationSeparator/>
      </w:r>
    </w:p>
  </w:footnote>
  <w:footnote w:type="continuationNotice" w:id="1">
    <w:p w14:paraId="4E20F5D0" w14:textId="77777777" w:rsidR="00330015" w:rsidRDefault="0033001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D827F" w14:textId="1332B1B2" w:rsidR="000F4A1E" w:rsidRDefault="000F4A1E">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1C001" w14:textId="77777777" w:rsidR="00725F6D" w:rsidRPr="00923F24" w:rsidRDefault="00862001" w:rsidP="00923F24">
    <w:pPr>
      <w:spacing w:before="120" w:after="0"/>
      <w:ind w:right="1440"/>
      <w:jc w:val="center"/>
      <w:rPr>
        <w:rFonts w:ascii="Times New Roman" w:eastAsia="Times New Roman" w:hAnsi="Times New Roman" w:cs="Times New Roman"/>
        <w:b/>
        <w:smallCaps/>
        <w:color w:val="244061"/>
        <w:sz w:val="24"/>
      </w:rPr>
    </w:pPr>
    <w:r w:rsidRPr="00923F24">
      <w:rPr>
        <w:rFonts w:ascii="Times New Roman" w:eastAsia="Times New Roman" w:hAnsi="Times New Roman" w:cs="Times New Roman"/>
        <w:b/>
        <w:smallCaps/>
        <w:noProof/>
        <w:color w:val="244061"/>
        <w:sz w:val="24"/>
      </w:rPr>
      <w:drawing>
        <wp:anchor distT="0" distB="0" distL="114300" distR="114300" simplePos="0" relativeHeight="251659264" behindDoc="0" locked="0" layoutInCell="1" allowOverlap="1" wp14:anchorId="04934896" wp14:editId="21545BBD">
          <wp:simplePos x="0" y="0"/>
          <wp:positionH relativeFrom="column">
            <wp:posOffset>-51830</wp:posOffset>
          </wp:positionH>
          <wp:positionV relativeFrom="paragraph">
            <wp:posOffset>-191638</wp:posOffset>
          </wp:positionV>
          <wp:extent cx="914400" cy="914400"/>
          <wp:effectExtent l="0" t="0" r="0" b="0"/>
          <wp:wrapSquare wrapText="bothSides"/>
          <wp:docPr id="1522170329" name="Picture 1522170329" descr="U.S.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 Department of Educatio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sidRPr="00923F24">
      <w:rPr>
        <w:rFonts w:ascii="Times New Roman" w:eastAsia="Times New Roman" w:hAnsi="Times New Roman" w:cs="Times New Roman"/>
        <w:b/>
        <w:smallCaps/>
        <w:color w:val="244061"/>
        <w:sz w:val="24"/>
      </w:rPr>
      <w:t>United States Department of Education</w:t>
    </w:r>
  </w:p>
  <w:p w14:paraId="211FB69D" w14:textId="77777777" w:rsidR="00725F6D" w:rsidRDefault="00862001" w:rsidP="00923F24">
    <w:pPr>
      <w:spacing w:before="120" w:after="0"/>
      <w:ind w:right="1440"/>
      <w:jc w:val="center"/>
      <w:rPr>
        <w:rFonts w:ascii="Times New Roman" w:eastAsia="Times New Roman" w:hAnsi="Times New Roman" w:cs="Times New Roman"/>
        <w:b/>
        <w:smallCaps/>
        <w:color w:val="244061"/>
        <w:sz w:val="24"/>
      </w:rPr>
    </w:pPr>
    <w:r w:rsidRPr="00923F24">
      <w:rPr>
        <w:rFonts w:ascii="Times New Roman" w:eastAsia="Times New Roman" w:hAnsi="Times New Roman" w:cs="Times New Roman"/>
        <w:b/>
        <w:smallCaps/>
        <w:color w:val="244061"/>
        <w:sz w:val="24"/>
      </w:rPr>
      <w:t>Office of Special Education and Rehabilitative Services</w:t>
    </w:r>
  </w:p>
  <w:p w14:paraId="58AD6D1D" w14:textId="77777777" w:rsidR="00725F6D" w:rsidRPr="00923F24" w:rsidRDefault="00725F6D" w:rsidP="00923F24">
    <w:pPr>
      <w:spacing w:before="120" w:after="0"/>
      <w:ind w:right="1440"/>
      <w:jc w:val="center"/>
      <w:rPr>
        <w:rFonts w:ascii="Times New Roman" w:eastAsia="Times New Roman" w:hAnsi="Times New Roman" w:cs="Times New Roman"/>
        <w:b/>
        <w:smallCaps/>
        <w:color w:val="244061"/>
        <w:sz w:val="24"/>
      </w:rPr>
    </w:pPr>
  </w:p>
  <w:p w14:paraId="103FE7B3" w14:textId="77777777" w:rsidR="00725F6D" w:rsidRDefault="00725F6D">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9.5pt;height:18.75pt;visibility:visible" o:bullet="t">
        <v:imagedata r:id="rId1" o:title="" croptop="12526f" cropbottom="7411f" cropleft="12045f" cropright="6359f"/>
      </v:shape>
    </w:pict>
  </w:numPicBullet>
  <w:abstractNum w:abstractNumId="0" w15:restartNumberingAfterBreak="0">
    <w:nsid w:val="0288557B"/>
    <w:multiLevelType w:val="hybridMultilevel"/>
    <w:tmpl w:val="8548B854"/>
    <w:lvl w:ilvl="0" w:tplc="00203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526B4"/>
    <w:multiLevelType w:val="hybridMultilevel"/>
    <w:tmpl w:val="43D827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E640E2"/>
    <w:multiLevelType w:val="multilevel"/>
    <w:tmpl w:val="C1CAE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10E5A23"/>
    <w:multiLevelType w:val="hybridMultilevel"/>
    <w:tmpl w:val="081A0F38"/>
    <w:lvl w:ilvl="0" w:tplc="A14A3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10816"/>
    <w:multiLevelType w:val="hybridMultilevel"/>
    <w:tmpl w:val="62F02BE2"/>
    <w:lvl w:ilvl="0" w:tplc="D22C94C8">
      <w:start w:val="1"/>
      <w:numFmt w:val="bullet"/>
      <w:pStyle w:val="RadioButtonBullet"/>
      <w:lvlText w:val=""/>
      <w:lvlPicBulletId w:val="0"/>
      <w:lvlJc w:val="left"/>
      <w:pPr>
        <w:tabs>
          <w:tab w:val="num" w:pos="720"/>
        </w:tabs>
        <w:ind w:left="720" w:hanging="360"/>
      </w:pPr>
      <w:rPr>
        <w:rFonts w:ascii="Symbol" w:hAnsi="Symbol" w:hint="default"/>
      </w:rPr>
    </w:lvl>
    <w:lvl w:ilvl="1" w:tplc="199004C2">
      <w:start w:val="1"/>
      <w:numFmt w:val="bullet"/>
      <w:lvlText w:val=""/>
      <w:lvlJc w:val="left"/>
      <w:pPr>
        <w:tabs>
          <w:tab w:val="num" w:pos="1440"/>
        </w:tabs>
        <w:ind w:left="1440" w:hanging="360"/>
      </w:pPr>
      <w:rPr>
        <w:rFonts w:ascii="Symbol" w:hAnsi="Symbol" w:hint="default"/>
      </w:rPr>
    </w:lvl>
    <w:lvl w:ilvl="2" w:tplc="F45AB4D0" w:tentative="1">
      <w:start w:val="1"/>
      <w:numFmt w:val="bullet"/>
      <w:lvlText w:val=""/>
      <w:lvlJc w:val="left"/>
      <w:pPr>
        <w:tabs>
          <w:tab w:val="num" w:pos="2160"/>
        </w:tabs>
        <w:ind w:left="2160" w:hanging="360"/>
      </w:pPr>
      <w:rPr>
        <w:rFonts w:ascii="Symbol" w:hAnsi="Symbol" w:hint="default"/>
      </w:rPr>
    </w:lvl>
    <w:lvl w:ilvl="3" w:tplc="08340BBE" w:tentative="1">
      <w:start w:val="1"/>
      <w:numFmt w:val="bullet"/>
      <w:lvlText w:val=""/>
      <w:lvlJc w:val="left"/>
      <w:pPr>
        <w:tabs>
          <w:tab w:val="num" w:pos="2880"/>
        </w:tabs>
        <w:ind w:left="2880" w:hanging="360"/>
      </w:pPr>
      <w:rPr>
        <w:rFonts w:ascii="Symbol" w:hAnsi="Symbol" w:hint="default"/>
      </w:rPr>
    </w:lvl>
    <w:lvl w:ilvl="4" w:tplc="C38683EA" w:tentative="1">
      <w:start w:val="1"/>
      <w:numFmt w:val="bullet"/>
      <w:lvlText w:val=""/>
      <w:lvlJc w:val="left"/>
      <w:pPr>
        <w:tabs>
          <w:tab w:val="num" w:pos="3600"/>
        </w:tabs>
        <w:ind w:left="3600" w:hanging="360"/>
      </w:pPr>
      <w:rPr>
        <w:rFonts w:ascii="Symbol" w:hAnsi="Symbol" w:hint="default"/>
      </w:rPr>
    </w:lvl>
    <w:lvl w:ilvl="5" w:tplc="49D286D4" w:tentative="1">
      <w:start w:val="1"/>
      <w:numFmt w:val="bullet"/>
      <w:lvlText w:val=""/>
      <w:lvlJc w:val="left"/>
      <w:pPr>
        <w:tabs>
          <w:tab w:val="num" w:pos="4320"/>
        </w:tabs>
        <w:ind w:left="4320" w:hanging="360"/>
      </w:pPr>
      <w:rPr>
        <w:rFonts w:ascii="Symbol" w:hAnsi="Symbol" w:hint="default"/>
      </w:rPr>
    </w:lvl>
    <w:lvl w:ilvl="6" w:tplc="DDEC5CF2" w:tentative="1">
      <w:start w:val="1"/>
      <w:numFmt w:val="bullet"/>
      <w:lvlText w:val=""/>
      <w:lvlJc w:val="left"/>
      <w:pPr>
        <w:tabs>
          <w:tab w:val="num" w:pos="5040"/>
        </w:tabs>
        <w:ind w:left="5040" w:hanging="360"/>
      </w:pPr>
      <w:rPr>
        <w:rFonts w:ascii="Symbol" w:hAnsi="Symbol" w:hint="default"/>
      </w:rPr>
    </w:lvl>
    <w:lvl w:ilvl="7" w:tplc="1DE8D87A" w:tentative="1">
      <w:start w:val="1"/>
      <w:numFmt w:val="bullet"/>
      <w:lvlText w:val=""/>
      <w:lvlJc w:val="left"/>
      <w:pPr>
        <w:tabs>
          <w:tab w:val="num" w:pos="5760"/>
        </w:tabs>
        <w:ind w:left="5760" w:hanging="360"/>
      </w:pPr>
      <w:rPr>
        <w:rFonts w:ascii="Symbol" w:hAnsi="Symbol" w:hint="default"/>
      </w:rPr>
    </w:lvl>
    <w:lvl w:ilvl="8" w:tplc="772899E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A965831"/>
    <w:multiLevelType w:val="hybridMultilevel"/>
    <w:tmpl w:val="31167B22"/>
    <w:lvl w:ilvl="0" w:tplc="4C76C600">
      <w:start w:val="1"/>
      <w:numFmt w:val="decimal"/>
      <w:lvlText w:val="(%1)"/>
      <w:lvlJc w:val="left"/>
      <w:pPr>
        <w:ind w:left="742" w:hanging="243"/>
      </w:pPr>
      <w:rPr>
        <w:rFonts w:ascii="Calibri" w:eastAsia="Calibri" w:hAnsi="Calibri" w:cs="Calibri" w:hint="default"/>
        <w:spacing w:val="-1"/>
        <w:w w:val="100"/>
        <w:sz w:val="18"/>
        <w:szCs w:val="18"/>
        <w:lang w:val="en-US" w:eastAsia="en-US" w:bidi="ar-SA"/>
      </w:rPr>
    </w:lvl>
    <w:lvl w:ilvl="1" w:tplc="7FB8318A">
      <w:numFmt w:val="bullet"/>
      <w:lvlText w:val="•"/>
      <w:lvlJc w:val="left"/>
      <w:pPr>
        <w:ind w:left="1630" w:hanging="243"/>
      </w:pPr>
      <w:rPr>
        <w:rFonts w:hint="default"/>
        <w:lang w:val="en-US" w:eastAsia="en-US" w:bidi="ar-SA"/>
      </w:rPr>
    </w:lvl>
    <w:lvl w:ilvl="2" w:tplc="0B645188">
      <w:numFmt w:val="bullet"/>
      <w:lvlText w:val="•"/>
      <w:lvlJc w:val="left"/>
      <w:pPr>
        <w:ind w:left="2520" w:hanging="243"/>
      </w:pPr>
      <w:rPr>
        <w:rFonts w:hint="default"/>
        <w:lang w:val="en-US" w:eastAsia="en-US" w:bidi="ar-SA"/>
      </w:rPr>
    </w:lvl>
    <w:lvl w:ilvl="3" w:tplc="2D265A84">
      <w:numFmt w:val="bullet"/>
      <w:lvlText w:val="•"/>
      <w:lvlJc w:val="left"/>
      <w:pPr>
        <w:ind w:left="3410" w:hanging="243"/>
      </w:pPr>
      <w:rPr>
        <w:rFonts w:hint="default"/>
        <w:lang w:val="en-US" w:eastAsia="en-US" w:bidi="ar-SA"/>
      </w:rPr>
    </w:lvl>
    <w:lvl w:ilvl="4" w:tplc="EC3405A6">
      <w:numFmt w:val="bullet"/>
      <w:lvlText w:val="•"/>
      <w:lvlJc w:val="left"/>
      <w:pPr>
        <w:ind w:left="4300" w:hanging="243"/>
      </w:pPr>
      <w:rPr>
        <w:rFonts w:hint="default"/>
        <w:lang w:val="en-US" w:eastAsia="en-US" w:bidi="ar-SA"/>
      </w:rPr>
    </w:lvl>
    <w:lvl w:ilvl="5" w:tplc="1A7453C2">
      <w:numFmt w:val="bullet"/>
      <w:lvlText w:val="•"/>
      <w:lvlJc w:val="left"/>
      <w:pPr>
        <w:ind w:left="5190" w:hanging="243"/>
      </w:pPr>
      <w:rPr>
        <w:rFonts w:hint="default"/>
        <w:lang w:val="en-US" w:eastAsia="en-US" w:bidi="ar-SA"/>
      </w:rPr>
    </w:lvl>
    <w:lvl w:ilvl="6" w:tplc="C08EBB80">
      <w:numFmt w:val="bullet"/>
      <w:lvlText w:val="•"/>
      <w:lvlJc w:val="left"/>
      <w:pPr>
        <w:ind w:left="6080" w:hanging="243"/>
      </w:pPr>
      <w:rPr>
        <w:rFonts w:hint="default"/>
        <w:lang w:val="en-US" w:eastAsia="en-US" w:bidi="ar-SA"/>
      </w:rPr>
    </w:lvl>
    <w:lvl w:ilvl="7" w:tplc="CEDC7EAC">
      <w:numFmt w:val="bullet"/>
      <w:lvlText w:val="•"/>
      <w:lvlJc w:val="left"/>
      <w:pPr>
        <w:ind w:left="6970" w:hanging="243"/>
      </w:pPr>
      <w:rPr>
        <w:rFonts w:hint="default"/>
        <w:lang w:val="en-US" w:eastAsia="en-US" w:bidi="ar-SA"/>
      </w:rPr>
    </w:lvl>
    <w:lvl w:ilvl="8" w:tplc="31E0B7AC">
      <w:numFmt w:val="bullet"/>
      <w:lvlText w:val="•"/>
      <w:lvlJc w:val="left"/>
      <w:pPr>
        <w:ind w:left="7860" w:hanging="243"/>
      </w:pPr>
      <w:rPr>
        <w:rFonts w:hint="default"/>
        <w:lang w:val="en-US" w:eastAsia="en-US" w:bidi="ar-SA"/>
      </w:rPr>
    </w:lvl>
  </w:abstractNum>
  <w:abstractNum w:abstractNumId="6" w15:restartNumberingAfterBreak="0">
    <w:nsid w:val="43DB6ABC"/>
    <w:multiLevelType w:val="multilevel"/>
    <w:tmpl w:val="19F662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62C3BE4"/>
    <w:multiLevelType w:val="multilevel"/>
    <w:tmpl w:val="A9CEB9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F5530B4"/>
    <w:multiLevelType w:val="hybridMultilevel"/>
    <w:tmpl w:val="969A0E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4CC62B6"/>
    <w:multiLevelType w:val="hybridMultilevel"/>
    <w:tmpl w:val="43D827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57D63B9"/>
    <w:multiLevelType w:val="hybridMultilevel"/>
    <w:tmpl w:val="CD9088B0"/>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27F6E09"/>
    <w:multiLevelType w:val="hybridMultilevel"/>
    <w:tmpl w:val="14C08E3C"/>
    <w:lvl w:ilvl="0" w:tplc="11F2CA00">
      <w:start w:val="1"/>
      <w:numFmt w:val="decimal"/>
      <w:lvlText w:val="(%1)"/>
      <w:lvlJc w:val="left"/>
      <w:pPr>
        <w:ind w:left="720" w:hanging="360"/>
      </w:pPr>
      <w:rPr>
        <w:rFonts w:ascii="Arial" w:eastAsiaTheme="minorHAnsi" w:hAnsi="Arial"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44278"/>
    <w:multiLevelType w:val="hybridMultilevel"/>
    <w:tmpl w:val="43D82728"/>
    <w:lvl w:ilvl="0" w:tplc="5BE003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CC7F34"/>
    <w:multiLevelType w:val="hybridMultilevel"/>
    <w:tmpl w:val="9F809C7A"/>
    <w:lvl w:ilvl="0" w:tplc="63A63868">
      <w:start w:val="1"/>
      <w:numFmt w:val="bullet"/>
      <w:pStyle w:val="IndNote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0D1260"/>
    <w:multiLevelType w:val="hybridMultilevel"/>
    <w:tmpl w:val="969A0ED4"/>
    <w:lvl w:ilvl="0" w:tplc="4D3A2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60345B"/>
    <w:multiLevelType w:val="hybridMultilevel"/>
    <w:tmpl w:val="07A0DB14"/>
    <w:lvl w:ilvl="0" w:tplc="FC6C7E0C">
      <w:start w:val="1"/>
      <w:numFmt w:val="decimal"/>
      <w:pStyle w:val="BRIRequirement"/>
      <w:lvlText w:val="BRI%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1335C8"/>
    <w:multiLevelType w:val="hybridMultilevel"/>
    <w:tmpl w:val="FAF4F1C4"/>
    <w:lvl w:ilvl="0" w:tplc="AE4ACDC8">
      <w:start w:val="1"/>
      <w:numFmt w:val="decimal"/>
      <w:pStyle w:val="FigureCaption"/>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3835698">
    <w:abstractNumId w:val="15"/>
  </w:num>
  <w:num w:numId="2" w16cid:durableId="1592162888">
    <w:abstractNumId w:val="4"/>
  </w:num>
  <w:num w:numId="3" w16cid:durableId="1701589992">
    <w:abstractNumId w:val="13"/>
  </w:num>
  <w:num w:numId="4" w16cid:durableId="250937431">
    <w:abstractNumId w:val="16"/>
  </w:num>
  <w:num w:numId="5" w16cid:durableId="1616593578">
    <w:abstractNumId w:val="6"/>
  </w:num>
  <w:num w:numId="6" w16cid:durableId="1061438534">
    <w:abstractNumId w:val="2"/>
  </w:num>
  <w:num w:numId="7" w16cid:durableId="1802728668">
    <w:abstractNumId w:val="7"/>
  </w:num>
  <w:num w:numId="8" w16cid:durableId="10405209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5269979">
    <w:abstractNumId w:val="0"/>
  </w:num>
  <w:num w:numId="10" w16cid:durableId="42338469">
    <w:abstractNumId w:val="11"/>
  </w:num>
  <w:num w:numId="11" w16cid:durableId="1052729607">
    <w:abstractNumId w:val="14"/>
  </w:num>
  <w:num w:numId="12" w16cid:durableId="526408006">
    <w:abstractNumId w:val="12"/>
  </w:num>
  <w:num w:numId="13" w16cid:durableId="1451318079">
    <w:abstractNumId w:val="3"/>
  </w:num>
  <w:num w:numId="14" w16cid:durableId="25982123">
    <w:abstractNumId w:val="1"/>
  </w:num>
  <w:num w:numId="15" w16cid:durableId="762146582">
    <w:abstractNumId w:val="9"/>
  </w:num>
  <w:num w:numId="16" w16cid:durableId="648872921">
    <w:abstractNumId w:val="8"/>
  </w:num>
  <w:num w:numId="17" w16cid:durableId="105928631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69"/>
    <w:rsid w:val="0000024B"/>
    <w:rsid w:val="00000E77"/>
    <w:rsid w:val="0000102A"/>
    <w:rsid w:val="0000116E"/>
    <w:rsid w:val="000013E5"/>
    <w:rsid w:val="0000146B"/>
    <w:rsid w:val="00001EAE"/>
    <w:rsid w:val="000020E9"/>
    <w:rsid w:val="00002320"/>
    <w:rsid w:val="0000272B"/>
    <w:rsid w:val="00002962"/>
    <w:rsid w:val="00002B25"/>
    <w:rsid w:val="00002D92"/>
    <w:rsid w:val="00002E37"/>
    <w:rsid w:val="000032E5"/>
    <w:rsid w:val="000036C1"/>
    <w:rsid w:val="00003894"/>
    <w:rsid w:val="00004592"/>
    <w:rsid w:val="00004700"/>
    <w:rsid w:val="00004880"/>
    <w:rsid w:val="00004E61"/>
    <w:rsid w:val="0000579A"/>
    <w:rsid w:val="000063AC"/>
    <w:rsid w:val="0000663B"/>
    <w:rsid w:val="00006A25"/>
    <w:rsid w:val="000070D5"/>
    <w:rsid w:val="00010158"/>
    <w:rsid w:val="000105C5"/>
    <w:rsid w:val="00011443"/>
    <w:rsid w:val="000114E3"/>
    <w:rsid w:val="00011778"/>
    <w:rsid w:val="00011B86"/>
    <w:rsid w:val="0001227B"/>
    <w:rsid w:val="000124F7"/>
    <w:rsid w:val="00013138"/>
    <w:rsid w:val="0001550D"/>
    <w:rsid w:val="00015D55"/>
    <w:rsid w:val="0001707D"/>
    <w:rsid w:val="00017940"/>
    <w:rsid w:val="00017BA7"/>
    <w:rsid w:val="00017D15"/>
    <w:rsid w:val="000209D6"/>
    <w:rsid w:val="00020E05"/>
    <w:rsid w:val="0002147B"/>
    <w:rsid w:val="00021AE9"/>
    <w:rsid w:val="000221B3"/>
    <w:rsid w:val="000223EC"/>
    <w:rsid w:val="000227B7"/>
    <w:rsid w:val="00023642"/>
    <w:rsid w:val="00023E62"/>
    <w:rsid w:val="000248C8"/>
    <w:rsid w:val="00024979"/>
    <w:rsid w:val="000251C4"/>
    <w:rsid w:val="000256D1"/>
    <w:rsid w:val="00025AFF"/>
    <w:rsid w:val="00025D8D"/>
    <w:rsid w:val="000277CE"/>
    <w:rsid w:val="00027886"/>
    <w:rsid w:val="0003014D"/>
    <w:rsid w:val="000301BA"/>
    <w:rsid w:val="00030B45"/>
    <w:rsid w:val="00031465"/>
    <w:rsid w:val="00031560"/>
    <w:rsid w:val="00031A91"/>
    <w:rsid w:val="00031C3A"/>
    <w:rsid w:val="00031E3A"/>
    <w:rsid w:val="00032548"/>
    <w:rsid w:val="0003292C"/>
    <w:rsid w:val="00032930"/>
    <w:rsid w:val="00032AC4"/>
    <w:rsid w:val="00032DB1"/>
    <w:rsid w:val="00033474"/>
    <w:rsid w:val="000336AC"/>
    <w:rsid w:val="00033723"/>
    <w:rsid w:val="00034A81"/>
    <w:rsid w:val="000360A5"/>
    <w:rsid w:val="000367A3"/>
    <w:rsid w:val="00036AA4"/>
    <w:rsid w:val="00040468"/>
    <w:rsid w:val="00040BA5"/>
    <w:rsid w:val="00041274"/>
    <w:rsid w:val="000417B4"/>
    <w:rsid w:val="00041E27"/>
    <w:rsid w:val="00041FD3"/>
    <w:rsid w:val="0004359A"/>
    <w:rsid w:val="000437FD"/>
    <w:rsid w:val="00043AAB"/>
    <w:rsid w:val="00043AC9"/>
    <w:rsid w:val="000444E2"/>
    <w:rsid w:val="00044883"/>
    <w:rsid w:val="00044B5C"/>
    <w:rsid w:val="00045F9F"/>
    <w:rsid w:val="00046488"/>
    <w:rsid w:val="00046969"/>
    <w:rsid w:val="00046BF9"/>
    <w:rsid w:val="00046F83"/>
    <w:rsid w:val="000477FF"/>
    <w:rsid w:val="00047CB5"/>
    <w:rsid w:val="00051B61"/>
    <w:rsid w:val="000521AB"/>
    <w:rsid w:val="0005247A"/>
    <w:rsid w:val="00052590"/>
    <w:rsid w:val="000526F6"/>
    <w:rsid w:val="00052E15"/>
    <w:rsid w:val="000532EB"/>
    <w:rsid w:val="00053391"/>
    <w:rsid w:val="000533D7"/>
    <w:rsid w:val="00053795"/>
    <w:rsid w:val="00053DFE"/>
    <w:rsid w:val="0005400D"/>
    <w:rsid w:val="000545D2"/>
    <w:rsid w:val="00054985"/>
    <w:rsid w:val="00054A60"/>
    <w:rsid w:val="00054C7A"/>
    <w:rsid w:val="00054FA8"/>
    <w:rsid w:val="000550B2"/>
    <w:rsid w:val="00055BD1"/>
    <w:rsid w:val="00055C7A"/>
    <w:rsid w:val="00055FC7"/>
    <w:rsid w:val="00056350"/>
    <w:rsid w:val="000566E1"/>
    <w:rsid w:val="00056758"/>
    <w:rsid w:val="00056F03"/>
    <w:rsid w:val="00057843"/>
    <w:rsid w:val="000578BA"/>
    <w:rsid w:val="0006058A"/>
    <w:rsid w:val="00060ADC"/>
    <w:rsid w:val="00061459"/>
    <w:rsid w:val="0006151E"/>
    <w:rsid w:val="000618B4"/>
    <w:rsid w:val="00061AB2"/>
    <w:rsid w:val="00061DF1"/>
    <w:rsid w:val="00061F73"/>
    <w:rsid w:val="000622A8"/>
    <w:rsid w:val="0006235D"/>
    <w:rsid w:val="000625F8"/>
    <w:rsid w:val="00062BB2"/>
    <w:rsid w:val="00062E68"/>
    <w:rsid w:val="00063136"/>
    <w:rsid w:val="00063CB9"/>
    <w:rsid w:val="000646AE"/>
    <w:rsid w:val="00064809"/>
    <w:rsid w:val="000648D2"/>
    <w:rsid w:val="00064AB6"/>
    <w:rsid w:val="000657A8"/>
    <w:rsid w:val="000657F0"/>
    <w:rsid w:val="000663C3"/>
    <w:rsid w:val="000668E0"/>
    <w:rsid w:val="00066BAA"/>
    <w:rsid w:val="00066F3E"/>
    <w:rsid w:val="00067654"/>
    <w:rsid w:val="00067C04"/>
    <w:rsid w:val="00070D9E"/>
    <w:rsid w:val="0007196B"/>
    <w:rsid w:val="00071D42"/>
    <w:rsid w:val="00072B99"/>
    <w:rsid w:val="00072BBA"/>
    <w:rsid w:val="00072FEE"/>
    <w:rsid w:val="00073047"/>
    <w:rsid w:val="00073BD7"/>
    <w:rsid w:val="00074237"/>
    <w:rsid w:val="000743D6"/>
    <w:rsid w:val="00074B33"/>
    <w:rsid w:val="000762B0"/>
    <w:rsid w:val="000778C9"/>
    <w:rsid w:val="000802F7"/>
    <w:rsid w:val="000806CC"/>
    <w:rsid w:val="00080D36"/>
    <w:rsid w:val="00080EBD"/>
    <w:rsid w:val="00082667"/>
    <w:rsid w:val="00082757"/>
    <w:rsid w:val="000829BF"/>
    <w:rsid w:val="0008392B"/>
    <w:rsid w:val="00083B68"/>
    <w:rsid w:val="0008402E"/>
    <w:rsid w:val="0008434A"/>
    <w:rsid w:val="000845C1"/>
    <w:rsid w:val="000847AD"/>
    <w:rsid w:val="00084AD7"/>
    <w:rsid w:val="00084FF1"/>
    <w:rsid w:val="000850E1"/>
    <w:rsid w:val="00085111"/>
    <w:rsid w:val="0008540D"/>
    <w:rsid w:val="00085B13"/>
    <w:rsid w:val="00085C21"/>
    <w:rsid w:val="00085D61"/>
    <w:rsid w:val="00085D89"/>
    <w:rsid w:val="000867D7"/>
    <w:rsid w:val="0008752B"/>
    <w:rsid w:val="00087EB9"/>
    <w:rsid w:val="00090132"/>
    <w:rsid w:val="000901D6"/>
    <w:rsid w:val="000903A7"/>
    <w:rsid w:val="00090C2F"/>
    <w:rsid w:val="000915A3"/>
    <w:rsid w:val="00091A40"/>
    <w:rsid w:val="00091DB2"/>
    <w:rsid w:val="000923A7"/>
    <w:rsid w:val="00092636"/>
    <w:rsid w:val="00092E0A"/>
    <w:rsid w:val="00093ACB"/>
    <w:rsid w:val="00094739"/>
    <w:rsid w:val="000948DD"/>
    <w:rsid w:val="00095491"/>
    <w:rsid w:val="00096442"/>
    <w:rsid w:val="0009692C"/>
    <w:rsid w:val="00096A50"/>
    <w:rsid w:val="00096F71"/>
    <w:rsid w:val="00097249"/>
    <w:rsid w:val="000977EB"/>
    <w:rsid w:val="000A01AC"/>
    <w:rsid w:val="000A0593"/>
    <w:rsid w:val="000A1594"/>
    <w:rsid w:val="000A18ED"/>
    <w:rsid w:val="000A1989"/>
    <w:rsid w:val="000A2C83"/>
    <w:rsid w:val="000A2E95"/>
    <w:rsid w:val="000A31F1"/>
    <w:rsid w:val="000A32F4"/>
    <w:rsid w:val="000A4757"/>
    <w:rsid w:val="000A49CD"/>
    <w:rsid w:val="000A49F7"/>
    <w:rsid w:val="000A4CDC"/>
    <w:rsid w:val="000A4ED6"/>
    <w:rsid w:val="000A4FD8"/>
    <w:rsid w:val="000A5A2E"/>
    <w:rsid w:val="000A66A9"/>
    <w:rsid w:val="000A6CA4"/>
    <w:rsid w:val="000A6EEB"/>
    <w:rsid w:val="000A7001"/>
    <w:rsid w:val="000A73A1"/>
    <w:rsid w:val="000A7A15"/>
    <w:rsid w:val="000A7D7D"/>
    <w:rsid w:val="000B050E"/>
    <w:rsid w:val="000B0DE4"/>
    <w:rsid w:val="000B10B1"/>
    <w:rsid w:val="000B1A1B"/>
    <w:rsid w:val="000B1F9C"/>
    <w:rsid w:val="000B2819"/>
    <w:rsid w:val="000B29F8"/>
    <w:rsid w:val="000B2A70"/>
    <w:rsid w:val="000B2C26"/>
    <w:rsid w:val="000B2DCB"/>
    <w:rsid w:val="000B3578"/>
    <w:rsid w:val="000B3A11"/>
    <w:rsid w:val="000B3D92"/>
    <w:rsid w:val="000B4405"/>
    <w:rsid w:val="000B4AA4"/>
    <w:rsid w:val="000B547A"/>
    <w:rsid w:val="000B56BA"/>
    <w:rsid w:val="000B5823"/>
    <w:rsid w:val="000B60CA"/>
    <w:rsid w:val="000B64CB"/>
    <w:rsid w:val="000B7132"/>
    <w:rsid w:val="000B7462"/>
    <w:rsid w:val="000C0565"/>
    <w:rsid w:val="000C0900"/>
    <w:rsid w:val="000C1754"/>
    <w:rsid w:val="000C1C56"/>
    <w:rsid w:val="000C2448"/>
    <w:rsid w:val="000C24C2"/>
    <w:rsid w:val="000C2AED"/>
    <w:rsid w:val="000C3180"/>
    <w:rsid w:val="000C3421"/>
    <w:rsid w:val="000C3A20"/>
    <w:rsid w:val="000C45DB"/>
    <w:rsid w:val="000C47B3"/>
    <w:rsid w:val="000C50F5"/>
    <w:rsid w:val="000C52CF"/>
    <w:rsid w:val="000C5A7A"/>
    <w:rsid w:val="000C5B96"/>
    <w:rsid w:val="000C60E1"/>
    <w:rsid w:val="000C6167"/>
    <w:rsid w:val="000C71F1"/>
    <w:rsid w:val="000C7B90"/>
    <w:rsid w:val="000D03F2"/>
    <w:rsid w:val="000D0B6A"/>
    <w:rsid w:val="000D0EE0"/>
    <w:rsid w:val="000D1580"/>
    <w:rsid w:val="000D2287"/>
    <w:rsid w:val="000D289C"/>
    <w:rsid w:val="000D2EA7"/>
    <w:rsid w:val="000D3273"/>
    <w:rsid w:val="000D3CAE"/>
    <w:rsid w:val="000D3DAA"/>
    <w:rsid w:val="000D3ED8"/>
    <w:rsid w:val="000D3EDF"/>
    <w:rsid w:val="000D3F12"/>
    <w:rsid w:val="000D4537"/>
    <w:rsid w:val="000D4C8D"/>
    <w:rsid w:val="000D67EF"/>
    <w:rsid w:val="000D6C5B"/>
    <w:rsid w:val="000D6EC4"/>
    <w:rsid w:val="000D746C"/>
    <w:rsid w:val="000D79AE"/>
    <w:rsid w:val="000E04D6"/>
    <w:rsid w:val="000E0BA2"/>
    <w:rsid w:val="000E0C95"/>
    <w:rsid w:val="000E0EBC"/>
    <w:rsid w:val="000E1C83"/>
    <w:rsid w:val="000E1FC6"/>
    <w:rsid w:val="000E206D"/>
    <w:rsid w:val="000E23B5"/>
    <w:rsid w:val="000E2A52"/>
    <w:rsid w:val="000E30A8"/>
    <w:rsid w:val="000E33D0"/>
    <w:rsid w:val="000E3445"/>
    <w:rsid w:val="000E3ACC"/>
    <w:rsid w:val="000E4061"/>
    <w:rsid w:val="000E4594"/>
    <w:rsid w:val="000E4B9A"/>
    <w:rsid w:val="000E4EE2"/>
    <w:rsid w:val="000E56FA"/>
    <w:rsid w:val="000E5AAB"/>
    <w:rsid w:val="000E62E5"/>
    <w:rsid w:val="000E6823"/>
    <w:rsid w:val="000E6948"/>
    <w:rsid w:val="000E7350"/>
    <w:rsid w:val="000E7E94"/>
    <w:rsid w:val="000F007B"/>
    <w:rsid w:val="000F0525"/>
    <w:rsid w:val="000F0806"/>
    <w:rsid w:val="000F0D59"/>
    <w:rsid w:val="000F0FCB"/>
    <w:rsid w:val="000F1792"/>
    <w:rsid w:val="000F1C34"/>
    <w:rsid w:val="000F256B"/>
    <w:rsid w:val="000F2A59"/>
    <w:rsid w:val="000F2A8B"/>
    <w:rsid w:val="000F40CF"/>
    <w:rsid w:val="000F435D"/>
    <w:rsid w:val="000F48BC"/>
    <w:rsid w:val="000F4A1E"/>
    <w:rsid w:val="000F4C46"/>
    <w:rsid w:val="000F4E22"/>
    <w:rsid w:val="000F4F37"/>
    <w:rsid w:val="000F66B8"/>
    <w:rsid w:val="000F670E"/>
    <w:rsid w:val="000F7196"/>
    <w:rsid w:val="000F7399"/>
    <w:rsid w:val="000F76DD"/>
    <w:rsid w:val="000F7A89"/>
    <w:rsid w:val="000F7C7C"/>
    <w:rsid w:val="000F7CF3"/>
    <w:rsid w:val="0010110E"/>
    <w:rsid w:val="001011BB"/>
    <w:rsid w:val="0010168C"/>
    <w:rsid w:val="0010170F"/>
    <w:rsid w:val="00101CA5"/>
    <w:rsid w:val="0010203A"/>
    <w:rsid w:val="00102505"/>
    <w:rsid w:val="00102C3C"/>
    <w:rsid w:val="00102F19"/>
    <w:rsid w:val="00102FA3"/>
    <w:rsid w:val="00104B17"/>
    <w:rsid w:val="0010510A"/>
    <w:rsid w:val="00105DC4"/>
    <w:rsid w:val="00105F98"/>
    <w:rsid w:val="001061C0"/>
    <w:rsid w:val="00106D71"/>
    <w:rsid w:val="00107043"/>
    <w:rsid w:val="00107406"/>
    <w:rsid w:val="0010785B"/>
    <w:rsid w:val="00107F32"/>
    <w:rsid w:val="00107FAE"/>
    <w:rsid w:val="00110328"/>
    <w:rsid w:val="0011074D"/>
    <w:rsid w:val="00110BB6"/>
    <w:rsid w:val="001111BE"/>
    <w:rsid w:val="0011161A"/>
    <w:rsid w:val="001126C3"/>
    <w:rsid w:val="00112F4D"/>
    <w:rsid w:val="00113CE9"/>
    <w:rsid w:val="001142DE"/>
    <w:rsid w:val="001150B3"/>
    <w:rsid w:val="0011547F"/>
    <w:rsid w:val="001156D2"/>
    <w:rsid w:val="00115CDA"/>
    <w:rsid w:val="00116D0B"/>
    <w:rsid w:val="00116E25"/>
    <w:rsid w:val="00117490"/>
    <w:rsid w:val="00117588"/>
    <w:rsid w:val="00117696"/>
    <w:rsid w:val="00117952"/>
    <w:rsid w:val="001203FA"/>
    <w:rsid w:val="0012058D"/>
    <w:rsid w:val="00120808"/>
    <w:rsid w:val="00121709"/>
    <w:rsid w:val="00121968"/>
    <w:rsid w:val="00122103"/>
    <w:rsid w:val="0012230D"/>
    <w:rsid w:val="00122384"/>
    <w:rsid w:val="001225CB"/>
    <w:rsid w:val="00123D76"/>
    <w:rsid w:val="00123FF7"/>
    <w:rsid w:val="00124025"/>
    <w:rsid w:val="00124A5D"/>
    <w:rsid w:val="00124E6A"/>
    <w:rsid w:val="00124ED5"/>
    <w:rsid w:val="00126039"/>
    <w:rsid w:val="001266CE"/>
    <w:rsid w:val="001267A3"/>
    <w:rsid w:val="00126B45"/>
    <w:rsid w:val="00126ED9"/>
    <w:rsid w:val="00126FF9"/>
    <w:rsid w:val="00127006"/>
    <w:rsid w:val="00127037"/>
    <w:rsid w:val="00127074"/>
    <w:rsid w:val="001270B8"/>
    <w:rsid w:val="001273C6"/>
    <w:rsid w:val="00127B4A"/>
    <w:rsid w:val="00127FEE"/>
    <w:rsid w:val="00130AE9"/>
    <w:rsid w:val="001316B1"/>
    <w:rsid w:val="00131842"/>
    <w:rsid w:val="00131F82"/>
    <w:rsid w:val="001323A5"/>
    <w:rsid w:val="00132EE9"/>
    <w:rsid w:val="001336AE"/>
    <w:rsid w:val="00133C73"/>
    <w:rsid w:val="0013422A"/>
    <w:rsid w:val="00134567"/>
    <w:rsid w:val="0013465F"/>
    <w:rsid w:val="0013495C"/>
    <w:rsid w:val="00134C80"/>
    <w:rsid w:val="00134F30"/>
    <w:rsid w:val="00135576"/>
    <w:rsid w:val="00135F0C"/>
    <w:rsid w:val="00136BE2"/>
    <w:rsid w:val="00136C54"/>
    <w:rsid w:val="001378D0"/>
    <w:rsid w:val="00137AD3"/>
    <w:rsid w:val="0014043C"/>
    <w:rsid w:val="00140972"/>
    <w:rsid w:val="00140A8A"/>
    <w:rsid w:val="00141A33"/>
    <w:rsid w:val="00141E29"/>
    <w:rsid w:val="00142056"/>
    <w:rsid w:val="00142117"/>
    <w:rsid w:val="001428A0"/>
    <w:rsid w:val="001430AA"/>
    <w:rsid w:val="001436E0"/>
    <w:rsid w:val="0014399E"/>
    <w:rsid w:val="001445CE"/>
    <w:rsid w:val="00144795"/>
    <w:rsid w:val="00145049"/>
    <w:rsid w:val="001450D9"/>
    <w:rsid w:val="001465F2"/>
    <w:rsid w:val="00146BB0"/>
    <w:rsid w:val="00146C28"/>
    <w:rsid w:val="00146FBA"/>
    <w:rsid w:val="001474EC"/>
    <w:rsid w:val="0014778D"/>
    <w:rsid w:val="00150A68"/>
    <w:rsid w:val="00150B3B"/>
    <w:rsid w:val="00151F97"/>
    <w:rsid w:val="0015313D"/>
    <w:rsid w:val="001532B7"/>
    <w:rsid w:val="00153F2D"/>
    <w:rsid w:val="001542AE"/>
    <w:rsid w:val="0015622A"/>
    <w:rsid w:val="00156264"/>
    <w:rsid w:val="00156865"/>
    <w:rsid w:val="0015691B"/>
    <w:rsid w:val="00156C67"/>
    <w:rsid w:val="00156F30"/>
    <w:rsid w:val="00156FDD"/>
    <w:rsid w:val="001603DE"/>
    <w:rsid w:val="001604F3"/>
    <w:rsid w:val="00160856"/>
    <w:rsid w:val="00160D96"/>
    <w:rsid w:val="001612CB"/>
    <w:rsid w:val="00161D1D"/>
    <w:rsid w:val="001628C0"/>
    <w:rsid w:val="00162F4A"/>
    <w:rsid w:val="001633A0"/>
    <w:rsid w:val="0016350F"/>
    <w:rsid w:val="001638EB"/>
    <w:rsid w:val="00163AF4"/>
    <w:rsid w:val="00163BEE"/>
    <w:rsid w:val="00163D63"/>
    <w:rsid w:val="00163FA7"/>
    <w:rsid w:val="001647C7"/>
    <w:rsid w:val="00164AAD"/>
    <w:rsid w:val="00164B78"/>
    <w:rsid w:val="00164E7F"/>
    <w:rsid w:val="00165225"/>
    <w:rsid w:val="0016528C"/>
    <w:rsid w:val="00165467"/>
    <w:rsid w:val="00165B2C"/>
    <w:rsid w:val="00166D00"/>
    <w:rsid w:val="0016730D"/>
    <w:rsid w:val="00167423"/>
    <w:rsid w:val="00167BF7"/>
    <w:rsid w:val="00170A9A"/>
    <w:rsid w:val="001711DC"/>
    <w:rsid w:val="00172058"/>
    <w:rsid w:val="001720C2"/>
    <w:rsid w:val="00172C41"/>
    <w:rsid w:val="00172F58"/>
    <w:rsid w:val="00173186"/>
    <w:rsid w:val="0017335B"/>
    <w:rsid w:val="001739F9"/>
    <w:rsid w:val="00173DFE"/>
    <w:rsid w:val="001744F9"/>
    <w:rsid w:val="00174662"/>
    <w:rsid w:val="00174B9B"/>
    <w:rsid w:val="001750A0"/>
    <w:rsid w:val="00175656"/>
    <w:rsid w:val="001756FB"/>
    <w:rsid w:val="00175845"/>
    <w:rsid w:val="00175D9B"/>
    <w:rsid w:val="00176082"/>
    <w:rsid w:val="00176779"/>
    <w:rsid w:val="001773E7"/>
    <w:rsid w:val="00177BC6"/>
    <w:rsid w:val="00177E7A"/>
    <w:rsid w:val="00177EC7"/>
    <w:rsid w:val="001806EA"/>
    <w:rsid w:val="00181070"/>
    <w:rsid w:val="00181813"/>
    <w:rsid w:val="001829C9"/>
    <w:rsid w:val="00182B26"/>
    <w:rsid w:val="001831D2"/>
    <w:rsid w:val="001835EE"/>
    <w:rsid w:val="00183E9B"/>
    <w:rsid w:val="001843C6"/>
    <w:rsid w:val="00184911"/>
    <w:rsid w:val="00184A72"/>
    <w:rsid w:val="001853BF"/>
    <w:rsid w:val="00185BA9"/>
    <w:rsid w:val="00186309"/>
    <w:rsid w:val="0018657A"/>
    <w:rsid w:val="00186964"/>
    <w:rsid w:val="001875AF"/>
    <w:rsid w:val="00190104"/>
    <w:rsid w:val="00191350"/>
    <w:rsid w:val="0019260C"/>
    <w:rsid w:val="00193321"/>
    <w:rsid w:val="00194AD8"/>
    <w:rsid w:val="001955AC"/>
    <w:rsid w:val="001965F5"/>
    <w:rsid w:val="0019671E"/>
    <w:rsid w:val="00196B54"/>
    <w:rsid w:val="00196BEB"/>
    <w:rsid w:val="00196BF6"/>
    <w:rsid w:val="00196CE6"/>
    <w:rsid w:val="00196F4B"/>
    <w:rsid w:val="001A0637"/>
    <w:rsid w:val="001A0C28"/>
    <w:rsid w:val="001A189D"/>
    <w:rsid w:val="001A1911"/>
    <w:rsid w:val="001A1ABA"/>
    <w:rsid w:val="001A2657"/>
    <w:rsid w:val="001A2D6A"/>
    <w:rsid w:val="001A31FD"/>
    <w:rsid w:val="001A342F"/>
    <w:rsid w:val="001A3539"/>
    <w:rsid w:val="001A3BEB"/>
    <w:rsid w:val="001A4886"/>
    <w:rsid w:val="001A582D"/>
    <w:rsid w:val="001A5EEE"/>
    <w:rsid w:val="001A60EE"/>
    <w:rsid w:val="001A6B81"/>
    <w:rsid w:val="001A6E55"/>
    <w:rsid w:val="001B07D3"/>
    <w:rsid w:val="001B12D3"/>
    <w:rsid w:val="001B1437"/>
    <w:rsid w:val="001B16F4"/>
    <w:rsid w:val="001B1B03"/>
    <w:rsid w:val="001B1B38"/>
    <w:rsid w:val="001B1E5C"/>
    <w:rsid w:val="001B2F50"/>
    <w:rsid w:val="001B2FFF"/>
    <w:rsid w:val="001B30DB"/>
    <w:rsid w:val="001B35F8"/>
    <w:rsid w:val="001B3D85"/>
    <w:rsid w:val="001B43E4"/>
    <w:rsid w:val="001B45DD"/>
    <w:rsid w:val="001B4AF7"/>
    <w:rsid w:val="001B5174"/>
    <w:rsid w:val="001B5210"/>
    <w:rsid w:val="001B560A"/>
    <w:rsid w:val="001B5817"/>
    <w:rsid w:val="001B5AFB"/>
    <w:rsid w:val="001B5CAF"/>
    <w:rsid w:val="001B7525"/>
    <w:rsid w:val="001B75FD"/>
    <w:rsid w:val="001B7C2C"/>
    <w:rsid w:val="001B7E95"/>
    <w:rsid w:val="001C00E2"/>
    <w:rsid w:val="001C05DB"/>
    <w:rsid w:val="001C0D43"/>
    <w:rsid w:val="001C23B6"/>
    <w:rsid w:val="001C2B29"/>
    <w:rsid w:val="001C2BF0"/>
    <w:rsid w:val="001C2E4E"/>
    <w:rsid w:val="001C2FC6"/>
    <w:rsid w:val="001C3129"/>
    <w:rsid w:val="001C34E6"/>
    <w:rsid w:val="001C443D"/>
    <w:rsid w:val="001C46DC"/>
    <w:rsid w:val="001C4828"/>
    <w:rsid w:val="001C4BFE"/>
    <w:rsid w:val="001C6C30"/>
    <w:rsid w:val="001C79FF"/>
    <w:rsid w:val="001C7E55"/>
    <w:rsid w:val="001D000B"/>
    <w:rsid w:val="001D009F"/>
    <w:rsid w:val="001D0860"/>
    <w:rsid w:val="001D16F7"/>
    <w:rsid w:val="001D17B3"/>
    <w:rsid w:val="001D1A20"/>
    <w:rsid w:val="001D1B71"/>
    <w:rsid w:val="001D21D9"/>
    <w:rsid w:val="001D2E9B"/>
    <w:rsid w:val="001D3C35"/>
    <w:rsid w:val="001D3D0A"/>
    <w:rsid w:val="001D496D"/>
    <w:rsid w:val="001D508C"/>
    <w:rsid w:val="001D508D"/>
    <w:rsid w:val="001D51D9"/>
    <w:rsid w:val="001D55EC"/>
    <w:rsid w:val="001D5841"/>
    <w:rsid w:val="001D5BAF"/>
    <w:rsid w:val="001D5F4A"/>
    <w:rsid w:val="001D677D"/>
    <w:rsid w:val="001D6A0A"/>
    <w:rsid w:val="001D6B3B"/>
    <w:rsid w:val="001D6BA5"/>
    <w:rsid w:val="001D7011"/>
    <w:rsid w:val="001D71B6"/>
    <w:rsid w:val="001E0824"/>
    <w:rsid w:val="001E141D"/>
    <w:rsid w:val="001E1828"/>
    <w:rsid w:val="001E1D92"/>
    <w:rsid w:val="001E2193"/>
    <w:rsid w:val="001E2418"/>
    <w:rsid w:val="001E2749"/>
    <w:rsid w:val="001E2AFB"/>
    <w:rsid w:val="001E2E5A"/>
    <w:rsid w:val="001E2F3E"/>
    <w:rsid w:val="001E430B"/>
    <w:rsid w:val="001E4624"/>
    <w:rsid w:val="001E49B3"/>
    <w:rsid w:val="001E5B13"/>
    <w:rsid w:val="001E5CEA"/>
    <w:rsid w:val="001E6A41"/>
    <w:rsid w:val="001E6FDD"/>
    <w:rsid w:val="001E724E"/>
    <w:rsid w:val="001E733F"/>
    <w:rsid w:val="001E7916"/>
    <w:rsid w:val="001E7CA0"/>
    <w:rsid w:val="001F07A9"/>
    <w:rsid w:val="001F0BFD"/>
    <w:rsid w:val="001F1168"/>
    <w:rsid w:val="001F1275"/>
    <w:rsid w:val="001F165D"/>
    <w:rsid w:val="001F1F11"/>
    <w:rsid w:val="001F2531"/>
    <w:rsid w:val="001F2870"/>
    <w:rsid w:val="001F2C34"/>
    <w:rsid w:val="001F2DC7"/>
    <w:rsid w:val="001F32F8"/>
    <w:rsid w:val="001F361D"/>
    <w:rsid w:val="001F3A65"/>
    <w:rsid w:val="001F3A6C"/>
    <w:rsid w:val="001F448F"/>
    <w:rsid w:val="001F4991"/>
    <w:rsid w:val="001F4C9D"/>
    <w:rsid w:val="001F5453"/>
    <w:rsid w:val="001F57DF"/>
    <w:rsid w:val="001F64DB"/>
    <w:rsid w:val="001F6583"/>
    <w:rsid w:val="001F692C"/>
    <w:rsid w:val="001F6A28"/>
    <w:rsid w:val="001F6BAA"/>
    <w:rsid w:val="001F7049"/>
    <w:rsid w:val="001F7C95"/>
    <w:rsid w:val="002002C8"/>
    <w:rsid w:val="00200745"/>
    <w:rsid w:val="00200DF4"/>
    <w:rsid w:val="0020141B"/>
    <w:rsid w:val="00201889"/>
    <w:rsid w:val="00201B4B"/>
    <w:rsid w:val="00202A6D"/>
    <w:rsid w:val="002043C7"/>
    <w:rsid w:val="0020456D"/>
    <w:rsid w:val="002049CF"/>
    <w:rsid w:val="00204FB9"/>
    <w:rsid w:val="00205239"/>
    <w:rsid w:val="0020552B"/>
    <w:rsid w:val="00205E6B"/>
    <w:rsid w:val="00206890"/>
    <w:rsid w:val="00206A65"/>
    <w:rsid w:val="00207D31"/>
    <w:rsid w:val="00210AC6"/>
    <w:rsid w:val="00210D18"/>
    <w:rsid w:val="00210F75"/>
    <w:rsid w:val="0021110D"/>
    <w:rsid w:val="00211617"/>
    <w:rsid w:val="00211DCE"/>
    <w:rsid w:val="00212954"/>
    <w:rsid w:val="00212E92"/>
    <w:rsid w:val="00214263"/>
    <w:rsid w:val="00214749"/>
    <w:rsid w:val="0021481D"/>
    <w:rsid w:val="00214BEB"/>
    <w:rsid w:val="0021530B"/>
    <w:rsid w:val="00215E33"/>
    <w:rsid w:val="00216A75"/>
    <w:rsid w:val="00217F33"/>
    <w:rsid w:val="00220311"/>
    <w:rsid w:val="002203FA"/>
    <w:rsid w:val="0022093F"/>
    <w:rsid w:val="002210FB"/>
    <w:rsid w:val="00221206"/>
    <w:rsid w:val="00221EC9"/>
    <w:rsid w:val="002223BB"/>
    <w:rsid w:val="00222B7B"/>
    <w:rsid w:val="00224107"/>
    <w:rsid w:val="00225126"/>
    <w:rsid w:val="0022535C"/>
    <w:rsid w:val="00225CD5"/>
    <w:rsid w:val="00227DE4"/>
    <w:rsid w:val="00227E23"/>
    <w:rsid w:val="00230E4A"/>
    <w:rsid w:val="00230EE6"/>
    <w:rsid w:val="002318F8"/>
    <w:rsid w:val="002330FF"/>
    <w:rsid w:val="00233191"/>
    <w:rsid w:val="00233230"/>
    <w:rsid w:val="00233913"/>
    <w:rsid w:val="002342E5"/>
    <w:rsid w:val="002346EB"/>
    <w:rsid w:val="002349E3"/>
    <w:rsid w:val="002349E5"/>
    <w:rsid w:val="0023537B"/>
    <w:rsid w:val="0023569F"/>
    <w:rsid w:val="002374DE"/>
    <w:rsid w:val="0024014D"/>
    <w:rsid w:val="00240638"/>
    <w:rsid w:val="00241102"/>
    <w:rsid w:val="00241BD0"/>
    <w:rsid w:val="00241E12"/>
    <w:rsid w:val="002423F2"/>
    <w:rsid w:val="00242B5A"/>
    <w:rsid w:val="00242D8A"/>
    <w:rsid w:val="00242F63"/>
    <w:rsid w:val="0024349D"/>
    <w:rsid w:val="0024349E"/>
    <w:rsid w:val="0024351A"/>
    <w:rsid w:val="00243C7D"/>
    <w:rsid w:val="002441FF"/>
    <w:rsid w:val="00244E23"/>
    <w:rsid w:val="002451DC"/>
    <w:rsid w:val="00245261"/>
    <w:rsid w:val="00245835"/>
    <w:rsid w:val="002458C0"/>
    <w:rsid w:val="00245D5D"/>
    <w:rsid w:val="0024644C"/>
    <w:rsid w:val="00246915"/>
    <w:rsid w:val="002477AC"/>
    <w:rsid w:val="00247959"/>
    <w:rsid w:val="00250278"/>
    <w:rsid w:val="002507BC"/>
    <w:rsid w:val="00250A97"/>
    <w:rsid w:val="00250BEA"/>
    <w:rsid w:val="00250E0A"/>
    <w:rsid w:val="00251098"/>
    <w:rsid w:val="00251242"/>
    <w:rsid w:val="002518F2"/>
    <w:rsid w:val="00251CC0"/>
    <w:rsid w:val="002522EB"/>
    <w:rsid w:val="002523BB"/>
    <w:rsid w:val="002529C8"/>
    <w:rsid w:val="00253252"/>
    <w:rsid w:val="0025343C"/>
    <w:rsid w:val="002536C1"/>
    <w:rsid w:val="00253975"/>
    <w:rsid w:val="00255E0E"/>
    <w:rsid w:val="0025687D"/>
    <w:rsid w:val="00256998"/>
    <w:rsid w:val="00256FF8"/>
    <w:rsid w:val="002602A9"/>
    <w:rsid w:val="00260D94"/>
    <w:rsid w:val="00260DBA"/>
    <w:rsid w:val="002621F6"/>
    <w:rsid w:val="002623CD"/>
    <w:rsid w:val="00262BC0"/>
    <w:rsid w:val="002639F2"/>
    <w:rsid w:val="00264AC4"/>
    <w:rsid w:val="00264D70"/>
    <w:rsid w:val="002651D2"/>
    <w:rsid w:val="00265DF6"/>
    <w:rsid w:val="00266107"/>
    <w:rsid w:val="002666D1"/>
    <w:rsid w:val="002667EA"/>
    <w:rsid w:val="002668EF"/>
    <w:rsid w:val="00267199"/>
    <w:rsid w:val="0026766C"/>
    <w:rsid w:val="002676A2"/>
    <w:rsid w:val="00270239"/>
    <w:rsid w:val="00271656"/>
    <w:rsid w:val="002717E6"/>
    <w:rsid w:val="00271CC8"/>
    <w:rsid w:val="00271E37"/>
    <w:rsid w:val="00273A95"/>
    <w:rsid w:val="002742D7"/>
    <w:rsid w:val="0027466E"/>
    <w:rsid w:val="00274A01"/>
    <w:rsid w:val="002764FB"/>
    <w:rsid w:val="002768DB"/>
    <w:rsid w:val="002772F4"/>
    <w:rsid w:val="00277C0C"/>
    <w:rsid w:val="00277CA1"/>
    <w:rsid w:val="00277FC9"/>
    <w:rsid w:val="002801CB"/>
    <w:rsid w:val="0028078A"/>
    <w:rsid w:val="00280C06"/>
    <w:rsid w:val="00280FC8"/>
    <w:rsid w:val="0028126A"/>
    <w:rsid w:val="002813C2"/>
    <w:rsid w:val="002816F8"/>
    <w:rsid w:val="00281D27"/>
    <w:rsid w:val="0028232F"/>
    <w:rsid w:val="002824BD"/>
    <w:rsid w:val="002839AD"/>
    <w:rsid w:val="00283A6E"/>
    <w:rsid w:val="00283B9B"/>
    <w:rsid w:val="00283E11"/>
    <w:rsid w:val="002842DB"/>
    <w:rsid w:val="0028448A"/>
    <w:rsid w:val="00284EF7"/>
    <w:rsid w:val="00284FB1"/>
    <w:rsid w:val="0028570E"/>
    <w:rsid w:val="00285DE9"/>
    <w:rsid w:val="00285DF4"/>
    <w:rsid w:val="00285F70"/>
    <w:rsid w:val="002860EA"/>
    <w:rsid w:val="0028638B"/>
    <w:rsid w:val="00286999"/>
    <w:rsid w:val="00286AE2"/>
    <w:rsid w:val="00286BDF"/>
    <w:rsid w:val="00287DAC"/>
    <w:rsid w:val="00287E73"/>
    <w:rsid w:val="002908CD"/>
    <w:rsid w:val="0029150F"/>
    <w:rsid w:val="002916E6"/>
    <w:rsid w:val="00291712"/>
    <w:rsid w:val="00291D97"/>
    <w:rsid w:val="00292349"/>
    <w:rsid w:val="0029351F"/>
    <w:rsid w:val="00293C7E"/>
    <w:rsid w:val="002945EF"/>
    <w:rsid w:val="00294DF7"/>
    <w:rsid w:val="00295C99"/>
    <w:rsid w:val="00296637"/>
    <w:rsid w:val="00296D74"/>
    <w:rsid w:val="00296EF8"/>
    <w:rsid w:val="0029729C"/>
    <w:rsid w:val="002974C4"/>
    <w:rsid w:val="00297652"/>
    <w:rsid w:val="00297710"/>
    <w:rsid w:val="002A09E1"/>
    <w:rsid w:val="002A1641"/>
    <w:rsid w:val="002A18EC"/>
    <w:rsid w:val="002A19C8"/>
    <w:rsid w:val="002A1EAC"/>
    <w:rsid w:val="002A2503"/>
    <w:rsid w:val="002A2781"/>
    <w:rsid w:val="002A2A1B"/>
    <w:rsid w:val="002A3A93"/>
    <w:rsid w:val="002A4591"/>
    <w:rsid w:val="002A4DA7"/>
    <w:rsid w:val="002A4FB3"/>
    <w:rsid w:val="002A568B"/>
    <w:rsid w:val="002A5ACF"/>
    <w:rsid w:val="002A5C3B"/>
    <w:rsid w:val="002A5E4E"/>
    <w:rsid w:val="002A6E26"/>
    <w:rsid w:val="002A70AC"/>
    <w:rsid w:val="002B0988"/>
    <w:rsid w:val="002B10E9"/>
    <w:rsid w:val="002B14DF"/>
    <w:rsid w:val="002B15AD"/>
    <w:rsid w:val="002B25D0"/>
    <w:rsid w:val="002B3B1A"/>
    <w:rsid w:val="002B4010"/>
    <w:rsid w:val="002B481B"/>
    <w:rsid w:val="002B4BE3"/>
    <w:rsid w:val="002B4D97"/>
    <w:rsid w:val="002B5631"/>
    <w:rsid w:val="002B646E"/>
    <w:rsid w:val="002B6555"/>
    <w:rsid w:val="002B68F9"/>
    <w:rsid w:val="002B6949"/>
    <w:rsid w:val="002B6965"/>
    <w:rsid w:val="002B7490"/>
    <w:rsid w:val="002B7F41"/>
    <w:rsid w:val="002C02F9"/>
    <w:rsid w:val="002C11D6"/>
    <w:rsid w:val="002C1E51"/>
    <w:rsid w:val="002C207A"/>
    <w:rsid w:val="002C32D7"/>
    <w:rsid w:val="002C3413"/>
    <w:rsid w:val="002C3D51"/>
    <w:rsid w:val="002C43CF"/>
    <w:rsid w:val="002C5259"/>
    <w:rsid w:val="002C5A1B"/>
    <w:rsid w:val="002C60D5"/>
    <w:rsid w:val="002C68A2"/>
    <w:rsid w:val="002C6B70"/>
    <w:rsid w:val="002C705B"/>
    <w:rsid w:val="002C72EA"/>
    <w:rsid w:val="002C7DA3"/>
    <w:rsid w:val="002D0871"/>
    <w:rsid w:val="002D0922"/>
    <w:rsid w:val="002D0CFA"/>
    <w:rsid w:val="002D145D"/>
    <w:rsid w:val="002D15D3"/>
    <w:rsid w:val="002D1C51"/>
    <w:rsid w:val="002D2499"/>
    <w:rsid w:val="002D30ED"/>
    <w:rsid w:val="002D3265"/>
    <w:rsid w:val="002D3270"/>
    <w:rsid w:val="002D35C2"/>
    <w:rsid w:val="002D3EE6"/>
    <w:rsid w:val="002D41F0"/>
    <w:rsid w:val="002D492B"/>
    <w:rsid w:val="002D4D55"/>
    <w:rsid w:val="002D57DA"/>
    <w:rsid w:val="002D597B"/>
    <w:rsid w:val="002D5ED8"/>
    <w:rsid w:val="002D6889"/>
    <w:rsid w:val="002D6F4D"/>
    <w:rsid w:val="002D71EA"/>
    <w:rsid w:val="002D75C7"/>
    <w:rsid w:val="002D7A24"/>
    <w:rsid w:val="002D7AD6"/>
    <w:rsid w:val="002D7B2A"/>
    <w:rsid w:val="002E00D1"/>
    <w:rsid w:val="002E02A9"/>
    <w:rsid w:val="002E0BFD"/>
    <w:rsid w:val="002E0D74"/>
    <w:rsid w:val="002E111A"/>
    <w:rsid w:val="002E1710"/>
    <w:rsid w:val="002E1751"/>
    <w:rsid w:val="002E1E70"/>
    <w:rsid w:val="002E2229"/>
    <w:rsid w:val="002E346C"/>
    <w:rsid w:val="002E4104"/>
    <w:rsid w:val="002E456C"/>
    <w:rsid w:val="002E49AA"/>
    <w:rsid w:val="002E4D4F"/>
    <w:rsid w:val="002E5136"/>
    <w:rsid w:val="002E52B9"/>
    <w:rsid w:val="002E66C4"/>
    <w:rsid w:val="002E69D1"/>
    <w:rsid w:val="002E763A"/>
    <w:rsid w:val="002E7868"/>
    <w:rsid w:val="002F0129"/>
    <w:rsid w:val="002F088C"/>
    <w:rsid w:val="002F09C5"/>
    <w:rsid w:val="002F0F0A"/>
    <w:rsid w:val="002F0F0E"/>
    <w:rsid w:val="002F1CFB"/>
    <w:rsid w:val="002F1D27"/>
    <w:rsid w:val="002F2379"/>
    <w:rsid w:val="002F3163"/>
    <w:rsid w:val="002F364A"/>
    <w:rsid w:val="002F3F83"/>
    <w:rsid w:val="002F44F9"/>
    <w:rsid w:val="002F5568"/>
    <w:rsid w:val="002F5F54"/>
    <w:rsid w:val="002F6CA7"/>
    <w:rsid w:val="002F6CB6"/>
    <w:rsid w:val="002F7D07"/>
    <w:rsid w:val="00300258"/>
    <w:rsid w:val="003008E2"/>
    <w:rsid w:val="00300CF4"/>
    <w:rsid w:val="00301FD0"/>
    <w:rsid w:val="00302CA6"/>
    <w:rsid w:val="00302CD0"/>
    <w:rsid w:val="003031B5"/>
    <w:rsid w:val="0030359D"/>
    <w:rsid w:val="003038B6"/>
    <w:rsid w:val="0030500A"/>
    <w:rsid w:val="00305357"/>
    <w:rsid w:val="003053C8"/>
    <w:rsid w:val="00305458"/>
    <w:rsid w:val="00306032"/>
    <w:rsid w:val="0030619F"/>
    <w:rsid w:val="0030668A"/>
    <w:rsid w:val="003066D7"/>
    <w:rsid w:val="003068D4"/>
    <w:rsid w:val="003069AE"/>
    <w:rsid w:val="00306A86"/>
    <w:rsid w:val="00306CEA"/>
    <w:rsid w:val="00306E3B"/>
    <w:rsid w:val="00306EB6"/>
    <w:rsid w:val="0030752F"/>
    <w:rsid w:val="0030766A"/>
    <w:rsid w:val="003077CF"/>
    <w:rsid w:val="00307895"/>
    <w:rsid w:val="00310357"/>
    <w:rsid w:val="00310483"/>
    <w:rsid w:val="00310D4A"/>
    <w:rsid w:val="003111B9"/>
    <w:rsid w:val="003112BE"/>
    <w:rsid w:val="003112D5"/>
    <w:rsid w:val="00311355"/>
    <w:rsid w:val="00312480"/>
    <w:rsid w:val="00312732"/>
    <w:rsid w:val="00312C1A"/>
    <w:rsid w:val="0031316A"/>
    <w:rsid w:val="0031327B"/>
    <w:rsid w:val="003132AE"/>
    <w:rsid w:val="003133B4"/>
    <w:rsid w:val="003136FD"/>
    <w:rsid w:val="003138F9"/>
    <w:rsid w:val="0031445F"/>
    <w:rsid w:val="00314A86"/>
    <w:rsid w:val="00315173"/>
    <w:rsid w:val="00315747"/>
    <w:rsid w:val="00315E88"/>
    <w:rsid w:val="00316138"/>
    <w:rsid w:val="0031646E"/>
    <w:rsid w:val="0031684C"/>
    <w:rsid w:val="00317888"/>
    <w:rsid w:val="00317C9F"/>
    <w:rsid w:val="00317D36"/>
    <w:rsid w:val="003205A2"/>
    <w:rsid w:val="00320A06"/>
    <w:rsid w:val="00320AC3"/>
    <w:rsid w:val="00320F23"/>
    <w:rsid w:val="00321497"/>
    <w:rsid w:val="003217D2"/>
    <w:rsid w:val="00321982"/>
    <w:rsid w:val="00321ED3"/>
    <w:rsid w:val="003229FA"/>
    <w:rsid w:val="00322EB5"/>
    <w:rsid w:val="003237A7"/>
    <w:rsid w:val="00323BDD"/>
    <w:rsid w:val="00324430"/>
    <w:rsid w:val="00324615"/>
    <w:rsid w:val="00325944"/>
    <w:rsid w:val="003261F6"/>
    <w:rsid w:val="003263F1"/>
    <w:rsid w:val="00326814"/>
    <w:rsid w:val="00326B5B"/>
    <w:rsid w:val="00326C0B"/>
    <w:rsid w:val="00330015"/>
    <w:rsid w:val="00330231"/>
    <w:rsid w:val="00330836"/>
    <w:rsid w:val="003308B8"/>
    <w:rsid w:val="00331137"/>
    <w:rsid w:val="00331CBC"/>
    <w:rsid w:val="00332054"/>
    <w:rsid w:val="003321D1"/>
    <w:rsid w:val="00332397"/>
    <w:rsid w:val="0033239B"/>
    <w:rsid w:val="00332E23"/>
    <w:rsid w:val="00332E76"/>
    <w:rsid w:val="00333FD4"/>
    <w:rsid w:val="0033429D"/>
    <w:rsid w:val="00334953"/>
    <w:rsid w:val="00334EAB"/>
    <w:rsid w:val="00334EF8"/>
    <w:rsid w:val="00335139"/>
    <w:rsid w:val="003356F1"/>
    <w:rsid w:val="00335D2A"/>
    <w:rsid w:val="00340115"/>
    <w:rsid w:val="003403B4"/>
    <w:rsid w:val="0034074E"/>
    <w:rsid w:val="0034094E"/>
    <w:rsid w:val="00341650"/>
    <w:rsid w:val="00342627"/>
    <w:rsid w:val="0034266C"/>
    <w:rsid w:val="00343E21"/>
    <w:rsid w:val="00344A5B"/>
    <w:rsid w:val="00344AE0"/>
    <w:rsid w:val="00344B76"/>
    <w:rsid w:val="00344F68"/>
    <w:rsid w:val="003452DA"/>
    <w:rsid w:val="0034558C"/>
    <w:rsid w:val="00345912"/>
    <w:rsid w:val="00345B60"/>
    <w:rsid w:val="00345EDF"/>
    <w:rsid w:val="003464CD"/>
    <w:rsid w:val="00346510"/>
    <w:rsid w:val="00346807"/>
    <w:rsid w:val="00346D66"/>
    <w:rsid w:val="00346E9D"/>
    <w:rsid w:val="00347516"/>
    <w:rsid w:val="00347F04"/>
    <w:rsid w:val="003501E6"/>
    <w:rsid w:val="0035126E"/>
    <w:rsid w:val="00351CE7"/>
    <w:rsid w:val="00351FA8"/>
    <w:rsid w:val="003521AD"/>
    <w:rsid w:val="003522C0"/>
    <w:rsid w:val="00352769"/>
    <w:rsid w:val="00352E68"/>
    <w:rsid w:val="003532E2"/>
    <w:rsid w:val="00353EB1"/>
    <w:rsid w:val="00353FEA"/>
    <w:rsid w:val="003542D6"/>
    <w:rsid w:val="00354CA9"/>
    <w:rsid w:val="0035552F"/>
    <w:rsid w:val="003569A0"/>
    <w:rsid w:val="003601CD"/>
    <w:rsid w:val="00360734"/>
    <w:rsid w:val="003608F9"/>
    <w:rsid w:val="00360CD9"/>
    <w:rsid w:val="00360DD6"/>
    <w:rsid w:val="00361018"/>
    <w:rsid w:val="0036124B"/>
    <w:rsid w:val="00361CFA"/>
    <w:rsid w:val="003622F1"/>
    <w:rsid w:val="00362834"/>
    <w:rsid w:val="003628FE"/>
    <w:rsid w:val="00363327"/>
    <w:rsid w:val="00363FF5"/>
    <w:rsid w:val="0036658D"/>
    <w:rsid w:val="00366764"/>
    <w:rsid w:val="003704E3"/>
    <w:rsid w:val="00370A28"/>
    <w:rsid w:val="00371D57"/>
    <w:rsid w:val="00371FAA"/>
    <w:rsid w:val="0037212A"/>
    <w:rsid w:val="003721DA"/>
    <w:rsid w:val="00372273"/>
    <w:rsid w:val="00372D83"/>
    <w:rsid w:val="00372DF8"/>
    <w:rsid w:val="0037347F"/>
    <w:rsid w:val="00373699"/>
    <w:rsid w:val="00373CF8"/>
    <w:rsid w:val="00373F78"/>
    <w:rsid w:val="0037431B"/>
    <w:rsid w:val="00374399"/>
    <w:rsid w:val="003746CE"/>
    <w:rsid w:val="0037493F"/>
    <w:rsid w:val="003749F7"/>
    <w:rsid w:val="0037506A"/>
    <w:rsid w:val="0037560A"/>
    <w:rsid w:val="00376262"/>
    <w:rsid w:val="003763A1"/>
    <w:rsid w:val="003768E2"/>
    <w:rsid w:val="00376F43"/>
    <w:rsid w:val="00377473"/>
    <w:rsid w:val="0037760E"/>
    <w:rsid w:val="003803E0"/>
    <w:rsid w:val="0038054C"/>
    <w:rsid w:val="003805D3"/>
    <w:rsid w:val="003809AF"/>
    <w:rsid w:val="00380B36"/>
    <w:rsid w:val="003817A7"/>
    <w:rsid w:val="003817C0"/>
    <w:rsid w:val="0038191F"/>
    <w:rsid w:val="003819CC"/>
    <w:rsid w:val="00381B0C"/>
    <w:rsid w:val="0038290A"/>
    <w:rsid w:val="00382D8D"/>
    <w:rsid w:val="00382F22"/>
    <w:rsid w:val="003830A8"/>
    <w:rsid w:val="00384541"/>
    <w:rsid w:val="00384797"/>
    <w:rsid w:val="003848FB"/>
    <w:rsid w:val="00385049"/>
    <w:rsid w:val="00385214"/>
    <w:rsid w:val="003856C4"/>
    <w:rsid w:val="003864B1"/>
    <w:rsid w:val="00386623"/>
    <w:rsid w:val="00387F2F"/>
    <w:rsid w:val="003900C7"/>
    <w:rsid w:val="003902D5"/>
    <w:rsid w:val="00390746"/>
    <w:rsid w:val="00390CF9"/>
    <w:rsid w:val="00391C58"/>
    <w:rsid w:val="00391C9B"/>
    <w:rsid w:val="00392198"/>
    <w:rsid w:val="003929E1"/>
    <w:rsid w:val="00392D78"/>
    <w:rsid w:val="00393264"/>
    <w:rsid w:val="00395064"/>
    <w:rsid w:val="0039534D"/>
    <w:rsid w:val="003953C1"/>
    <w:rsid w:val="00395B6C"/>
    <w:rsid w:val="00395F8F"/>
    <w:rsid w:val="003968A6"/>
    <w:rsid w:val="00396BA3"/>
    <w:rsid w:val="0039793B"/>
    <w:rsid w:val="003A07F8"/>
    <w:rsid w:val="003A1055"/>
    <w:rsid w:val="003A10AE"/>
    <w:rsid w:val="003A2176"/>
    <w:rsid w:val="003A2612"/>
    <w:rsid w:val="003A32A9"/>
    <w:rsid w:val="003A32DA"/>
    <w:rsid w:val="003A34C1"/>
    <w:rsid w:val="003A380D"/>
    <w:rsid w:val="003A3D26"/>
    <w:rsid w:val="003A3DF1"/>
    <w:rsid w:val="003A4027"/>
    <w:rsid w:val="003A42F7"/>
    <w:rsid w:val="003A4653"/>
    <w:rsid w:val="003A4794"/>
    <w:rsid w:val="003A481F"/>
    <w:rsid w:val="003A4A57"/>
    <w:rsid w:val="003A4C7C"/>
    <w:rsid w:val="003A4D11"/>
    <w:rsid w:val="003A4D17"/>
    <w:rsid w:val="003A51A7"/>
    <w:rsid w:val="003A5280"/>
    <w:rsid w:val="003A5585"/>
    <w:rsid w:val="003A5701"/>
    <w:rsid w:val="003A6167"/>
    <w:rsid w:val="003A652D"/>
    <w:rsid w:val="003A67B1"/>
    <w:rsid w:val="003A6862"/>
    <w:rsid w:val="003A6BD9"/>
    <w:rsid w:val="003A6D3A"/>
    <w:rsid w:val="003A7B67"/>
    <w:rsid w:val="003A7D48"/>
    <w:rsid w:val="003B08A2"/>
    <w:rsid w:val="003B0BF4"/>
    <w:rsid w:val="003B0C91"/>
    <w:rsid w:val="003B0F8E"/>
    <w:rsid w:val="003B1111"/>
    <w:rsid w:val="003B1933"/>
    <w:rsid w:val="003B2B5E"/>
    <w:rsid w:val="003B30B3"/>
    <w:rsid w:val="003B3666"/>
    <w:rsid w:val="003B3E5C"/>
    <w:rsid w:val="003B4163"/>
    <w:rsid w:val="003B41C7"/>
    <w:rsid w:val="003B496A"/>
    <w:rsid w:val="003B4CAA"/>
    <w:rsid w:val="003B5105"/>
    <w:rsid w:val="003B512C"/>
    <w:rsid w:val="003B5C91"/>
    <w:rsid w:val="003B5D58"/>
    <w:rsid w:val="003B5FA0"/>
    <w:rsid w:val="003B6047"/>
    <w:rsid w:val="003B64C0"/>
    <w:rsid w:val="003B692F"/>
    <w:rsid w:val="003B693F"/>
    <w:rsid w:val="003B6DEA"/>
    <w:rsid w:val="003B6ECC"/>
    <w:rsid w:val="003B7250"/>
    <w:rsid w:val="003B7835"/>
    <w:rsid w:val="003B79B9"/>
    <w:rsid w:val="003B7A6C"/>
    <w:rsid w:val="003B7E92"/>
    <w:rsid w:val="003C0029"/>
    <w:rsid w:val="003C01AC"/>
    <w:rsid w:val="003C04A9"/>
    <w:rsid w:val="003C0975"/>
    <w:rsid w:val="003C0D77"/>
    <w:rsid w:val="003C0FEC"/>
    <w:rsid w:val="003C10E1"/>
    <w:rsid w:val="003C1852"/>
    <w:rsid w:val="003C1943"/>
    <w:rsid w:val="003C2214"/>
    <w:rsid w:val="003C2B5C"/>
    <w:rsid w:val="003C2E92"/>
    <w:rsid w:val="003C308E"/>
    <w:rsid w:val="003C32EE"/>
    <w:rsid w:val="003C4506"/>
    <w:rsid w:val="003C450C"/>
    <w:rsid w:val="003C4DB4"/>
    <w:rsid w:val="003C4DD4"/>
    <w:rsid w:val="003C4E4D"/>
    <w:rsid w:val="003C5308"/>
    <w:rsid w:val="003C567F"/>
    <w:rsid w:val="003C587C"/>
    <w:rsid w:val="003C62D9"/>
    <w:rsid w:val="003C6438"/>
    <w:rsid w:val="003C6D1D"/>
    <w:rsid w:val="003C6E27"/>
    <w:rsid w:val="003C6F87"/>
    <w:rsid w:val="003C7251"/>
    <w:rsid w:val="003C776C"/>
    <w:rsid w:val="003D02CD"/>
    <w:rsid w:val="003D2651"/>
    <w:rsid w:val="003D332D"/>
    <w:rsid w:val="003D3787"/>
    <w:rsid w:val="003D436D"/>
    <w:rsid w:val="003D4EC0"/>
    <w:rsid w:val="003D506A"/>
    <w:rsid w:val="003D5D06"/>
    <w:rsid w:val="003D5FD3"/>
    <w:rsid w:val="003D61B5"/>
    <w:rsid w:val="003D79C5"/>
    <w:rsid w:val="003D7F56"/>
    <w:rsid w:val="003E05D8"/>
    <w:rsid w:val="003E11AE"/>
    <w:rsid w:val="003E1D8E"/>
    <w:rsid w:val="003E28EB"/>
    <w:rsid w:val="003E3939"/>
    <w:rsid w:val="003E3AED"/>
    <w:rsid w:val="003E3B30"/>
    <w:rsid w:val="003E44E5"/>
    <w:rsid w:val="003E45D7"/>
    <w:rsid w:val="003E4D6F"/>
    <w:rsid w:val="003E53BB"/>
    <w:rsid w:val="003E54EB"/>
    <w:rsid w:val="003E551D"/>
    <w:rsid w:val="003E5A6B"/>
    <w:rsid w:val="003E65F5"/>
    <w:rsid w:val="003E69BA"/>
    <w:rsid w:val="003E7287"/>
    <w:rsid w:val="003E7437"/>
    <w:rsid w:val="003E7EE9"/>
    <w:rsid w:val="003E7FC1"/>
    <w:rsid w:val="003F088A"/>
    <w:rsid w:val="003F0F5F"/>
    <w:rsid w:val="003F1034"/>
    <w:rsid w:val="003F1EF0"/>
    <w:rsid w:val="003F3EA5"/>
    <w:rsid w:val="003F4461"/>
    <w:rsid w:val="003F4A0E"/>
    <w:rsid w:val="003F4D08"/>
    <w:rsid w:val="003F589D"/>
    <w:rsid w:val="003F58AF"/>
    <w:rsid w:val="003F5B6E"/>
    <w:rsid w:val="003F63C0"/>
    <w:rsid w:val="003F6592"/>
    <w:rsid w:val="003F6728"/>
    <w:rsid w:val="003F6F4E"/>
    <w:rsid w:val="003F7384"/>
    <w:rsid w:val="00400C56"/>
    <w:rsid w:val="00400F0F"/>
    <w:rsid w:val="004010B8"/>
    <w:rsid w:val="0040136C"/>
    <w:rsid w:val="00401663"/>
    <w:rsid w:val="0040181B"/>
    <w:rsid w:val="00401924"/>
    <w:rsid w:val="0040197F"/>
    <w:rsid w:val="00401C77"/>
    <w:rsid w:val="00401CBF"/>
    <w:rsid w:val="004021BD"/>
    <w:rsid w:val="00402838"/>
    <w:rsid w:val="00402E87"/>
    <w:rsid w:val="0040325C"/>
    <w:rsid w:val="00403A29"/>
    <w:rsid w:val="004043E9"/>
    <w:rsid w:val="00404967"/>
    <w:rsid w:val="00404B50"/>
    <w:rsid w:val="00404D7E"/>
    <w:rsid w:val="00405D30"/>
    <w:rsid w:val="004067B5"/>
    <w:rsid w:val="004067BC"/>
    <w:rsid w:val="00406814"/>
    <w:rsid w:val="00406B81"/>
    <w:rsid w:val="004070B7"/>
    <w:rsid w:val="004078AA"/>
    <w:rsid w:val="004108FE"/>
    <w:rsid w:val="00410D98"/>
    <w:rsid w:val="00410E20"/>
    <w:rsid w:val="00412179"/>
    <w:rsid w:val="00413366"/>
    <w:rsid w:val="0041365C"/>
    <w:rsid w:val="00413C81"/>
    <w:rsid w:val="004143CB"/>
    <w:rsid w:val="004147AC"/>
    <w:rsid w:val="0041488C"/>
    <w:rsid w:val="00414CDE"/>
    <w:rsid w:val="00414E3B"/>
    <w:rsid w:val="00414FEA"/>
    <w:rsid w:val="00415272"/>
    <w:rsid w:val="0041564F"/>
    <w:rsid w:val="00415684"/>
    <w:rsid w:val="00415802"/>
    <w:rsid w:val="004158DD"/>
    <w:rsid w:val="00415998"/>
    <w:rsid w:val="00415C11"/>
    <w:rsid w:val="00415FE9"/>
    <w:rsid w:val="0041625C"/>
    <w:rsid w:val="00416463"/>
    <w:rsid w:val="004165DC"/>
    <w:rsid w:val="00416B0F"/>
    <w:rsid w:val="00416FE7"/>
    <w:rsid w:val="0041712E"/>
    <w:rsid w:val="004201D8"/>
    <w:rsid w:val="00420950"/>
    <w:rsid w:val="00420A46"/>
    <w:rsid w:val="00420F2A"/>
    <w:rsid w:val="004212BA"/>
    <w:rsid w:val="004216A9"/>
    <w:rsid w:val="00421CA3"/>
    <w:rsid w:val="00421D14"/>
    <w:rsid w:val="00421FA5"/>
    <w:rsid w:val="004226FE"/>
    <w:rsid w:val="00422FBD"/>
    <w:rsid w:val="00423047"/>
    <w:rsid w:val="00423D5F"/>
    <w:rsid w:val="0042434D"/>
    <w:rsid w:val="00424E9C"/>
    <w:rsid w:val="0042509A"/>
    <w:rsid w:val="00426EC6"/>
    <w:rsid w:val="00427176"/>
    <w:rsid w:val="00427654"/>
    <w:rsid w:val="00427682"/>
    <w:rsid w:val="004300A1"/>
    <w:rsid w:val="004301DA"/>
    <w:rsid w:val="00430527"/>
    <w:rsid w:val="00430C55"/>
    <w:rsid w:val="00430E26"/>
    <w:rsid w:val="00431920"/>
    <w:rsid w:val="00431DA5"/>
    <w:rsid w:val="00432187"/>
    <w:rsid w:val="004337B0"/>
    <w:rsid w:val="00433A7A"/>
    <w:rsid w:val="00433E14"/>
    <w:rsid w:val="00433F76"/>
    <w:rsid w:val="00433FB5"/>
    <w:rsid w:val="0043415F"/>
    <w:rsid w:val="00434273"/>
    <w:rsid w:val="00434298"/>
    <w:rsid w:val="004348BB"/>
    <w:rsid w:val="00434915"/>
    <w:rsid w:val="0043553A"/>
    <w:rsid w:val="00435568"/>
    <w:rsid w:val="00435E51"/>
    <w:rsid w:val="0043678A"/>
    <w:rsid w:val="004369B2"/>
    <w:rsid w:val="00437204"/>
    <w:rsid w:val="00437C25"/>
    <w:rsid w:val="00440955"/>
    <w:rsid w:val="00440D29"/>
    <w:rsid w:val="00440EFA"/>
    <w:rsid w:val="004410A6"/>
    <w:rsid w:val="00441578"/>
    <w:rsid w:val="00441FB4"/>
    <w:rsid w:val="004422B4"/>
    <w:rsid w:val="0044260C"/>
    <w:rsid w:val="004427EB"/>
    <w:rsid w:val="00442906"/>
    <w:rsid w:val="00442B92"/>
    <w:rsid w:val="00442D9C"/>
    <w:rsid w:val="00443376"/>
    <w:rsid w:val="00443406"/>
    <w:rsid w:val="004435DE"/>
    <w:rsid w:val="00444401"/>
    <w:rsid w:val="00444A9D"/>
    <w:rsid w:val="00445640"/>
    <w:rsid w:val="00445B98"/>
    <w:rsid w:val="00445D91"/>
    <w:rsid w:val="00445DF0"/>
    <w:rsid w:val="004462E1"/>
    <w:rsid w:val="00446423"/>
    <w:rsid w:val="00446689"/>
    <w:rsid w:val="00447067"/>
    <w:rsid w:val="0044716A"/>
    <w:rsid w:val="00450059"/>
    <w:rsid w:val="004502CD"/>
    <w:rsid w:val="004505AF"/>
    <w:rsid w:val="00450DE8"/>
    <w:rsid w:val="00450F98"/>
    <w:rsid w:val="004515C2"/>
    <w:rsid w:val="004518AF"/>
    <w:rsid w:val="00451A1F"/>
    <w:rsid w:val="00451D7E"/>
    <w:rsid w:val="00452273"/>
    <w:rsid w:val="004529BD"/>
    <w:rsid w:val="00453FF2"/>
    <w:rsid w:val="004540D9"/>
    <w:rsid w:val="004542FA"/>
    <w:rsid w:val="0045468C"/>
    <w:rsid w:val="00455806"/>
    <w:rsid w:val="00455889"/>
    <w:rsid w:val="00455A8E"/>
    <w:rsid w:val="00455B5B"/>
    <w:rsid w:val="00456A1A"/>
    <w:rsid w:val="00456EB4"/>
    <w:rsid w:val="00456FF8"/>
    <w:rsid w:val="004577C1"/>
    <w:rsid w:val="00457F04"/>
    <w:rsid w:val="00457F3C"/>
    <w:rsid w:val="00460298"/>
    <w:rsid w:val="004611C1"/>
    <w:rsid w:val="004611C5"/>
    <w:rsid w:val="004613BA"/>
    <w:rsid w:val="0046146E"/>
    <w:rsid w:val="00461B4B"/>
    <w:rsid w:val="00461CA6"/>
    <w:rsid w:val="00461E1F"/>
    <w:rsid w:val="00462483"/>
    <w:rsid w:val="004625A7"/>
    <w:rsid w:val="004625E9"/>
    <w:rsid w:val="00462678"/>
    <w:rsid w:val="0046281F"/>
    <w:rsid w:val="00462D2D"/>
    <w:rsid w:val="00463D01"/>
    <w:rsid w:val="00463E03"/>
    <w:rsid w:val="004640B3"/>
    <w:rsid w:val="00464512"/>
    <w:rsid w:val="00464A9D"/>
    <w:rsid w:val="0046603A"/>
    <w:rsid w:val="0046611E"/>
    <w:rsid w:val="00466646"/>
    <w:rsid w:val="00467140"/>
    <w:rsid w:val="004671FF"/>
    <w:rsid w:val="00467711"/>
    <w:rsid w:val="004704F3"/>
    <w:rsid w:val="004706F6"/>
    <w:rsid w:val="0047086A"/>
    <w:rsid w:val="00470EEA"/>
    <w:rsid w:val="004713D1"/>
    <w:rsid w:val="00472013"/>
    <w:rsid w:val="00472138"/>
    <w:rsid w:val="004721B2"/>
    <w:rsid w:val="004725E6"/>
    <w:rsid w:val="0047313F"/>
    <w:rsid w:val="0047379E"/>
    <w:rsid w:val="00474848"/>
    <w:rsid w:val="00474DB4"/>
    <w:rsid w:val="00475E2D"/>
    <w:rsid w:val="0047630E"/>
    <w:rsid w:val="00476460"/>
    <w:rsid w:val="004765BA"/>
    <w:rsid w:val="00476EA2"/>
    <w:rsid w:val="00477210"/>
    <w:rsid w:val="0047749E"/>
    <w:rsid w:val="004777CA"/>
    <w:rsid w:val="0048004B"/>
    <w:rsid w:val="00480083"/>
    <w:rsid w:val="00480185"/>
    <w:rsid w:val="004801D4"/>
    <w:rsid w:val="00480944"/>
    <w:rsid w:val="00480A1F"/>
    <w:rsid w:val="00480C58"/>
    <w:rsid w:val="0048106A"/>
    <w:rsid w:val="00481476"/>
    <w:rsid w:val="00481536"/>
    <w:rsid w:val="0048173D"/>
    <w:rsid w:val="004827B2"/>
    <w:rsid w:val="00482A0C"/>
    <w:rsid w:val="00482C3B"/>
    <w:rsid w:val="00482C64"/>
    <w:rsid w:val="004838A4"/>
    <w:rsid w:val="00483A7E"/>
    <w:rsid w:val="00483ABB"/>
    <w:rsid w:val="00483CEE"/>
    <w:rsid w:val="00483FA7"/>
    <w:rsid w:val="00484670"/>
    <w:rsid w:val="0048481F"/>
    <w:rsid w:val="00484C42"/>
    <w:rsid w:val="00484DFC"/>
    <w:rsid w:val="00484E18"/>
    <w:rsid w:val="004855E0"/>
    <w:rsid w:val="00485942"/>
    <w:rsid w:val="00486160"/>
    <w:rsid w:val="0048675D"/>
    <w:rsid w:val="004871E4"/>
    <w:rsid w:val="00487CBD"/>
    <w:rsid w:val="00487DD1"/>
    <w:rsid w:val="00487F39"/>
    <w:rsid w:val="00490F6A"/>
    <w:rsid w:val="00491141"/>
    <w:rsid w:val="0049134B"/>
    <w:rsid w:val="00491ED9"/>
    <w:rsid w:val="00492332"/>
    <w:rsid w:val="00492339"/>
    <w:rsid w:val="00492994"/>
    <w:rsid w:val="004939D7"/>
    <w:rsid w:val="004944F8"/>
    <w:rsid w:val="00494CD6"/>
    <w:rsid w:val="00494F22"/>
    <w:rsid w:val="004955D2"/>
    <w:rsid w:val="00495BB6"/>
    <w:rsid w:val="00496EF6"/>
    <w:rsid w:val="00496FEA"/>
    <w:rsid w:val="00497063"/>
    <w:rsid w:val="0049743B"/>
    <w:rsid w:val="00497579"/>
    <w:rsid w:val="00497C4D"/>
    <w:rsid w:val="00497DE4"/>
    <w:rsid w:val="004A074D"/>
    <w:rsid w:val="004A13F5"/>
    <w:rsid w:val="004A15B3"/>
    <w:rsid w:val="004A1709"/>
    <w:rsid w:val="004A1894"/>
    <w:rsid w:val="004A1FCC"/>
    <w:rsid w:val="004A22EC"/>
    <w:rsid w:val="004A3038"/>
    <w:rsid w:val="004A336A"/>
    <w:rsid w:val="004A33CD"/>
    <w:rsid w:val="004A38B9"/>
    <w:rsid w:val="004A3F07"/>
    <w:rsid w:val="004A463F"/>
    <w:rsid w:val="004A4803"/>
    <w:rsid w:val="004A4AC8"/>
    <w:rsid w:val="004A4E9A"/>
    <w:rsid w:val="004A5538"/>
    <w:rsid w:val="004A6352"/>
    <w:rsid w:val="004A7084"/>
    <w:rsid w:val="004A74D2"/>
    <w:rsid w:val="004B0B07"/>
    <w:rsid w:val="004B0B1D"/>
    <w:rsid w:val="004B0DD6"/>
    <w:rsid w:val="004B197E"/>
    <w:rsid w:val="004B1FD2"/>
    <w:rsid w:val="004B292A"/>
    <w:rsid w:val="004B2960"/>
    <w:rsid w:val="004B2A77"/>
    <w:rsid w:val="004B2C2D"/>
    <w:rsid w:val="004B3695"/>
    <w:rsid w:val="004B3B4A"/>
    <w:rsid w:val="004B3E74"/>
    <w:rsid w:val="004B3F40"/>
    <w:rsid w:val="004B3FD9"/>
    <w:rsid w:val="004B6512"/>
    <w:rsid w:val="004B69B2"/>
    <w:rsid w:val="004B728F"/>
    <w:rsid w:val="004B75EC"/>
    <w:rsid w:val="004B782D"/>
    <w:rsid w:val="004B79A1"/>
    <w:rsid w:val="004B7A7A"/>
    <w:rsid w:val="004B7D0D"/>
    <w:rsid w:val="004C00EE"/>
    <w:rsid w:val="004C070C"/>
    <w:rsid w:val="004C1866"/>
    <w:rsid w:val="004C223D"/>
    <w:rsid w:val="004C2776"/>
    <w:rsid w:val="004C2C08"/>
    <w:rsid w:val="004C33EB"/>
    <w:rsid w:val="004C36E3"/>
    <w:rsid w:val="004C3FF1"/>
    <w:rsid w:val="004C4033"/>
    <w:rsid w:val="004C45C6"/>
    <w:rsid w:val="004C462E"/>
    <w:rsid w:val="004C47BE"/>
    <w:rsid w:val="004C56BB"/>
    <w:rsid w:val="004C5DF4"/>
    <w:rsid w:val="004C6B21"/>
    <w:rsid w:val="004C6D9C"/>
    <w:rsid w:val="004C6EDC"/>
    <w:rsid w:val="004C6F4C"/>
    <w:rsid w:val="004C74B7"/>
    <w:rsid w:val="004C794B"/>
    <w:rsid w:val="004C7EF3"/>
    <w:rsid w:val="004D0044"/>
    <w:rsid w:val="004D0478"/>
    <w:rsid w:val="004D0C68"/>
    <w:rsid w:val="004D0C88"/>
    <w:rsid w:val="004D0D91"/>
    <w:rsid w:val="004D12C4"/>
    <w:rsid w:val="004D13EA"/>
    <w:rsid w:val="004D1797"/>
    <w:rsid w:val="004D1EAB"/>
    <w:rsid w:val="004D257E"/>
    <w:rsid w:val="004D25AB"/>
    <w:rsid w:val="004D2E91"/>
    <w:rsid w:val="004D364A"/>
    <w:rsid w:val="004D402E"/>
    <w:rsid w:val="004D4249"/>
    <w:rsid w:val="004D494B"/>
    <w:rsid w:val="004D4A0F"/>
    <w:rsid w:val="004D5775"/>
    <w:rsid w:val="004D5948"/>
    <w:rsid w:val="004D595F"/>
    <w:rsid w:val="004D61A8"/>
    <w:rsid w:val="004D7133"/>
    <w:rsid w:val="004D796B"/>
    <w:rsid w:val="004D7C38"/>
    <w:rsid w:val="004D7FBF"/>
    <w:rsid w:val="004E0578"/>
    <w:rsid w:val="004E0F0B"/>
    <w:rsid w:val="004E1324"/>
    <w:rsid w:val="004E1360"/>
    <w:rsid w:val="004E1471"/>
    <w:rsid w:val="004E1996"/>
    <w:rsid w:val="004E1F08"/>
    <w:rsid w:val="004E1F6F"/>
    <w:rsid w:val="004E2151"/>
    <w:rsid w:val="004E2885"/>
    <w:rsid w:val="004E39F9"/>
    <w:rsid w:val="004E4050"/>
    <w:rsid w:val="004E420B"/>
    <w:rsid w:val="004E499F"/>
    <w:rsid w:val="004E4B8A"/>
    <w:rsid w:val="004E51BB"/>
    <w:rsid w:val="004E5B01"/>
    <w:rsid w:val="004E5C74"/>
    <w:rsid w:val="004E67B3"/>
    <w:rsid w:val="004E6870"/>
    <w:rsid w:val="004E7413"/>
    <w:rsid w:val="004E75B4"/>
    <w:rsid w:val="004E76FC"/>
    <w:rsid w:val="004F019B"/>
    <w:rsid w:val="004F01F7"/>
    <w:rsid w:val="004F03C3"/>
    <w:rsid w:val="004F0C02"/>
    <w:rsid w:val="004F0C1C"/>
    <w:rsid w:val="004F1386"/>
    <w:rsid w:val="004F1449"/>
    <w:rsid w:val="004F2245"/>
    <w:rsid w:val="004F237D"/>
    <w:rsid w:val="004F2A22"/>
    <w:rsid w:val="004F2EB8"/>
    <w:rsid w:val="004F348D"/>
    <w:rsid w:val="004F3650"/>
    <w:rsid w:val="004F3929"/>
    <w:rsid w:val="004F3B41"/>
    <w:rsid w:val="004F4016"/>
    <w:rsid w:val="004F4564"/>
    <w:rsid w:val="004F50E1"/>
    <w:rsid w:val="004F53DE"/>
    <w:rsid w:val="004F5ED8"/>
    <w:rsid w:val="004F64DD"/>
    <w:rsid w:val="004F6533"/>
    <w:rsid w:val="004F665A"/>
    <w:rsid w:val="004F7427"/>
    <w:rsid w:val="004F7463"/>
    <w:rsid w:val="004F7699"/>
    <w:rsid w:val="00500171"/>
    <w:rsid w:val="005003A6"/>
    <w:rsid w:val="005004AB"/>
    <w:rsid w:val="005018AB"/>
    <w:rsid w:val="00501909"/>
    <w:rsid w:val="00501910"/>
    <w:rsid w:val="005019C1"/>
    <w:rsid w:val="005024FD"/>
    <w:rsid w:val="00502870"/>
    <w:rsid w:val="00502D8B"/>
    <w:rsid w:val="0050331E"/>
    <w:rsid w:val="005033CE"/>
    <w:rsid w:val="00503555"/>
    <w:rsid w:val="00503F0A"/>
    <w:rsid w:val="00504107"/>
    <w:rsid w:val="00504599"/>
    <w:rsid w:val="00504753"/>
    <w:rsid w:val="00504809"/>
    <w:rsid w:val="00505DBD"/>
    <w:rsid w:val="00505F18"/>
    <w:rsid w:val="0050677F"/>
    <w:rsid w:val="00506D13"/>
    <w:rsid w:val="00507464"/>
    <w:rsid w:val="005079FD"/>
    <w:rsid w:val="00507A51"/>
    <w:rsid w:val="00507F92"/>
    <w:rsid w:val="0051067B"/>
    <w:rsid w:val="00510E64"/>
    <w:rsid w:val="005115D6"/>
    <w:rsid w:val="0051170F"/>
    <w:rsid w:val="00511AB2"/>
    <w:rsid w:val="00511C1D"/>
    <w:rsid w:val="005120D4"/>
    <w:rsid w:val="00512718"/>
    <w:rsid w:val="00513629"/>
    <w:rsid w:val="0051385A"/>
    <w:rsid w:val="0051396A"/>
    <w:rsid w:val="00513985"/>
    <w:rsid w:val="00513BC1"/>
    <w:rsid w:val="00514367"/>
    <w:rsid w:val="0051535C"/>
    <w:rsid w:val="005155CD"/>
    <w:rsid w:val="00515E61"/>
    <w:rsid w:val="00517594"/>
    <w:rsid w:val="00517622"/>
    <w:rsid w:val="005179CD"/>
    <w:rsid w:val="005179F5"/>
    <w:rsid w:val="0052033B"/>
    <w:rsid w:val="00520631"/>
    <w:rsid w:val="0052083F"/>
    <w:rsid w:val="00520DDF"/>
    <w:rsid w:val="005213C4"/>
    <w:rsid w:val="0052187D"/>
    <w:rsid w:val="00521EAE"/>
    <w:rsid w:val="005224A0"/>
    <w:rsid w:val="00522995"/>
    <w:rsid w:val="00522BEA"/>
    <w:rsid w:val="00523375"/>
    <w:rsid w:val="005235BF"/>
    <w:rsid w:val="00523B67"/>
    <w:rsid w:val="00523D06"/>
    <w:rsid w:val="00523F25"/>
    <w:rsid w:val="00523F73"/>
    <w:rsid w:val="005246CC"/>
    <w:rsid w:val="00525505"/>
    <w:rsid w:val="00525692"/>
    <w:rsid w:val="00525A27"/>
    <w:rsid w:val="00525B5D"/>
    <w:rsid w:val="0052615D"/>
    <w:rsid w:val="00526A64"/>
    <w:rsid w:val="00526DC0"/>
    <w:rsid w:val="0052703F"/>
    <w:rsid w:val="0053066F"/>
    <w:rsid w:val="00530769"/>
    <w:rsid w:val="00530F27"/>
    <w:rsid w:val="005319BD"/>
    <w:rsid w:val="00531E54"/>
    <w:rsid w:val="00531ED7"/>
    <w:rsid w:val="005322B8"/>
    <w:rsid w:val="005322E8"/>
    <w:rsid w:val="0053266B"/>
    <w:rsid w:val="00532F94"/>
    <w:rsid w:val="005331BB"/>
    <w:rsid w:val="00533B0C"/>
    <w:rsid w:val="005340E9"/>
    <w:rsid w:val="005342DE"/>
    <w:rsid w:val="00534663"/>
    <w:rsid w:val="00534829"/>
    <w:rsid w:val="005349F9"/>
    <w:rsid w:val="00534F0F"/>
    <w:rsid w:val="00535855"/>
    <w:rsid w:val="005360D3"/>
    <w:rsid w:val="00536266"/>
    <w:rsid w:val="0053656F"/>
    <w:rsid w:val="00536818"/>
    <w:rsid w:val="00536947"/>
    <w:rsid w:val="00536B0B"/>
    <w:rsid w:val="00536F59"/>
    <w:rsid w:val="00537221"/>
    <w:rsid w:val="00537D53"/>
    <w:rsid w:val="005401F3"/>
    <w:rsid w:val="00540D24"/>
    <w:rsid w:val="00540D34"/>
    <w:rsid w:val="0054138E"/>
    <w:rsid w:val="00541F19"/>
    <w:rsid w:val="005426B7"/>
    <w:rsid w:val="005430ED"/>
    <w:rsid w:val="005440A4"/>
    <w:rsid w:val="005446B0"/>
    <w:rsid w:val="005448AE"/>
    <w:rsid w:val="005459A8"/>
    <w:rsid w:val="00545FA0"/>
    <w:rsid w:val="00546143"/>
    <w:rsid w:val="005473C2"/>
    <w:rsid w:val="00547A80"/>
    <w:rsid w:val="005506F0"/>
    <w:rsid w:val="0055088F"/>
    <w:rsid w:val="00550D9A"/>
    <w:rsid w:val="005510B1"/>
    <w:rsid w:val="00551459"/>
    <w:rsid w:val="00551785"/>
    <w:rsid w:val="00551A71"/>
    <w:rsid w:val="005527CB"/>
    <w:rsid w:val="00552927"/>
    <w:rsid w:val="00552C72"/>
    <w:rsid w:val="00553544"/>
    <w:rsid w:val="0055371A"/>
    <w:rsid w:val="00553A47"/>
    <w:rsid w:val="00553ADE"/>
    <w:rsid w:val="00553B49"/>
    <w:rsid w:val="005542B2"/>
    <w:rsid w:val="00554311"/>
    <w:rsid w:val="00555729"/>
    <w:rsid w:val="005566A3"/>
    <w:rsid w:val="00556E45"/>
    <w:rsid w:val="005573B3"/>
    <w:rsid w:val="005573BB"/>
    <w:rsid w:val="00557804"/>
    <w:rsid w:val="00557A02"/>
    <w:rsid w:val="00557A50"/>
    <w:rsid w:val="00557D06"/>
    <w:rsid w:val="00560C60"/>
    <w:rsid w:val="00561042"/>
    <w:rsid w:val="0056196B"/>
    <w:rsid w:val="00561FD9"/>
    <w:rsid w:val="005622AB"/>
    <w:rsid w:val="005628D2"/>
    <w:rsid w:val="00562B2C"/>
    <w:rsid w:val="0056360C"/>
    <w:rsid w:val="0056363D"/>
    <w:rsid w:val="005643BD"/>
    <w:rsid w:val="00564BFF"/>
    <w:rsid w:val="00564D95"/>
    <w:rsid w:val="0056509A"/>
    <w:rsid w:val="005658C5"/>
    <w:rsid w:val="00565970"/>
    <w:rsid w:val="005660E2"/>
    <w:rsid w:val="0056613A"/>
    <w:rsid w:val="0056654D"/>
    <w:rsid w:val="00566725"/>
    <w:rsid w:val="00566C03"/>
    <w:rsid w:val="005677D4"/>
    <w:rsid w:val="00570930"/>
    <w:rsid w:val="00570C07"/>
    <w:rsid w:val="00570CE4"/>
    <w:rsid w:val="00570F8B"/>
    <w:rsid w:val="00571344"/>
    <w:rsid w:val="00571A0D"/>
    <w:rsid w:val="00571EAB"/>
    <w:rsid w:val="0057259D"/>
    <w:rsid w:val="005727D4"/>
    <w:rsid w:val="00572A24"/>
    <w:rsid w:val="00573021"/>
    <w:rsid w:val="005735FC"/>
    <w:rsid w:val="00573616"/>
    <w:rsid w:val="00573F6C"/>
    <w:rsid w:val="00574623"/>
    <w:rsid w:val="00574BB1"/>
    <w:rsid w:val="00574BBB"/>
    <w:rsid w:val="00574BEC"/>
    <w:rsid w:val="00575688"/>
    <w:rsid w:val="005756A5"/>
    <w:rsid w:val="0057598D"/>
    <w:rsid w:val="00575F02"/>
    <w:rsid w:val="00576498"/>
    <w:rsid w:val="005765DB"/>
    <w:rsid w:val="00580044"/>
    <w:rsid w:val="00580134"/>
    <w:rsid w:val="00581EB2"/>
    <w:rsid w:val="00582103"/>
    <w:rsid w:val="0058254D"/>
    <w:rsid w:val="00582880"/>
    <w:rsid w:val="00582C08"/>
    <w:rsid w:val="00582C70"/>
    <w:rsid w:val="0058315D"/>
    <w:rsid w:val="00583185"/>
    <w:rsid w:val="0058374D"/>
    <w:rsid w:val="00584123"/>
    <w:rsid w:val="00584527"/>
    <w:rsid w:val="00584668"/>
    <w:rsid w:val="00584B6A"/>
    <w:rsid w:val="00585959"/>
    <w:rsid w:val="00585BC2"/>
    <w:rsid w:val="005867E7"/>
    <w:rsid w:val="00586AB8"/>
    <w:rsid w:val="00586C93"/>
    <w:rsid w:val="005873EB"/>
    <w:rsid w:val="00587A22"/>
    <w:rsid w:val="00590296"/>
    <w:rsid w:val="00590F88"/>
    <w:rsid w:val="005913D1"/>
    <w:rsid w:val="00591597"/>
    <w:rsid w:val="00591864"/>
    <w:rsid w:val="0059249C"/>
    <w:rsid w:val="00592E75"/>
    <w:rsid w:val="0059425A"/>
    <w:rsid w:val="005945C8"/>
    <w:rsid w:val="00594EFC"/>
    <w:rsid w:val="00595193"/>
    <w:rsid w:val="00595FD8"/>
    <w:rsid w:val="00596EBD"/>
    <w:rsid w:val="00596F4D"/>
    <w:rsid w:val="00596F83"/>
    <w:rsid w:val="0059735F"/>
    <w:rsid w:val="00597BC3"/>
    <w:rsid w:val="005A08D0"/>
    <w:rsid w:val="005A1138"/>
    <w:rsid w:val="005A18E0"/>
    <w:rsid w:val="005A19DB"/>
    <w:rsid w:val="005A2F23"/>
    <w:rsid w:val="005A2FC0"/>
    <w:rsid w:val="005A338D"/>
    <w:rsid w:val="005A36A2"/>
    <w:rsid w:val="005A3C12"/>
    <w:rsid w:val="005A4830"/>
    <w:rsid w:val="005A486A"/>
    <w:rsid w:val="005A4E0A"/>
    <w:rsid w:val="005A4FB1"/>
    <w:rsid w:val="005A54B6"/>
    <w:rsid w:val="005A54E0"/>
    <w:rsid w:val="005A733B"/>
    <w:rsid w:val="005A75AD"/>
    <w:rsid w:val="005A79B9"/>
    <w:rsid w:val="005A7BC0"/>
    <w:rsid w:val="005A7D62"/>
    <w:rsid w:val="005A7E6C"/>
    <w:rsid w:val="005B0A78"/>
    <w:rsid w:val="005B0B58"/>
    <w:rsid w:val="005B188F"/>
    <w:rsid w:val="005B3B4E"/>
    <w:rsid w:val="005B4004"/>
    <w:rsid w:val="005B5169"/>
    <w:rsid w:val="005B51B2"/>
    <w:rsid w:val="005B52EF"/>
    <w:rsid w:val="005B53EB"/>
    <w:rsid w:val="005B5CC2"/>
    <w:rsid w:val="005B5E66"/>
    <w:rsid w:val="005B5F0A"/>
    <w:rsid w:val="005B63EF"/>
    <w:rsid w:val="005B66AD"/>
    <w:rsid w:val="005B6725"/>
    <w:rsid w:val="005B79CA"/>
    <w:rsid w:val="005B7C50"/>
    <w:rsid w:val="005B7DDF"/>
    <w:rsid w:val="005C0F96"/>
    <w:rsid w:val="005C202C"/>
    <w:rsid w:val="005C280E"/>
    <w:rsid w:val="005C29F8"/>
    <w:rsid w:val="005C2BA4"/>
    <w:rsid w:val="005C362A"/>
    <w:rsid w:val="005C3BB5"/>
    <w:rsid w:val="005C3DF6"/>
    <w:rsid w:val="005C4208"/>
    <w:rsid w:val="005C4311"/>
    <w:rsid w:val="005C50DB"/>
    <w:rsid w:val="005C6000"/>
    <w:rsid w:val="005C6BF5"/>
    <w:rsid w:val="005C6DCB"/>
    <w:rsid w:val="005C7E7C"/>
    <w:rsid w:val="005D0690"/>
    <w:rsid w:val="005D1372"/>
    <w:rsid w:val="005D18BE"/>
    <w:rsid w:val="005D27F7"/>
    <w:rsid w:val="005D296B"/>
    <w:rsid w:val="005D2BAC"/>
    <w:rsid w:val="005D2BDF"/>
    <w:rsid w:val="005D2DDB"/>
    <w:rsid w:val="005D3E4E"/>
    <w:rsid w:val="005D3F8B"/>
    <w:rsid w:val="005D41B6"/>
    <w:rsid w:val="005D4362"/>
    <w:rsid w:val="005D5131"/>
    <w:rsid w:val="005D5508"/>
    <w:rsid w:val="005D604C"/>
    <w:rsid w:val="005D6713"/>
    <w:rsid w:val="005D6D24"/>
    <w:rsid w:val="005D6EB4"/>
    <w:rsid w:val="005D702C"/>
    <w:rsid w:val="005D7714"/>
    <w:rsid w:val="005E00AD"/>
    <w:rsid w:val="005E0303"/>
    <w:rsid w:val="005E05A2"/>
    <w:rsid w:val="005E0706"/>
    <w:rsid w:val="005E1087"/>
    <w:rsid w:val="005E127B"/>
    <w:rsid w:val="005E2440"/>
    <w:rsid w:val="005E3248"/>
    <w:rsid w:val="005E34E0"/>
    <w:rsid w:val="005E5083"/>
    <w:rsid w:val="005E59DB"/>
    <w:rsid w:val="005E6AE6"/>
    <w:rsid w:val="005E70DD"/>
    <w:rsid w:val="005E7410"/>
    <w:rsid w:val="005E751A"/>
    <w:rsid w:val="005F00C3"/>
    <w:rsid w:val="005F0A05"/>
    <w:rsid w:val="005F0D3B"/>
    <w:rsid w:val="005F1C33"/>
    <w:rsid w:val="005F28F5"/>
    <w:rsid w:val="005F2D87"/>
    <w:rsid w:val="005F2FF9"/>
    <w:rsid w:val="005F3399"/>
    <w:rsid w:val="005F370C"/>
    <w:rsid w:val="005F408F"/>
    <w:rsid w:val="005F442C"/>
    <w:rsid w:val="005F5010"/>
    <w:rsid w:val="005F5161"/>
    <w:rsid w:val="005F53B8"/>
    <w:rsid w:val="005F5514"/>
    <w:rsid w:val="005F55A1"/>
    <w:rsid w:val="005F55E8"/>
    <w:rsid w:val="005F5EDD"/>
    <w:rsid w:val="005F5FE9"/>
    <w:rsid w:val="005F6116"/>
    <w:rsid w:val="005F61B8"/>
    <w:rsid w:val="005F6328"/>
    <w:rsid w:val="005F7457"/>
    <w:rsid w:val="005F7CB9"/>
    <w:rsid w:val="00600C5D"/>
    <w:rsid w:val="00600E15"/>
    <w:rsid w:val="0060126E"/>
    <w:rsid w:val="006016F5"/>
    <w:rsid w:val="00601806"/>
    <w:rsid w:val="00602A2C"/>
    <w:rsid w:val="00602C4C"/>
    <w:rsid w:val="0060363C"/>
    <w:rsid w:val="00603B42"/>
    <w:rsid w:val="00604657"/>
    <w:rsid w:val="00605029"/>
    <w:rsid w:val="006051E8"/>
    <w:rsid w:val="0060541C"/>
    <w:rsid w:val="00605930"/>
    <w:rsid w:val="00605B96"/>
    <w:rsid w:val="00606346"/>
    <w:rsid w:val="006066C2"/>
    <w:rsid w:val="00606705"/>
    <w:rsid w:val="006073AD"/>
    <w:rsid w:val="006078CF"/>
    <w:rsid w:val="006104B2"/>
    <w:rsid w:val="00612294"/>
    <w:rsid w:val="006122DB"/>
    <w:rsid w:val="00612978"/>
    <w:rsid w:val="00612B24"/>
    <w:rsid w:val="00613356"/>
    <w:rsid w:val="006133A3"/>
    <w:rsid w:val="00613CEA"/>
    <w:rsid w:val="00613D6A"/>
    <w:rsid w:val="006148DA"/>
    <w:rsid w:val="00614B2B"/>
    <w:rsid w:val="00614E43"/>
    <w:rsid w:val="00615548"/>
    <w:rsid w:val="00615BD0"/>
    <w:rsid w:val="006164AF"/>
    <w:rsid w:val="006164C9"/>
    <w:rsid w:val="00616510"/>
    <w:rsid w:val="00616AB4"/>
    <w:rsid w:val="00616AF8"/>
    <w:rsid w:val="00616BA4"/>
    <w:rsid w:val="00616E19"/>
    <w:rsid w:val="006170BD"/>
    <w:rsid w:val="00617714"/>
    <w:rsid w:val="00617B8B"/>
    <w:rsid w:val="00617F81"/>
    <w:rsid w:val="00620267"/>
    <w:rsid w:val="006203BF"/>
    <w:rsid w:val="00620A1E"/>
    <w:rsid w:val="006210B5"/>
    <w:rsid w:val="006217DF"/>
    <w:rsid w:val="00621E9E"/>
    <w:rsid w:val="006221A4"/>
    <w:rsid w:val="00622F65"/>
    <w:rsid w:val="006234B7"/>
    <w:rsid w:val="00623954"/>
    <w:rsid w:val="00625011"/>
    <w:rsid w:val="00625882"/>
    <w:rsid w:val="00625DA1"/>
    <w:rsid w:val="00625E3A"/>
    <w:rsid w:val="00626739"/>
    <w:rsid w:val="006267C0"/>
    <w:rsid w:val="006279F2"/>
    <w:rsid w:val="006301A1"/>
    <w:rsid w:val="00630925"/>
    <w:rsid w:val="006309D0"/>
    <w:rsid w:val="00630A49"/>
    <w:rsid w:val="00630DF5"/>
    <w:rsid w:val="006315A8"/>
    <w:rsid w:val="006318FB"/>
    <w:rsid w:val="00631963"/>
    <w:rsid w:val="00631A85"/>
    <w:rsid w:val="0063215B"/>
    <w:rsid w:val="00632372"/>
    <w:rsid w:val="006327F7"/>
    <w:rsid w:val="00632E65"/>
    <w:rsid w:val="00633044"/>
    <w:rsid w:val="006332DC"/>
    <w:rsid w:val="006335E9"/>
    <w:rsid w:val="00633B86"/>
    <w:rsid w:val="0063426D"/>
    <w:rsid w:val="006342FA"/>
    <w:rsid w:val="0063434A"/>
    <w:rsid w:val="00634AD8"/>
    <w:rsid w:val="00635026"/>
    <w:rsid w:val="00635660"/>
    <w:rsid w:val="006357C5"/>
    <w:rsid w:val="006359CF"/>
    <w:rsid w:val="00635E50"/>
    <w:rsid w:val="00636061"/>
    <w:rsid w:val="0063655B"/>
    <w:rsid w:val="00636B0E"/>
    <w:rsid w:val="006376ED"/>
    <w:rsid w:val="00637BE2"/>
    <w:rsid w:val="00637C47"/>
    <w:rsid w:val="006407B2"/>
    <w:rsid w:val="00640F04"/>
    <w:rsid w:val="00641023"/>
    <w:rsid w:val="00641149"/>
    <w:rsid w:val="0064117D"/>
    <w:rsid w:val="006414D9"/>
    <w:rsid w:val="00641893"/>
    <w:rsid w:val="00641AC8"/>
    <w:rsid w:val="00641F99"/>
    <w:rsid w:val="0064217C"/>
    <w:rsid w:val="006424B2"/>
    <w:rsid w:val="00642FF1"/>
    <w:rsid w:val="00642FFD"/>
    <w:rsid w:val="0064369A"/>
    <w:rsid w:val="00643D78"/>
    <w:rsid w:val="00644A3A"/>
    <w:rsid w:val="00644AC8"/>
    <w:rsid w:val="0064501C"/>
    <w:rsid w:val="00645750"/>
    <w:rsid w:val="006457D1"/>
    <w:rsid w:val="00646642"/>
    <w:rsid w:val="00646E42"/>
    <w:rsid w:val="006470C4"/>
    <w:rsid w:val="0064716E"/>
    <w:rsid w:val="0064778E"/>
    <w:rsid w:val="006478FC"/>
    <w:rsid w:val="006479A2"/>
    <w:rsid w:val="00647F29"/>
    <w:rsid w:val="00650385"/>
    <w:rsid w:val="00650524"/>
    <w:rsid w:val="00650592"/>
    <w:rsid w:val="00650873"/>
    <w:rsid w:val="00650E5B"/>
    <w:rsid w:val="00651E83"/>
    <w:rsid w:val="00652135"/>
    <w:rsid w:val="0065316F"/>
    <w:rsid w:val="006536FF"/>
    <w:rsid w:val="00653B49"/>
    <w:rsid w:val="00653D42"/>
    <w:rsid w:val="006543C8"/>
    <w:rsid w:val="0065474E"/>
    <w:rsid w:val="00654A4B"/>
    <w:rsid w:val="0065503C"/>
    <w:rsid w:val="006550C3"/>
    <w:rsid w:val="006555C2"/>
    <w:rsid w:val="00655C91"/>
    <w:rsid w:val="00655F47"/>
    <w:rsid w:val="0065643A"/>
    <w:rsid w:val="00657135"/>
    <w:rsid w:val="00660173"/>
    <w:rsid w:val="006603CA"/>
    <w:rsid w:val="006618C8"/>
    <w:rsid w:val="006620B0"/>
    <w:rsid w:val="006620F3"/>
    <w:rsid w:val="00662806"/>
    <w:rsid w:val="006634D9"/>
    <w:rsid w:val="00664D35"/>
    <w:rsid w:val="00665097"/>
    <w:rsid w:val="00665E2F"/>
    <w:rsid w:val="00665E66"/>
    <w:rsid w:val="00666042"/>
    <w:rsid w:val="00667704"/>
    <w:rsid w:val="00667B66"/>
    <w:rsid w:val="00670C09"/>
    <w:rsid w:val="00671E7A"/>
    <w:rsid w:val="006728F7"/>
    <w:rsid w:val="00672CF2"/>
    <w:rsid w:val="00672EE9"/>
    <w:rsid w:val="006736C1"/>
    <w:rsid w:val="006737FF"/>
    <w:rsid w:val="00673813"/>
    <w:rsid w:val="00674187"/>
    <w:rsid w:val="006746B1"/>
    <w:rsid w:val="006748D9"/>
    <w:rsid w:val="00674A5C"/>
    <w:rsid w:val="0067614F"/>
    <w:rsid w:val="00676225"/>
    <w:rsid w:val="00676379"/>
    <w:rsid w:val="00676431"/>
    <w:rsid w:val="006765F7"/>
    <w:rsid w:val="0067663D"/>
    <w:rsid w:val="006766B1"/>
    <w:rsid w:val="00676950"/>
    <w:rsid w:val="006771AA"/>
    <w:rsid w:val="00677BB1"/>
    <w:rsid w:val="00677C8C"/>
    <w:rsid w:val="006800AF"/>
    <w:rsid w:val="00680330"/>
    <w:rsid w:val="00680720"/>
    <w:rsid w:val="00681631"/>
    <w:rsid w:val="00681B2A"/>
    <w:rsid w:val="00681BA6"/>
    <w:rsid w:val="006822BE"/>
    <w:rsid w:val="006833AD"/>
    <w:rsid w:val="00683CF6"/>
    <w:rsid w:val="00684B51"/>
    <w:rsid w:val="00684C47"/>
    <w:rsid w:val="00684EE4"/>
    <w:rsid w:val="00685039"/>
    <w:rsid w:val="006856E6"/>
    <w:rsid w:val="00685BA9"/>
    <w:rsid w:val="00685C73"/>
    <w:rsid w:val="00686ABE"/>
    <w:rsid w:val="00686D7F"/>
    <w:rsid w:val="00686E2E"/>
    <w:rsid w:val="006879FA"/>
    <w:rsid w:val="006904CC"/>
    <w:rsid w:val="006905C9"/>
    <w:rsid w:val="00690A61"/>
    <w:rsid w:val="00690AC9"/>
    <w:rsid w:val="00691390"/>
    <w:rsid w:val="00691ABA"/>
    <w:rsid w:val="0069207F"/>
    <w:rsid w:val="00692B95"/>
    <w:rsid w:val="006936D7"/>
    <w:rsid w:val="006938D2"/>
    <w:rsid w:val="00693A7B"/>
    <w:rsid w:val="00694372"/>
    <w:rsid w:val="00694A39"/>
    <w:rsid w:val="00694EEA"/>
    <w:rsid w:val="00695A84"/>
    <w:rsid w:val="00695D78"/>
    <w:rsid w:val="00696E62"/>
    <w:rsid w:val="0069727E"/>
    <w:rsid w:val="006972BA"/>
    <w:rsid w:val="006973EB"/>
    <w:rsid w:val="00697434"/>
    <w:rsid w:val="006A01BD"/>
    <w:rsid w:val="006A02EA"/>
    <w:rsid w:val="006A08B4"/>
    <w:rsid w:val="006A11BE"/>
    <w:rsid w:val="006A28DE"/>
    <w:rsid w:val="006A36C0"/>
    <w:rsid w:val="006A3AA9"/>
    <w:rsid w:val="006A3B84"/>
    <w:rsid w:val="006A417F"/>
    <w:rsid w:val="006A44D8"/>
    <w:rsid w:val="006A451B"/>
    <w:rsid w:val="006A4596"/>
    <w:rsid w:val="006A5203"/>
    <w:rsid w:val="006A5881"/>
    <w:rsid w:val="006A72FD"/>
    <w:rsid w:val="006A7621"/>
    <w:rsid w:val="006A7CCA"/>
    <w:rsid w:val="006A7DB5"/>
    <w:rsid w:val="006B068C"/>
    <w:rsid w:val="006B0D68"/>
    <w:rsid w:val="006B0F30"/>
    <w:rsid w:val="006B0FD9"/>
    <w:rsid w:val="006B10DC"/>
    <w:rsid w:val="006B14AD"/>
    <w:rsid w:val="006B15E1"/>
    <w:rsid w:val="006B1FFB"/>
    <w:rsid w:val="006B23FB"/>
    <w:rsid w:val="006B33AE"/>
    <w:rsid w:val="006B39BD"/>
    <w:rsid w:val="006B4436"/>
    <w:rsid w:val="006B48EA"/>
    <w:rsid w:val="006B4CA9"/>
    <w:rsid w:val="006B4D98"/>
    <w:rsid w:val="006B5083"/>
    <w:rsid w:val="006B5750"/>
    <w:rsid w:val="006B6EF0"/>
    <w:rsid w:val="006B7031"/>
    <w:rsid w:val="006B75A3"/>
    <w:rsid w:val="006C0729"/>
    <w:rsid w:val="006C0CA1"/>
    <w:rsid w:val="006C25C4"/>
    <w:rsid w:val="006C2704"/>
    <w:rsid w:val="006C28CF"/>
    <w:rsid w:val="006C3252"/>
    <w:rsid w:val="006C3322"/>
    <w:rsid w:val="006C3A3D"/>
    <w:rsid w:val="006C3B7E"/>
    <w:rsid w:val="006C4BB8"/>
    <w:rsid w:val="006C4DA7"/>
    <w:rsid w:val="006C4F90"/>
    <w:rsid w:val="006C575D"/>
    <w:rsid w:val="006C58FD"/>
    <w:rsid w:val="006C6111"/>
    <w:rsid w:val="006C6B39"/>
    <w:rsid w:val="006C6D4D"/>
    <w:rsid w:val="006C7125"/>
    <w:rsid w:val="006D0A52"/>
    <w:rsid w:val="006D117B"/>
    <w:rsid w:val="006D1560"/>
    <w:rsid w:val="006D16E4"/>
    <w:rsid w:val="006D1A2B"/>
    <w:rsid w:val="006D20B0"/>
    <w:rsid w:val="006D21A8"/>
    <w:rsid w:val="006D2A9E"/>
    <w:rsid w:val="006D3BD7"/>
    <w:rsid w:val="006D3EE1"/>
    <w:rsid w:val="006D437F"/>
    <w:rsid w:val="006D44DC"/>
    <w:rsid w:val="006D4F8F"/>
    <w:rsid w:val="006D5937"/>
    <w:rsid w:val="006D5982"/>
    <w:rsid w:val="006D5A8B"/>
    <w:rsid w:val="006D5C56"/>
    <w:rsid w:val="006D5DC4"/>
    <w:rsid w:val="006D5E8D"/>
    <w:rsid w:val="006D5ECB"/>
    <w:rsid w:val="006D650D"/>
    <w:rsid w:val="006D685F"/>
    <w:rsid w:val="006D7047"/>
    <w:rsid w:val="006D741F"/>
    <w:rsid w:val="006D77A0"/>
    <w:rsid w:val="006D7D0C"/>
    <w:rsid w:val="006D7F77"/>
    <w:rsid w:val="006E0CC6"/>
    <w:rsid w:val="006E1738"/>
    <w:rsid w:val="006E1A87"/>
    <w:rsid w:val="006E2B53"/>
    <w:rsid w:val="006E2BBB"/>
    <w:rsid w:val="006E2D94"/>
    <w:rsid w:val="006E3068"/>
    <w:rsid w:val="006E3226"/>
    <w:rsid w:val="006E3F55"/>
    <w:rsid w:val="006E4B85"/>
    <w:rsid w:val="006E52F6"/>
    <w:rsid w:val="006E5A0E"/>
    <w:rsid w:val="006E5A3F"/>
    <w:rsid w:val="006E5AE4"/>
    <w:rsid w:val="006E60EA"/>
    <w:rsid w:val="006E6280"/>
    <w:rsid w:val="006F0B24"/>
    <w:rsid w:val="006F0FFF"/>
    <w:rsid w:val="006F1DE4"/>
    <w:rsid w:val="006F2250"/>
    <w:rsid w:val="006F2592"/>
    <w:rsid w:val="006F2A7D"/>
    <w:rsid w:val="006F3482"/>
    <w:rsid w:val="006F3531"/>
    <w:rsid w:val="006F391E"/>
    <w:rsid w:val="006F3C93"/>
    <w:rsid w:val="006F4307"/>
    <w:rsid w:val="006F4BF7"/>
    <w:rsid w:val="006F5957"/>
    <w:rsid w:val="006F6351"/>
    <w:rsid w:val="006F6B8F"/>
    <w:rsid w:val="006F6E8E"/>
    <w:rsid w:val="0070083E"/>
    <w:rsid w:val="00700E96"/>
    <w:rsid w:val="00700FD9"/>
    <w:rsid w:val="00701B5B"/>
    <w:rsid w:val="00702A40"/>
    <w:rsid w:val="00702CFF"/>
    <w:rsid w:val="00703FA0"/>
    <w:rsid w:val="00704B70"/>
    <w:rsid w:val="00704C17"/>
    <w:rsid w:val="00704E6A"/>
    <w:rsid w:val="007057AB"/>
    <w:rsid w:val="007059B2"/>
    <w:rsid w:val="007072DC"/>
    <w:rsid w:val="00707AF3"/>
    <w:rsid w:val="00707D22"/>
    <w:rsid w:val="0071007C"/>
    <w:rsid w:val="0071022D"/>
    <w:rsid w:val="007104B6"/>
    <w:rsid w:val="00710CAA"/>
    <w:rsid w:val="00711473"/>
    <w:rsid w:val="007122B2"/>
    <w:rsid w:val="00712877"/>
    <w:rsid w:val="007134D3"/>
    <w:rsid w:val="007135ED"/>
    <w:rsid w:val="0071385D"/>
    <w:rsid w:val="00713B92"/>
    <w:rsid w:val="007146BE"/>
    <w:rsid w:val="00714F02"/>
    <w:rsid w:val="00715270"/>
    <w:rsid w:val="00715CA8"/>
    <w:rsid w:val="00715E1E"/>
    <w:rsid w:val="007164C1"/>
    <w:rsid w:val="007165D5"/>
    <w:rsid w:val="00716EB9"/>
    <w:rsid w:val="00717580"/>
    <w:rsid w:val="00717710"/>
    <w:rsid w:val="00720099"/>
    <w:rsid w:val="007200FD"/>
    <w:rsid w:val="0072060C"/>
    <w:rsid w:val="00720AC8"/>
    <w:rsid w:val="00721FDA"/>
    <w:rsid w:val="007227E3"/>
    <w:rsid w:val="007239EC"/>
    <w:rsid w:val="00723A08"/>
    <w:rsid w:val="007243CE"/>
    <w:rsid w:val="00724BCB"/>
    <w:rsid w:val="00724E03"/>
    <w:rsid w:val="00724EC4"/>
    <w:rsid w:val="00724F2E"/>
    <w:rsid w:val="00725433"/>
    <w:rsid w:val="007257BA"/>
    <w:rsid w:val="00725955"/>
    <w:rsid w:val="00725A32"/>
    <w:rsid w:val="00725F6D"/>
    <w:rsid w:val="007262AD"/>
    <w:rsid w:val="00726D4D"/>
    <w:rsid w:val="007270F5"/>
    <w:rsid w:val="00727644"/>
    <w:rsid w:val="00727E58"/>
    <w:rsid w:val="007303FE"/>
    <w:rsid w:val="0073067C"/>
    <w:rsid w:val="0073090D"/>
    <w:rsid w:val="00730C62"/>
    <w:rsid w:val="007312B2"/>
    <w:rsid w:val="00731910"/>
    <w:rsid w:val="00731E72"/>
    <w:rsid w:val="0073226E"/>
    <w:rsid w:val="007327EA"/>
    <w:rsid w:val="00733048"/>
    <w:rsid w:val="007341C1"/>
    <w:rsid w:val="00734221"/>
    <w:rsid w:val="0073456C"/>
    <w:rsid w:val="0073461B"/>
    <w:rsid w:val="007350F7"/>
    <w:rsid w:val="007362A1"/>
    <w:rsid w:val="00736620"/>
    <w:rsid w:val="00736AE6"/>
    <w:rsid w:val="00736E83"/>
    <w:rsid w:val="00737087"/>
    <w:rsid w:val="00740CBC"/>
    <w:rsid w:val="007413DC"/>
    <w:rsid w:val="0074189E"/>
    <w:rsid w:val="007419A9"/>
    <w:rsid w:val="007419E3"/>
    <w:rsid w:val="00741A36"/>
    <w:rsid w:val="0074232F"/>
    <w:rsid w:val="00742A9D"/>
    <w:rsid w:val="00742DCB"/>
    <w:rsid w:val="00742E14"/>
    <w:rsid w:val="00742F8B"/>
    <w:rsid w:val="00743643"/>
    <w:rsid w:val="00743759"/>
    <w:rsid w:val="00743EED"/>
    <w:rsid w:val="00744152"/>
    <w:rsid w:val="0074473E"/>
    <w:rsid w:val="0074520E"/>
    <w:rsid w:val="00745A63"/>
    <w:rsid w:val="00745BF1"/>
    <w:rsid w:val="0074762E"/>
    <w:rsid w:val="00747DFB"/>
    <w:rsid w:val="00747EAD"/>
    <w:rsid w:val="007504AA"/>
    <w:rsid w:val="00750CD5"/>
    <w:rsid w:val="007519E8"/>
    <w:rsid w:val="00751BFA"/>
    <w:rsid w:val="007524CC"/>
    <w:rsid w:val="007529F4"/>
    <w:rsid w:val="00752BAF"/>
    <w:rsid w:val="00752D76"/>
    <w:rsid w:val="00752EFE"/>
    <w:rsid w:val="00752FA3"/>
    <w:rsid w:val="0075451F"/>
    <w:rsid w:val="007545B3"/>
    <w:rsid w:val="00755AF7"/>
    <w:rsid w:val="0075626F"/>
    <w:rsid w:val="00756794"/>
    <w:rsid w:val="00756827"/>
    <w:rsid w:val="00756ABA"/>
    <w:rsid w:val="00756B33"/>
    <w:rsid w:val="00757054"/>
    <w:rsid w:val="00757B8A"/>
    <w:rsid w:val="00757D21"/>
    <w:rsid w:val="0076014E"/>
    <w:rsid w:val="007605BB"/>
    <w:rsid w:val="00760C8C"/>
    <w:rsid w:val="007617A4"/>
    <w:rsid w:val="00762DE8"/>
    <w:rsid w:val="0076314D"/>
    <w:rsid w:val="007631DD"/>
    <w:rsid w:val="00763780"/>
    <w:rsid w:val="007637D6"/>
    <w:rsid w:val="007639D7"/>
    <w:rsid w:val="00763C24"/>
    <w:rsid w:val="00763F84"/>
    <w:rsid w:val="00764DDE"/>
    <w:rsid w:val="00764FE1"/>
    <w:rsid w:val="00767A2B"/>
    <w:rsid w:val="007703CC"/>
    <w:rsid w:val="0077075F"/>
    <w:rsid w:val="00770816"/>
    <w:rsid w:val="007709B9"/>
    <w:rsid w:val="00770AF9"/>
    <w:rsid w:val="0077120F"/>
    <w:rsid w:val="007717C9"/>
    <w:rsid w:val="0077223E"/>
    <w:rsid w:val="0077257F"/>
    <w:rsid w:val="00773230"/>
    <w:rsid w:val="0077340A"/>
    <w:rsid w:val="00773D70"/>
    <w:rsid w:val="00773DD2"/>
    <w:rsid w:val="007742F1"/>
    <w:rsid w:val="00774726"/>
    <w:rsid w:val="00774972"/>
    <w:rsid w:val="00774A11"/>
    <w:rsid w:val="00774A90"/>
    <w:rsid w:val="00774DE0"/>
    <w:rsid w:val="00775686"/>
    <w:rsid w:val="00775716"/>
    <w:rsid w:val="007757B1"/>
    <w:rsid w:val="00775845"/>
    <w:rsid w:val="00775D73"/>
    <w:rsid w:val="00775E47"/>
    <w:rsid w:val="007765EF"/>
    <w:rsid w:val="007767D3"/>
    <w:rsid w:val="00776DD1"/>
    <w:rsid w:val="00776F26"/>
    <w:rsid w:val="0077712B"/>
    <w:rsid w:val="0077753E"/>
    <w:rsid w:val="00777946"/>
    <w:rsid w:val="007800BD"/>
    <w:rsid w:val="00780340"/>
    <w:rsid w:val="0078056F"/>
    <w:rsid w:val="00780CF3"/>
    <w:rsid w:val="00781112"/>
    <w:rsid w:val="007816D8"/>
    <w:rsid w:val="00781C0F"/>
    <w:rsid w:val="007822E4"/>
    <w:rsid w:val="007822FD"/>
    <w:rsid w:val="00782606"/>
    <w:rsid w:val="0078269B"/>
    <w:rsid w:val="007827D9"/>
    <w:rsid w:val="00782979"/>
    <w:rsid w:val="00782B5F"/>
    <w:rsid w:val="00782EC8"/>
    <w:rsid w:val="00782FB6"/>
    <w:rsid w:val="00783479"/>
    <w:rsid w:val="00783F1A"/>
    <w:rsid w:val="00784854"/>
    <w:rsid w:val="0078491F"/>
    <w:rsid w:val="0078546F"/>
    <w:rsid w:val="00785672"/>
    <w:rsid w:val="00785806"/>
    <w:rsid w:val="0078594A"/>
    <w:rsid w:val="007870F8"/>
    <w:rsid w:val="007874BB"/>
    <w:rsid w:val="00787AEB"/>
    <w:rsid w:val="007905E6"/>
    <w:rsid w:val="007917AE"/>
    <w:rsid w:val="00791C5F"/>
    <w:rsid w:val="00791DEB"/>
    <w:rsid w:val="007925C6"/>
    <w:rsid w:val="0079360D"/>
    <w:rsid w:val="00794672"/>
    <w:rsid w:val="00794931"/>
    <w:rsid w:val="00794A41"/>
    <w:rsid w:val="007950D4"/>
    <w:rsid w:val="007953D7"/>
    <w:rsid w:val="007954D3"/>
    <w:rsid w:val="00795995"/>
    <w:rsid w:val="00795E9E"/>
    <w:rsid w:val="00796266"/>
    <w:rsid w:val="00796DC0"/>
    <w:rsid w:val="007973B0"/>
    <w:rsid w:val="007A00C1"/>
    <w:rsid w:val="007A0221"/>
    <w:rsid w:val="007A1398"/>
    <w:rsid w:val="007A1B2A"/>
    <w:rsid w:val="007A2822"/>
    <w:rsid w:val="007A35E2"/>
    <w:rsid w:val="007A3964"/>
    <w:rsid w:val="007A3A34"/>
    <w:rsid w:val="007A467C"/>
    <w:rsid w:val="007A470E"/>
    <w:rsid w:val="007A59A7"/>
    <w:rsid w:val="007A5B01"/>
    <w:rsid w:val="007A5B63"/>
    <w:rsid w:val="007A5BA6"/>
    <w:rsid w:val="007A5EC1"/>
    <w:rsid w:val="007A62B9"/>
    <w:rsid w:val="007A6310"/>
    <w:rsid w:val="007A644D"/>
    <w:rsid w:val="007A6818"/>
    <w:rsid w:val="007A6ADA"/>
    <w:rsid w:val="007A715D"/>
    <w:rsid w:val="007A7E81"/>
    <w:rsid w:val="007A7E93"/>
    <w:rsid w:val="007B0A26"/>
    <w:rsid w:val="007B1221"/>
    <w:rsid w:val="007B1B7E"/>
    <w:rsid w:val="007B1DB7"/>
    <w:rsid w:val="007B2B8D"/>
    <w:rsid w:val="007B35BE"/>
    <w:rsid w:val="007B46BF"/>
    <w:rsid w:val="007B5383"/>
    <w:rsid w:val="007B5C1B"/>
    <w:rsid w:val="007B6017"/>
    <w:rsid w:val="007B61E6"/>
    <w:rsid w:val="007B69ED"/>
    <w:rsid w:val="007B6B98"/>
    <w:rsid w:val="007B7736"/>
    <w:rsid w:val="007B78ED"/>
    <w:rsid w:val="007B7ACE"/>
    <w:rsid w:val="007B7D25"/>
    <w:rsid w:val="007C0107"/>
    <w:rsid w:val="007C0E6F"/>
    <w:rsid w:val="007C139C"/>
    <w:rsid w:val="007C1AC4"/>
    <w:rsid w:val="007C1BCF"/>
    <w:rsid w:val="007C1FC9"/>
    <w:rsid w:val="007C2607"/>
    <w:rsid w:val="007C29FA"/>
    <w:rsid w:val="007C2ABB"/>
    <w:rsid w:val="007C2BE4"/>
    <w:rsid w:val="007C3067"/>
    <w:rsid w:val="007C3C89"/>
    <w:rsid w:val="007C3E25"/>
    <w:rsid w:val="007C4262"/>
    <w:rsid w:val="007C4B0E"/>
    <w:rsid w:val="007C5CB2"/>
    <w:rsid w:val="007C5E7D"/>
    <w:rsid w:val="007C66BF"/>
    <w:rsid w:val="007C67E2"/>
    <w:rsid w:val="007C7971"/>
    <w:rsid w:val="007C7DFF"/>
    <w:rsid w:val="007C7E17"/>
    <w:rsid w:val="007D01BC"/>
    <w:rsid w:val="007D07C4"/>
    <w:rsid w:val="007D0AB6"/>
    <w:rsid w:val="007D100A"/>
    <w:rsid w:val="007D1137"/>
    <w:rsid w:val="007D116C"/>
    <w:rsid w:val="007D12EA"/>
    <w:rsid w:val="007D156B"/>
    <w:rsid w:val="007D168C"/>
    <w:rsid w:val="007D219D"/>
    <w:rsid w:val="007D28D0"/>
    <w:rsid w:val="007D2F92"/>
    <w:rsid w:val="007D374D"/>
    <w:rsid w:val="007D3D18"/>
    <w:rsid w:val="007D3F55"/>
    <w:rsid w:val="007D4253"/>
    <w:rsid w:val="007D433F"/>
    <w:rsid w:val="007D435F"/>
    <w:rsid w:val="007D527A"/>
    <w:rsid w:val="007D5D8B"/>
    <w:rsid w:val="007D5FA6"/>
    <w:rsid w:val="007D64C9"/>
    <w:rsid w:val="007D6635"/>
    <w:rsid w:val="007D6BB1"/>
    <w:rsid w:val="007D755C"/>
    <w:rsid w:val="007D798F"/>
    <w:rsid w:val="007D7A20"/>
    <w:rsid w:val="007E0A04"/>
    <w:rsid w:val="007E0BEC"/>
    <w:rsid w:val="007E10E7"/>
    <w:rsid w:val="007E1738"/>
    <w:rsid w:val="007E1791"/>
    <w:rsid w:val="007E1833"/>
    <w:rsid w:val="007E2779"/>
    <w:rsid w:val="007E3073"/>
    <w:rsid w:val="007E35D9"/>
    <w:rsid w:val="007E3B19"/>
    <w:rsid w:val="007E4314"/>
    <w:rsid w:val="007E4572"/>
    <w:rsid w:val="007E4838"/>
    <w:rsid w:val="007E4BE9"/>
    <w:rsid w:val="007E4BF2"/>
    <w:rsid w:val="007E5038"/>
    <w:rsid w:val="007E57D2"/>
    <w:rsid w:val="007E58E3"/>
    <w:rsid w:val="007E5E5B"/>
    <w:rsid w:val="007E6407"/>
    <w:rsid w:val="007E6810"/>
    <w:rsid w:val="007E6F97"/>
    <w:rsid w:val="007E6F9F"/>
    <w:rsid w:val="007E7764"/>
    <w:rsid w:val="007E77D6"/>
    <w:rsid w:val="007E7C36"/>
    <w:rsid w:val="007E7D2A"/>
    <w:rsid w:val="007F0425"/>
    <w:rsid w:val="007F0944"/>
    <w:rsid w:val="007F0969"/>
    <w:rsid w:val="007F0C33"/>
    <w:rsid w:val="007F0C5F"/>
    <w:rsid w:val="007F0CEC"/>
    <w:rsid w:val="007F10E6"/>
    <w:rsid w:val="007F1174"/>
    <w:rsid w:val="007F11D7"/>
    <w:rsid w:val="007F1383"/>
    <w:rsid w:val="007F15BC"/>
    <w:rsid w:val="007F164B"/>
    <w:rsid w:val="007F1D12"/>
    <w:rsid w:val="007F1DA7"/>
    <w:rsid w:val="007F1F79"/>
    <w:rsid w:val="007F2313"/>
    <w:rsid w:val="007F24E2"/>
    <w:rsid w:val="007F2DDE"/>
    <w:rsid w:val="007F337D"/>
    <w:rsid w:val="007F3B1A"/>
    <w:rsid w:val="007F3BA1"/>
    <w:rsid w:val="007F41FD"/>
    <w:rsid w:val="007F44A9"/>
    <w:rsid w:val="007F4592"/>
    <w:rsid w:val="007F5071"/>
    <w:rsid w:val="007F50EE"/>
    <w:rsid w:val="007F53F1"/>
    <w:rsid w:val="007F5604"/>
    <w:rsid w:val="007F6192"/>
    <w:rsid w:val="007F6756"/>
    <w:rsid w:val="007F67A9"/>
    <w:rsid w:val="007F67C7"/>
    <w:rsid w:val="007F6A1A"/>
    <w:rsid w:val="007F6AFF"/>
    <w:rsid w:val="007F6F3A"/>
    <w:rsid w:val="007F7063"/>
    <w:rsid w:val="007F7E44"/>
    <w:rsid w:val="007F7FF8"/>
    <w:rsid w:val="00802665"/>
    <w:rsid w:val="00802A46"/>
    <w:rsid w:val="00803155"/>
    <w:rsid w:val="00803CFD"/>
    <w:rsid w:val="00803FBB"/>
    <w:rsid w:val="0080439F"/>
    <w:rsid w:val="008043A8"/>
    <w:rsid w:val="00805910"/>
    <w:rsid w:val="00805DD3"/>
    <w:rsid w:val="00805F54"/>
    <w:rsid w:val="00806AE6"/>
    <w:rsid w:val="00806C75"/>
    <w:rsid w:val="008078DE"/>
    <w:rsid w:val="00807AD3"/>
    <w:rsid w:val="008108AC"/>
    <w:rsid w:val="00810DCF"/>
    <w:rsid w:val="008115FD"/>
    <w:rsid w:val="0081195E"/>
    <w:rsid w:val="00811A99"/>
    <w:rsid w:val="00811B13"/>
    <w:rsid w:val="008137CC"/>
    <w:rsid w:val="0081430E"/>
    <w:rsid w:val="00814341"/>
    <w:rsid w:val="008149EF"/>
    <w:rsid w:val="008151EC"/>
    <w:rsid w:val="00815B9B"/>
    <w:rsid w:val="00816065"/>
    <w:rsid w:val="00817042"/>
    <w:rsid w:val="008174C3"/>
    <w:rsid w:val="00820441"/>
    <w:rsid w:val="008206CE"/>
    <w:rsid w:val="00820751"/>
    <w:rsid w:val="00820AD0"/>
    <w:rsid w:val="0082130B"/>
    <w:rsid w:val="00821BA2"/>
    <w:rsid w:val="008221C1"/>
    <w:rsid w:val="008227D4"/>
    <w:rsid w:val="00823232"/>
    <w:rsid w:val="00823A32"/>
    <w:rsid w:val="00823B4C"/>
    <w:rsid w:val="0082411F"/>
    <w:rsid w:val="00824D00"/>
    <w:rsid w:val="00825455"/>
    <w:rsid w:val="00825520"/>
    <w:rsid w:val="0082560D"/>
    <w:rsid w:val="0082568C"/>
    <w:rsid w:val="0082574D"/>
    <w:rsid w:val="00825D03"/>
    <w:rsid w:val="00825F7C"/>
    <w:rsid w:val="00826A26"/>
    <w:rsid w:val="00826A44"/>
    <w:rsid w:val="00826CF1"/>
    <w:rsid w:val="00826D36"/>
    <w:rsid w:val="00827192"/>
    <w:rsid w:val="00827EE7"/>
    <w:rsid w:val="00827FF4"/>
    <w:rsid w:val="00830159"/>
    <w:rsid w:val="00830178"/>
    <w:rsid w:val="00831025"/>
    <w:rsid w:val="00831752"/>
    <w:rsid w:val="00831918"/>
    <w:rsid w:val="00831B93"/>
    <w:rsid w:val="00831CDE"/>
    <w:rsid w:val="0083260B"/>
    <w:rsid w:val="008327A8"/>
    <w:rsid w:val="00832807"/>
    <w:rsid w:val="00832D0E"/>
    <w:rsid w:val="0083356C"/>
    <w:rsid w:val="00833727"/>
    <w:rsid w:val="0083390E"/>
    <w:rsid w:val="00833FDC"/>
    <w:rsid w:val="008345E5"/>
    <w:rsid w:val="0083466B"/>
    <w:rsid w:val="0083484B"/>
    <w:rsid w:val="00834A7C"/>
    <w:rsid w:val="00834FE5"/>
    <w:rsid w:val="0083500D"/>
    <w:rsid w:val="00835297"/>
    <w:rsid w:val="00835A6C"/>
    <w:rsid w:val="00835CCC"/>
    <w:rsid w:val="00835EAD"/>
    <w:rsid w:val="00835F30"/>
    <w:rsid w:val="00836687"/>
    <w:rsid w:val="008375EB"/>
    <w:rsid w:val="00837E94"/>
    <w:rsid w:val="0084082F"/>
    <w:rsid w:val="00840EF0"/>
    <w:rsid w:val="00841302"/>
    <w:rsid w:val="00841CCE"/>
    <w:rsid w:val="00842A43"/>
    <w:rsid w:val="008438DC"/>
    <w:rsid w:val="00843E0F"/>
    <w:rsid w:val="008446B4"/>
    <w:rsid w:val="00844ADE"/>
    <w:rsid w:val="00844FD2"/>
    <w:rsid w:val="00845096"/>
    <w:rsid w:val="00845242"/>
    <w:rsid w:val="0084539D"/>
    <w:rsid w:val="00845B9B"/>
    <w:rsid w:val="00845C0C"/>
    <w:rsid w:val="00846055"/>
    <w:rsid w:val="0084674B"/>
    <w:rsid w:val="008469C7"/>
    <w:rsid w:val="00846D41"/>
    <w:rsid w:val="00846E78"/>
    <w:rsid w:val="0084727C"/>
    <w:rsid w:val="0084736E"/>
    <w:rsid w:val="008474CD"/>
    <w:rsid w:val="00847776"/>
    <w:rsid w:val="00847916"/>
    <w:rsid w:val="00847C4D"/>
    <w:rsid w:val="008500C1"/>
    <w:rsid w:val="00850BB0"/>
    <w:rsid w:val="0085119E"/>
    <w:rsid w:val="00851CC5"/>
    <w:rsid w:val="00851D2C"/>
    <w:rsid w:val="00851F98"/>
    <w:rsid w:val="008521F9"/>
    <w:rsid w:val="00852263"/>
    <w:rsid w:val="00852D5E"/>
    <w:rsid w:val="0085317B"/>
    <w:rsid w:val="0085328E"/>
    <w:rsid w:val="00853F0A"/>
    <w:rsid w:val="0085462C"/>
    <w:rsid w:val="008546BE"/>
    <w:rsid w:val="0085496F"/>
    <w:rsid w:val="00854A7F"/>
    <w:rsid w:val="008555F3"/>
    <w:rsid w:val="00855879"/>
    <w:rsid w:val="0085627F"/>
    <w:rsid w:val="00856344"/>
    <w:rsid w:val="008567C0"/>
    <w:rsid w:val="00856A9E"/>
    <w:rsid w:val="00856B0E"/>
    <w:rsid w:val="00856BA3"/>
    <w:rsid w:val="00856C4E"/>
    <w:rsid w:val="00856DE7"/>
    <w:rsid w:val="008579DB"/>
    <w:rsid w:val="00857B7C"/>
    <w:rsid w:val="00857C39"/>
    <w:rsid w:val="00857E4F"/>
    <w:rsid w:val="00861035"/>
    <w:rsid w:val="008610A8"/>
    <w:rsid w:val="00861D31"/>
    <w:rsid w:val="00861FBA"/>
    <w:rsid w:val="00862001"/>
    <w:rsid w:val="00862019"/>
    <w:rsid w:val="0086206B"/>
    <w:rsid w:val="00862248"/>
    <w:rsid w:val="008626F6"/>
    <w:rsid w:val="00862AC4"/>
    <w:rsid w:val="00862B20"/>
    <w:rsid w:val="00862B39"/>
    <w:rsid w:val="00862DA1"/>
    <w:rsid w:val="008637F8"/>
    <w:rsid w:val="0086391F"/>
    <w:rsid w:val="008639A1"/>
    <w:rsid w:val="008644AD"/>
    <w:rsid w:val="008645AD"/>
    <w:rsid w:val="00864A46"/>
    <w:rsid w:val="00864D12"/>
    <w:rsid w:val="00864E23"/>
    <w:rsid w:val="00864F0F"/>
    <w:rsid w:val="008652F1"/>
    <w:rsid w:val="00865331"/>
    <w:rsid w:val="008657CA"/>
    <w:rsid w:val="00865DD5"/>
    <w:rsid w:val="0086649A"/>
    <w:rsid w:val="008667B9"/>
    <w:rsid w:val="00866B4D"/>
    <w:rsid w:val="00866DC4"/>
    <w:rsid w:val="008671C9"/>
    <w:rsid w:val="008676CB"/>
    <w:rsid w:val="00870121"/>
    <w:rsid w:val="0087093B"/>
    <w:rsid w:val="00870B5A"/>
    <w:rsid w:val="00870D14"/>
    <w:rsid w:val="0087115E"/>
    <w:rsid w:val="0087130D"/>
    <w:rsid w:val="008716CB"/>
    <w:rsid w:val="0087186A"/>
    <w:rsid w:val="008719C4"/>
    <w:rsid w:val="0087345D"/>
    <w:rsid w:val="00873713"/>
    <w:rsid w:val="00873973"/>
    <w:rsid w:val="00874387"/>
    <w:rsid w:val="0087456C"/>
    <w:rsid w:val="00875068"/>
    <w:rsid w:val="008751D3"/>
    <w:rsid w:val="008756B3"/>
    <w:rsid w:val="00876394"/>
    <w:rsid w:val="008765AB"/>
    <w:rsid w:val="00876657"/>
    <w:rsid w:val="00876B84"/>
    <w:rsid w:val="00876C35"/>
    <w:rsid w:val="00876D2A"/>
    <w:rsid w:val="00877012"/>
    <w:rsid w:val="00877614"/>
    <w:rsid w:val="00877D81"/>
    <w:rsid w:val="00880550"/>
    <w:rsid w:val="0088093A"/>
    <w:rsid w:val="00881450"/>
    <w:rsid w:val="008815F1"/>
    <w:rsid w:val="008816C1"/>
    <w:rsid w:val="00881D3B"/>
    <w:rsid w:val="008826C6"/>
    <w:rsid w:val="00883322"/>
    <w:rsid w:val="00883F13"/>
    <w:rsid w:val="008841EE"/>
    <w:rsid w:val="00884FD4"/>
    <w:rsid w:val="00885C35"/>
    <w:rsid w:val="00886A21"/>
    <w:rsid w:val="00886FCF"/>
    <w:rsid w:val="0088758A"/>
    <w:rsid w:val="008877E3"/>
    <w:rsid w:val="008878CC"/>
    <w:rsid w:val="00887C29"/>
    <w:rsid w:val="0089046C"/>
    <w:rsid w:val="00890AC9"/>
    <w:rsid w:val="0089112C"/>
    <w:rsid w:val="00891F3E"/>
    <w:rsid w:val="00892DD7"/>
    <w:rsid w:val="00892FF3"/>
    <w:rsid w:val="0089330B"/>
    <w:rsid w:val="00893497"/>
    <w:rsid w:val="00893F02"/>
    <w:rsid w:val="008942E7"/>
    <w:rsid w:val="00894709"/>
    <w:rsid w:val="00894F9B"/>
    <w:rsid w:val="00895550"/>
    <w:rsid w:val="00895AA2"/>
    <w:rsid w:val="00897094"/>
    <w:rsid w:val="00897286"/>
    <w:rsid w:val="00897563"/>
    <w:rsid w:val="00897815"/>
    <w:rsid w:val="008A0370"/>
    <w:rsid w:val="008A0549"/>
    <w:rsid w:val="008A0F62"/>
    <w:rsid w:val="008A2090"/>
    <w:rsid w:val="008A2300"/>
    <w:rsid w:val="008A2533"/>
    <w:rsid w:val="008A28C4"/>
    <w:rsid w:val="008A36B7"/>
    <w:rsid w:val="008A3934"/>
    <w:rsid w:val="008A3DC6"/>
    <w:rsid w:val="008A4E4A"/>
    <w:rsid w:val="008A4FB7"/>
    <w:rsid w:val="008A517B"/>
    <w:rsid w:val="008A5402"/>
    <w:rsid w:val="008A54C8"/>
    <w:rsid w:val="008A58FE"/>
    <w:rsid w:val="008A663E"/>
    <w:rsid w:val="008A6DCA"/>
    <w:rsid w:val="008A6FBA"/>
    <w:rsid w:val="008A73ED"/>
    <w:rsid w:val="008A791B"/>
    <w:rsid w:val="008A793F"/>
    <w:rsid w:val="008B00F3"/>
    <w:rsid w:val="008B048F"/>
    <w:rsid w:val="008B08DA"/>
    <w:rsid w:val="008B0C67"/>
    <w:rsid w:val="008B0DB0"/>
    <w:rsid w:val="008B1088"/>
    <w:rsid w:val="008B248E"/>
    <w:rsid w:val="008B2598"/>
    <w:rsid w:val="008B4009"/>
    <w:rsid w:val="008B4956"/>
    <w:rsid w:val="008B52D1"/>
    <w:rsid w:val="008B532F"/>
    <w:rsid w:val="008B600B"/>
    <w:rsid w:val="008B60AB"/>
    <w:rsid w:val="008B60E2"/>
    <w:rsid w:val="008B6511"/>
    <w:rsid w:val="008B7475"/>
    <w:rsid w:val="008B7787"/>
    <w:rsid w:val="008B7DF5"/>
    <w:rsid w:val="008C070D"/>
    <w:rsid w:val="008C0F61"/>
    <w:rsid w:val="008C26A6"/>
    <w:rsid w:val="008C34A2"/>
    <w:rsid w:val="008C3525"/>
    <w:rsid w:val="008C390F"/>
    <w:rsid w:val="008C436C"/>
    <w:rsid w:val="008C4579"/>
    <w:rsid w:val="008C49E3"/>
    <w:rsid w:val="008C4BD5"/>
    <w:rsid w:val="008C56EE"/>
    <w:rsid w:val="008C5922"/>
    <w:rsid w:val="008C5FD7"/>
    <w:rsid w:val="008C688A"/>
    <w:rsid w:val="008D012E"/>
    <w:rsid w:val="008D0823"/>
    <w:rsid w:val="008D09A7"/>
    <w:rsid w:val="008D0CC6"/>
    <w:rsid w:val="008D194B"/>
    <w:rsid w:val="008D1AC8"/>
    <w:rsid w:val="008D1F5C"/>
    <w:rsid w:val="008D23DF"/>
    <w:rsid w:val="008D24E3"/>
    <w:rsid w:val="008D2663"/>
    <w:rsid w:val="008D2829"/>
    <w:rsid w:val="008D3349"/>
    <w:rsid w:val="008D3482"/>
    <w:rsid w:val="008D3484"/>
    <w:rsid w:val="008D369E"/>
    <w:rsid w:val="008D3817"/>
    <w:rsid w:val="008D39CD"/>
    <w:rsid w:val="008D433F"/>
    <w:rsid w:val="008D49D7"/>
    <w:rsid w:val="008D4DFC"/>
    <w:rsid w:val="008D51A7"/>
    <w:rsid w:val="008D584B"/>
    <w:rsid w:val="008D5D5F"/>
    <w:rsid w:val="008D66A2"/>
    <w:rsid w:val="008D6AA4"/>
    <w:rsid w:val="008D794C"/>
    <w:rsid w:val="008E0D19"/>
    <w:rsid w:val="008E16F9"/>
    <w:rsid w:val="008E1C65"/>
    <w:rsid w:val="008E1C6D"/>
    <w:rsid w:val="008E2491"/>
    <w:rsid w:val="008E2621"/>
    <w:rsid w:val="008E31C4"/>
    <w:rsid w:val="008E3C06"/>
    <w:rsid w:val="008E3ECC"/>
    <w:rsid w:val="008E6410"/>
    <w:rsid w:val="008E64EB"/>
    <w:rsid w:val="008E6658"/>
    <w:rsid w:val="008E69AC"/>
    <w:rsid w:val="008E6F00"/>
    <w:rsid w:val="008E7AF3"/>
    <w:rsid w:val="008E7B87"/>
    <w:rsid w:val="008F0291"/>
    <w:rsid w:val="008F1F71"/>
    <w:rsid w:val="008F26D4"/>
    <w:rsid w:val="008F3F33"/>
    <w:rsid w:val="008F44BD"/>
    <w:rsid w:val="008F4B6F"/>
    <w:rsid w:val="008F4C82"/>
    <w:rsid w:val="008F4E37"/>
    <w:rsid w:val="008F4F89"/>
    <w:rsid w:val="008F540C"/>
    <w:rsid w:val="008F5415"/>
    <w:rsid w:val="008F56AC"/>
    <w:rsid w:val="008F5DB7"/>
    <w:rsid w:val="008F7306"/>
    <w:rsid w:val="00900744"/>
    <w:rsid w:val="009008F2"/>
    <w:rsid w:val="00900A11"/>
    <w:rsid w:val="009012D4"/>
    <w:rsid w:val="0090140E"/>
    <w:rsid w:val="009016E8"/>
    <w:rsid w:val="00901F75"/>
    <w:rsid w:val="00902308"/>
    <w:rsid w:val="009023AD"/>
    <w:rsid w:val="00902431"/>
    <w:rsid w:val="009026F3"/>
    <w:rsid w:val="009028CA"/>
    <w:rsid w:val="00902EAB"/>
    <w:rsid w:val="00903774"/>
    <w:rsid w:val="0090388A"/>
    <w:rsid w:val="0090412A"/>
    <w:rsid w:val="00904B27"/>
    <w:rsid w:val="00904E40"/>
    <w:rsid w:val="00905040"/>
    <w:rsid w:val="00905291"/>
    <w:rsid w:val="00906600"/>
    <w:rsid w:val="009068F2"/>
    <w:rsid w:val="00906D5F"/>
    <w:rsid w:val="00907A35"/>
    <w:rsid w:val="009100F6"/>
    <w:rsid w:val="00910446"/>
    <w:rsid w:val="009104FF"/>
    <w:rsid w:val="00910610"/>
    <w:rsid w:val="0091098C"/>
    <w:rsid w:val="00910E15"/>
    <w:rsid w:val="00911671"/>
    <w:rsid w:val="0091199B"/>
    <w:rsid w:val="00911AA1"/>
    <w:rsid w:val="00911C9C"/>
    <w:rsid w:val="00911F8E"/>
    <w:rsid w:val="009122B6"/>
    <w:rsid w:val="009134E5"/>
    <w:rsid w:val="00913A33"/>
    <w:rsid w:val="00914535"/>
    <w:rsid w:val="00915D46"/>
    <w:rsid w:val="00915FBE"/>
    <w:rsid w:val="00916835"/>
    <w:rsid w:val="00916E70"/>
    <w:rsid w:val="009170DE"/>
    <w:rsid w:val="009172F2"/>
    <w:rsid w:val="009176D0"/>
    <w:rsid w:val="00917E2C"/>
    <w:rsid w:val="00920AEA"/>
    <w:rsid w:val="00921789"/>
    <w:rsid w:val="009228C1"/>
    <w:rsid w:val="00923335"/>
    <w:rsid w:val="00923BD9"/>
    <w:rsid w:val="00923F2E"/>
    <w:rsid w:val="00924DCE"/>
    <w:rsid w:val="00925847"/>
    <w:rsid w:val="00925B2E"/>
    <w:rsid w:val="00925E33"/>
    <w:rsid w:val="00926328"/>
    <w:rsid w:val="00926A7F"/>
    <w:rsid w:val="00927B26"/>
    <w:rsid w:val="00927E4D"/>
    <w:rsid w:val="0093014E"/>
    <w:rsid w:val="00930263"/>
    <w:rsid w:val="00930BAA"/>
    <w:rsid w:val="009315A3"/>
    <w:rsid w:val="00931748"/>
    <w:rsid w:val="00931A25"/>
    <w:rsid w:val="0093332A"/>
    <w:rsid w:val="009333BB"/>
    <w:rsid w:val="0093381B"/>
    <w:rsid w:val="009339E4"/>
    <w:rsid w:val="009340E3"/>
    <w:rsid w:val="0093456C"/>
    <w:rsid w:val="009349AB"/>
    <w:rsid w:val="00934DC4"/>
    <w:rsid w:val="009353C7"/>
    <w:rsid w:val="0093562B"/>
    <w:rsid w:val="009356C1"/>
    <w:rsid w:val="00935B96"/>
    <w:rsid w:val="00935E2F"/>
    <w:rsid w:val="00936827"/>
    <w:rsid w:val="00936C53"/>
    <w:rsid w:val="00937A74"/>
    <w:rsid w:val="00937C4F"/>
    <w:rsid w:val="00937D82"/>
    <w:rsid w:val="009404D6"/>
    <w:rsid w:val="009408C2"/>
    <w:rsid w:val="009415EB"/>
    <w:rsid w:val="009418D8"/>
    <w:rsid w:val="00941BB7"/>
    <w:rsid w:val="0094300A"/>
    <w:rsid w:val="00943314"/>
    <w:rsid w:val="009437E9"/>
    <w:rsid w:val="00943A67"/>
    <w:rsid w:val="00943CE1"/>
    <w:rsid w:val="00943EFA"/>
    <w:rsid w:val="009447A3"/>
    <w:rsid w:val="00944B78"/>
    <w:rsid w:val="00944C45"/>
    <w:rsid w:val="00944E51"/>
    <w:rsid w:val="00944FB4"/>
    <w:rsid w:val="00945274"/>
    <w:rsid w:val="00945596"/>
    <w:rsid w:val="00945A25"/>
    <w:rsid w:val="00945B39"/>
    <w:rsid w:val="0094658B"/>
    <w:rsid w:val="00946982"/>
    <w:rsid w:val="0094735E"/>
    <w:rsid w:val="0094743F"/>
    <w:rsid w:val="00947C07"/>
    <w:rsid w:val="00950161"/>
    <w:rsid w:val="009511A5"/>
    <w:rsid w:val="00951443"/>
    <w:rsid w:val="0095159B"/>
    <w:rsid w:val="00951A0A"/>
    <w:rsid w:val="00951F6F"/>
    <w:rsid w:val="00952078"/>
    <w:rsid w:val="009520B1"/>
    <w:rsid w:val="00952244"/>
    <w:rsid w:val="00952282"/>
    <w:rsid w:val="009526B8"/>
    <w:rsid w:val="0095288C"/>
    <w:rsid w:val="00953081"/>
    <w:rsid w:val="0095471A"/>
    <w:rsid w:val="00954EDD"/>
    <w:rsid w:val="009550A6"/>
    <w:rsid w:val="0095537B"/>
    <w:rsid w:val="009553C6"/>
    <w:rsid w:val="00955FDB"/>
    <w:rsid w:val="0095611C"/>
    <w:rsid w:val="00956236"/>
    <w:rsid w:val="009567E3"/>
    <w:rsid w:val="009569B8"/>
    <w:rsid w:val="00956BFB"/>
    <w:rsid w:val="00956DB0"/>
    <w:rsid w:val="00956DFE"/>
    <w:rsid w:val="00956F82"/>
    <w:rsid w:val="0095745C"/>
    <w:rsid w:val="00957E03"/>
    <w:rsid w:val="00960F94"/>
    <w:rsid w:val="009611F2"/>
    <w:rsid w:val="009615EC"/>
    <w:rsid w:val="009616A9"/>
    <w:rsid w:val="00961E1B"/>
    <w:rsid w:val="009620B1"/>
    <w:rsid w:val="0096257C"/>
    <w:rsid w:val="00963870"/>
    <w:rsid w:val="00963E16"/>
    <w:rsid w:val="00964467"/>
    <w:rsid w:val="00964A72"/>
    <w:rsid w:val="00964AF5"/>
    <w:rsid w:val="00965B71"/>
    <w:rsid w:val="00965F4F"/>
    <w:rsid w:val="00966232"/>
    <w:rsid w:val="00966D22"/>
    <w:rsid w:val="00966ECC"/>
    <w:rsid w:val="00966ED1"/>
    <w:rsid w:val="00967488"/>
    <w:rsid w:val="009676BE"/>
    <w:rsid w:val="009702B6"/>
    <w:rsid w:val="009705DF"/>
    <w:rsid w:val="0097078D"/>
    <w:rsid w:val="0097089F"/>
    <w:rsid w:val="009709BF"/>
    <w:rsid w:val="0097168D"/>
    <w:rsid w:val="00972124"/>
    <w:rsid w:val="00972442"/>
    <w:rsid w:val="009725F4"/>
    <w:rsid w:val="00972967"/>
    <w:rsid w:val="00972BC8"/>
    <w:rsid w:val="0097308E"/>
    <w:rsid w:val="00973669"/>
    <w:rsid w:val="0097445D"/>
    <w:rsid w:val="00975876"/>
    <w:rsid w:val="00976DF1"/>
    <w:rsid w:val="00977C1B"/>
    <w:rsid w:val="00977D0D"/>
    <w:rsid w:val="0098003F"/>
    <w:rsid w:val="009821AF"/>
    <w:rsid w:val="00982A58"/>
    <w:rsid w:val="00983370"/>
    <w:rsid w:val="00983B46"/>
    <w:rsid w:val="00983FE2"/>
    <w:rsid w:val="00984301"/>
    <w:rsid w:val="009844B5"/>
    <w:rsid w:val="0098478C"/>
    <w:rsid w:val="00985234"/>
    <w:rsid w:val="00985987"/>
    <w:rsid w:val="00986037"/>
    <w:rsid w:val="00986244"/>
    <w:rsid w:val="0098729C"/>
    <w:rsid w:val="00987611"/>
    <w:rsid w:val="00987BD2"/>
    <w:rsid w:val="009901EF"/>
    <w:rsid w:val="009906FC"/>
    <w:rsid w:val="0099146F"/>
    <w:rsid w:val="00991685"/>
    <w:rsid w:val="009926E2"/>
    <w:rsid w:val="00992A44"/>
    <w:rsid w:val="00992ACE"/>
    <w:rsid w:val="009934CE"/>
    <w:rsid w:val="00993705"/>
    <w:rsid w:val="00993B32"/>
    <w:rsid w:val="00993DC2"/>
    <w:rsid w:val="0099447D"/>
    <w:rsid w:val="009945C3"/>
    <w:rsid w:val="0099500B"/>
    <w:rsid w:val="00995398"/>
    <w:rsid w:val="00995441"/>
    <w:rsid w:val="00995737"/>
    <w:rsid w:val="00995D3B"/>
    <w:rsid w:val="00995E40"/>
    <w:rsid w:val="00996297"/>
    <w:rsid w:val="00996DD5"/>
    <w:rsid w:val="009973AB"/>
    <w:rsid w:val="009976D0"/>
    <w:rsid w:val="00997807"/>
    <w:rsid w:val="00997B72"/>
    <w:rsid w:val="00997FCA"/>
    <w:rsid w:val="009A02AB"/>
    <w:rsid w:val="009A0A1A"/>
    <w:rsid w:val="009A1058"/>
    <w:rsid w:val="009A15FD"/>
    <w:rsid w:val="009A16E4"/>
    <w:rsid w:val="009A221D"/>
    <w:rsid w:val="009A2965"/>
    <w:rsid w:val="009A331A"/>
    <w:rsid w:val="009A378E"/>
    <w:rsid w:val="009A41A0"/>
    <w:rsid w:val="009A4BAC"/>
    <w:rsid w:val="009A5641"/>
    <w:rsid w:val="009A58F2"/>
    <w:rsid w:val="009A5E51"/>
    <w:rsid w:val="009A62A4"/>
    <w:rsid w:val="009A6BE8"/>
    <w:rsid w:val="009A70E0"/>
    <w:rsid w:val="009A755E"/>
    <w:rsid w:val="009A76B9"/>
    <w:rsid w:val="009A7A16"/>
    <w:rsid w:val="009A7C65"/>
    <w:rsid w:val="009B02BC"/>
    <w:rsid w:val="009B0761"/>
    <w:rsid w:val="009B0853"/>
    <w:rsid w:val="009B0B39"/>
    <w:rsid w:val="009B0EF0"/>
    <w:rsid w:val="009B122B"/>
    <w:rsid w:val="009B1384"/>
    <w:rsid w:val="009B1592"/>
    <w:rsid w:val="009B1F40"/>
    <w:rsid w:val="009B2617"/>
    <w:rsid w:val="009B2B72"/>
    <w:rsid w:val="009B3481"/>
    <w:rsid w:val="009B37A2"/>
    <w:rsid w:val="009B3D8D"/>
    <w:rsid w:val="009B4257"/>
    <w:rsid w:val="009B43F8"/>
    <w:rsid w:val="009B4FDA"/>
    <w:rsid w:val="009B5A0F"/>
    <w:rsid w:val="009B5D3A"/>
    <w:rsid w:val="009B5DEA"/>
    <w:rsid w:val="009B6143"/>
    <w:rsid w:val="009B6586"/>
    <w:rsid w:val="009B6C2A"/>
    <w:rsid w:val="009B739A"/>
    <w:rsid w:val="009B76C5"/>
    <w:rsid w:val="009B78C5"/>
    <w:rsid w:val="009B7EAA"/>
    <w:rsid w:val="009C0E2A"/>
    <w:rsid w:val="009C1AEB"/>
    <w:rsid w:val="009C2B83"/>
    <w:rsid w:val="009C394A"/>
    <w:rsid w:val="009C3CCF"/>
    <w:rsid w:val="009C4E7A"/>
    <w:rsid w:val="009C5632"/>
    <w:rsid w:val="009C5AE7"/>
    <w:rsid w:val="009C5D81"/>
    <w:rsid w:val="009C60CE"/>
    <w:rsid w:val="009C613A"/>
    <w:rsid w:val="009C6495"/>
    <w:rsid w:val="009C65E9"/>
    <w:rsid w:val="009C66EA"/>
    <w:rsid w:val="009C74BD"/>
    <w:rsid w:val="009C74D2"/>
    <w:rsid w:val="009C7F16"/>
    <w:rsid w:val="009D0D68"/>
    <w:rsid w:val="009D0E53"/>
    <w:rsid w:val="009D1412"/>
    <w:rsid w:val="009D2511"/>
    <w:rsid w:val="009D292D"/>
    <w:rsid w:val="009D2AD3"/>
    <w:rsid w:val="009D378C"/>
    <w:rsid w:val="009D3860"/>
    <w:rsid w:val="009D3AB7"/>
    <w:rsid w:val="009D3F56"/>
    <w:rsid w:val="009D4123"/>
    <w:rsid w:val="009D44B9"/>
    <w:rsid w:val="009D4E4C"/>
    <w:rsid w:val="009D5850"/>
    <w:rsid w:val="009D58C7"/>
    <w:rsid w:val="009D67BD"/>
    <w:rsid w:val="009D70F6"/>
    <w:rsid w:val="009D72C2"/>
    <w:rsid w:val="009D7F96"/>
    <w:rsid w:val="009D7F9E"/>
    <w:rsid w:val="009E026B"/>
    <w:rsid w:val="009E097D"/>
    <w:rsid w:val="009E147E"/>
    <w:rsid w:val="009E186D"/>
    <w:rsid w:val="009E2199"/>
    <w:rsid w:val="009E27F2"/>
    <w:rsid w:val="009E28A5"/>
    <w:rsid w:val="009E3512"/>
    <w:rsid w:val="009E385A"/>
    <w:rsid w:val="009E38AF"/>
    <w:rsid w:val="009E39EA"/>
    <w:rsid w:val="009E4023"/>
    <w:rsid w:val="009E40E1"/>
    <w:rsid w:val="009E470F"/>
    <w:rsid w:val="009E58E6"/>
    <w:rsid w:val="009E5C7A"/>
    <w:rsid w:val="009E693B"/>
    <w:rsid w:val="009E6C1A"/>
    <w:rsid w:val="009E7699"/>
    <w:rsid w:val="009F0D14"/>
    <w:rsid w:val="009F104E"/>
    <w:rsid w:val="009F2D7B"/>
    <w:rsid w:val="009F3208"/>
    <w:rsid w:val="009F53DD"/>
    <w:rsid w:val="009F5EEA"/>
    <w:rsid w:val="009F6292"/>
    <w:rsid w:val="009F6331"/>
    <w:rsid w:val="009F64D5"/>
    <w:rsid w:val="009F69E7"/>
    <w:rsid w:val="009F6B1E"/>
    <w:rsid w:val="009F6D6C"/>
    <w:rsid w:val="009F6E02"/>
    <w:rsid w:val="009F764E"/>
    <w:rsid w:val="009F79A2"/>
    <w:rsid w:val="00A003EF"/>
    <w:rsid w:val="00A006FE"/>
    <w:rsid w:val="00A00E1D"/>
    <w:rsid w:val="00A017B3"/>
    <w:rsid w:val="00A018D4"/>
    <w:rsid w:val="00A01C3F"/>
    <w:rsid w:val="00A02020"/>
    <w:rsid w:val="00A02FAD"/>
    <w:rsid w:val="00A032E1"/>
    <w:rsid w:val="00A03745"/>
    <w:rsid w:val="00A03EFA"/>
    <w:rsid w:val="00A05C13"/>
    <w:rsid w:val="00A06AB0"/>
    <w:rsid w:val="00A06EFB"/>
    <w:rsid w:val="00A07887"/>
    <w:rsid w:val="00A07910"/>
    <w:rsid w:val="00A10323"/>
    <w:rsid w:val="00A104F8"/>
    <w:rsid w:val="00A10548"/>
    <w:rsid w:val="00A11125"/>
    <w:rsid w:val="00A117F6"/>
    <w:rsid w:val="00A11932"/>
    <w:rsid w:val="00A11BD4"/>
    <w:rsid w:val="00A11CDC"/>
    <w:rsid w:val="00A12592"/>
    <w:rsid w:val="00A12797"/>
    <w:rsid w:val="00A12915"/>
    <w:rsid w:val="00A12923"/>
    <w:rsid w:val="00A12B68"/>
    <w:rsid w:val="00A12F48"/>
    <w:rsid w:val="00A134AA"/>
    <w:rsid w:val="00A13555"/>
    <w:rsid w:val="00A13E00"/>
    <w:rsid w:val="00A13F7C"/>
    <w:rsid w:val="00A148BB"/>
    <w:rsid w:val="00A14932"/>
    <w:rsid w:val="00A14AEA"/>
    <w:rsid w:val="00A14B5D"/>
    <w:rsid w:val="00A14DB4"/>
    <w:rsid w:val="00A15262"/>
    <w:rsid w:val="00A15C8A"/>
    <w:rsid w:val="00A15D41"/>
    <w:rsid w:val="00A16538"/>
    <w:rsid w:val="00A171A9"/>
    <w:rsid w:val="00A175F1"/>
    <w:rsid w:val="00A17ED1"/>
    <w:rsid w:val="00A20096"/>
    <w:rsid w:val="00A202E9"/>
    <w:rsid w:val="00A20411"/>
    <w:rsid w:val="00A20643"/>
    <w:rsid w:val="00A20CC3"/>
    <w:rsid w:val="00A224F8"/>
    <w:rsid w:val="00A225C5"/>
    <w:rsid w:val="00A22677"/>
    <w:rsid w:val="00A22761"/>
    <w:rsid w:val="00A23301"/>
    <w:rsid w:val="00A23384"/>
    <w:rsid w:val="00A237A4"/>
    <w:rsid w:val="00A251C4"/>
    <w:rsid w:val="00A256F6"/>
    <w:rsid w:val="00A25BE9"/>
    <w:rsid w:val="00A27325"/>
    <w:rsid w:val="00A2794A"/>
    <w:rsid w:val="00A27AD7"/>
    <w:rsid w:val="00A30602"/>
    <w:rsid w:val="00A30828"/>
    <w:rsid w:val="00A3100D"/>
    <w:rsid w:val="00A31711"/>
    <w:rsid w:val="00A31E8A"/>
    <w:rsid w:val="00A32437"/>
    <w:rsid w:val="00A326E1"/>
    <w:rsid w:val="00A328F2"/>
    <w:rsid w:val="00A32A5E"/>
    <w:rsid w:val="00A33464"/>
    <w:rsid w:val="00A33668"/>
    <w:rsid w:val="00A338F4"/>
    <w:rsid w:val="00A33C81"/>
    <w:rsid w:val="00A34633"/>
    <w:rsid w:val="00A34F69"/>
    <w:rsid w:val="00A3674D"/>
    <w:rsid w:val="00A37231"/>
    <w:rsid w:val="00A37AF1"/>
    <w:rsid w:val="00A40EE2"/>
    <w:rsid w:val="00A429E0"/>
    <w:rsid w:val="00A42BA4"/>
    <w:rsid w:val="00A430B5"/>
    <w:rsid w:val="00A432F3"/>
    <w:rsid w:val="00A434C8"/>
    <w:rsid w:val="00A4449C"/>
    <w:rsid w:val="00A44506"/>
    <w:rsid w:val="00A4463D"/>
    <w:rsid w:val="00A447E0"/>
    <w:rsid w:val="00A44B7A"/>
    <w:rsid w:val="00A44BD9"/>
    <w:rsid w:val="00A4503C"/>
    <w:rsid w:val="00A45E9F"/>
    <w:rsid w:val="00A46274"/>
    <w:rsid w:val="00A46BF2"/>
    <w:rsid w:val="00A46DE5"/>
    <w:rsid w:val="00A47064"/>
    <w:rsid w:val="00A47134"/>
    <w:rsid w:val="00A479A0"/>
    <w:rsid w:val="00A47C7A"/>
    <w:rsid w:val="00A5046C"/>
    <w:rsid w:val="00A51737"/>
    <w:rsid w:val="00A51AE0"/>
    <w:rsid w:val="00A51FF7"/>
    <w:rsid w:val="00A526BE"/>
    <w:rsid w:val="00A5296C"/>
    <w:rsid w:val="00A52ABB"/>
    <w:rsid w:val="00A52D97"/>
    <w:rsid w:val="00A533A0"/>
    <w:rsid w:val="00A540E9"/>
    <w:rsid w:val="00A5422F"/>
    <w:rsid w:val="00A54544"/>
    <w:rsid w:val="00A55DCE"/>
    <w:rsid w:val="00A5601C"/>
    <w:rsid w:val="00A561FA"/>
    <w:rsid w:val="00A5643E"/>
    <w:rsid w:val="00A564E2"/>
    <w:rsid w:val="00A56893"/>
    <w:rsid w:val="00A56991"/>
    <w:rsid w:val="00A56F73"/>
    <w:rsid w:val="00A5723B"/>
    <w:rsid w:val="00A57F1B"/>
    <w:rsid w:val="00A6034E"/>
    <w:rsid w:val="00A6073D"/>
    <w:rsid w:val="00A60743"/>
    <w:rsid w:val="00A60C3E"/>
    <w:rsid w:val="00A60DE4"/>
    <w:rsid w:val="00A619BE"/>
    <w:rsid w:val="00A6295C"/>
    <w:rsid w:val="00A62987"/>
    <w:rsid w:val="00A62D75"/>
    <w:rsid w:val="00A62E72"/>
    <w:rsid w:val="00A63347"/>
    <w:rsid w:val="00A63608"/>
    <w:rsid w:val="00A63636"/>
    <w:rsid w:val="00A63D66"/>
    <w:rsid w:val="00A6458D"/>
    <w:rsid w:val="00A64677"/>
    <w:rsid w:val="00A64749"/>
    <w:rsid w:val="00A651F2"/>
    <w:rsid w:val="00A6567C"/>
    <w:rsid w:val="00A658E3"/>
    <w:rsid w:val="00A65A94"/>
    <w:rsid w:val="00A65B1B"/>
    <w:rsid w:val="00A66715"/>
    <w:rsid w:val="00A66738"/>
    <w:rsid w:val="00A66ACC"/>
    <w:rsid w:val="00A66F53"/>
    <w:rsid w:val="00A6742B"/>
    <w:rsid w:val="00A67B64"/>
    <w:rsid w:val="00A70254"/>
    <w:rsid w:val="00A70277"/>
    <w:rsid w:val="00A70E62"/>
    <w:rsid w:val="00A7106F"/>
    <w:rsid w:val="00A7143A"/>
    <w:rsid w:val="00A71F5F"/>
    <w:rsid w:val="00A725EA"/>
    <w:rsid w:val="00A72CD9"/>
    <w:rsid w:val="00A73054"/>
    <w:rsid w:val="00A73454"/>
    <w:rsid w:val="00A7412C"/>
    <w:rsid w:val="00A741CC"/>
    <w:rsid w:val="00A74AAC"/>
    <w:rsid w:val="00A74CC1"/>
    <w:rsid w:val="00A7519F"/>
    <w:rsid w:val="00A76EDE"/>
    <w:rsid w:val="00A770C1"/>
    <w:rsid w:val="00A770F6"/>
    <w:rsid w:val="00A77AB3"/>
    <w:rsid w:val="00A77DF9"/>
    <w:rsid w:val="00A80FEB"/>
    <w:rsid w:val="00A81191"/>
    <w:rsid w:val="00A813AC"/>
    <w:rsid w:val="00A813DA"/>
    <w:rsid w:val="00A814DE"/>
    <w:rsid w:val="00A81C51"/>
    <w:rsid w:val="00A8257D"/>
    <w:rsid w:val="00A8311A"/>
    <w:rsid w:val="00A8322F"/>
    <w:rsid w:val="00A83C7C"/>
    <w:rsid w:val="00A843B7"/>
    <w:rsid w:val="00A84871"/>
    <w:rsid w:val="00A84FF8"/>
    <w:rsid w:val="00A850D2"/>
    <w:rsid w:val="00A85449"/>
    <w:rsid w:val="00A86055"/>
    <w:rsid w:val="00A862C3"/>
    <w:rsid w:val="00A86385"/>
    <w:rsid w:val="00A8656A"/>
    <w:rsid w:val="00A869E9"/>
    <w:rsid w:val="00A870D1"/>
    <w:rsid w:val="00A8716C"/>
    <w:rsid w:val="00A875D2"/>
    <w:rsid w:val="00A87820"/>
    <w:rsid w:val="00A87A9D"/>
    <w:rsid w:val="00A87B90"/>
    <w:rsid w:val="00A90581"/>
    <w:rsid w:val="00A90691"/>
    <w:rsid w:val="00A90921"/>
    <w:rsid w:val="00A90E71"/>
    <w:rsid w:val="00A911BE"/>
    <w:rsid w:val="00A91457"/>
    <w:rsid w:val="00A91AFF"/>
    <w:rsid w:val="00A92650"/>
    <w:rsid w:val="00A928D3"/>
    <w:rsid w:val="00A92AAD"/>
    <w:rsid w:val="00A92B80"/>
    <w:rsid w:val="00A93979"/>
    <w:rsid w:val="00A94276"/>
    <w:rsid w:val="00A947D9"/>
    <w:rsid w:val="00A94C55"/>
    <w:rsid w:val="00A95280"/>
    <w:rsid w:val="00A95316"/>
    <w:rsid w:val="00A95CF9"/>
    <w:rsid w:val="00A96962"/>
    <w:rsid w:val="00A96A21"/>
    <w:rsid w:val="00A97229"/>
    <w:rsid w:val="00A97899"/>
    <w:rsid w:val="00A97A84"/>
    <w:rsid w:val="00AA010F"/>
    <w:rsid w:val="00AA04BD"/>
    <w:rsid w:val="00AA0A55"/>
    <w:rsid w:val="00AA0D04"/>
    <w:rsid w:val="00AA0DB3"/>
    <w:rsid w:val="00AA1152"/>
    <w:rsid w:val="00AA1D7A"/>
    <w:rsid w:val="00AA23BD"/>
    <w:rsid w:val="00AA265C"/>
    <w:rsid w:val="00AA2BB8"/>
    <w:rsid w:val="00AA3109"/>
    <w:rsid w:val="00AA32F8"/>
    <w:rsid w:val="00AA3620"/>
    <w:rsid w:val="00AA3787"/>
    <w:rsid w:val="00AA378C"/>
    <w:rsid w:val="00AA3A28"/>
    <w:rsid w:val="00AA3A41"/>
    <w:rsid w:val="00AA46D2"/>
    <w:rsid w:val="00AA4DAF"/>
    <w:rsid w:val="00AA4F85"/>
    <w:rsid w:val="00AA52A3"/>
    <w:rsid w:val="00AA55EE"/>
    <w:rsid w:val="00AA588F"/>
    <w:rsid w:val="00AA66B9"/>
    <w:rsid w:val="00AA68A8"/>
    <w:rsid w:val="00AA6D22"/>
    <w:rsid w:val="00AA6D68"/>
    <w:rsid w:val="00AA76F1"/>
    <w:rsid w:val="00AB001D"/>
    <w:rsid w:val="00AB08B1"/>
    <w:rsid w:val="00AB0D6A"/>
    <w:rsid w:val="00AB11D3"/>
    <w:rsid w:val="00AB11F1"/>
    <w:rsid w:val="00AB200C"/>
    <w:rsid w:val="00AB20DA"/>
    <w:rsid w:val="00AB260E"/>
    <w:rsid w:val="00AB2A39"/>
    <w:rsid w:val="00AB38B4"/>
    <w:rsid w:val="00AB39FB"/>
    <w:rsid w:val="00AB3E77"/>
    <w:rsid w:val="00AB484C"/>
    <w:rsid w:val="00AB4BBB"/>
    <w:rsid w:val="00AB4C33"/>
    <w:rsid w:val="00AB4D3F"/>
    <w:rsid w:val="00AB4F35"/>
    <w:rsid w:val="00AB4FE1"/>
    <w:rsid w:val="00AB527A"/>
    <w:rsid w:val="00AB559A"/>
    <w:rsid w:val="00AB60CB"/>
    <w:rsid w:val="00AB61CB"/>
    <w:rsid w:val="00AB6240"/>
    <w:rsid w:val="00AB6873"/>
    <w:rsid w:val="00AB7284"/>
    <w:rsid w:val="00AB7E25"/>
    <w:rsid w:val="00AC0646"/>
    <w:rsid w:val="00AC08FB"/>
    <w:rsid w:val="00AC10EE"/>
    <w:rsid w:val="00AC1418"/>
    <w:rsid w:val="00AC161E"/>
    <w:rsid w:val="00AC165B"/>
    <w:rsid w:val="00AC185D"/>
    <w:rsid w:val="00AC2111"/>
    <w:rsid w:val="00AC23D5"/>
    <w:rsid w:val="00AC3342"/>
    <w:rsid w:val="00AC4C6C"/>
    <w:rsid w:val="00AC53A7"/>
    <w:rsid w:val="00AC5AA5"/>
    <w:rsid w:val="00AC64F8"/>
    <w:rsid w:val="00AC68F1"/>
    <w:rsid w:val="00AC79E3"/>
    <w:rsid w:val="00AC7BB6"/>
    <w:rsid w:val="00AC7DF9"/>
    <w:rsid w:val="00AD0017"/>
    <w:rsid w:val="00AD07C2"/>
    <w:rsid w:val="00AD0841"/>
    <w:rsid w:val="00AD0E97"/>
    <w:rsid w:val="00AD16DC"/>
    <w:rsid w:val="00AD1B29"/>
    <w:rsid w:val="00AD1F69"/>
    <w:rsid w:val="00AD2361"/>
    <w:rsid w:val="00AD282D"/>
    <w:rsid w:val="00AD2C8C"/>
    <w:rsid w:val="00AD2F85"/>
    <w:rsid w:val="00AD3ABC"/>
    <w:rsid w:val="00AD3C71"/>
    <w:rsid w:val="00AD4883"/>
    <w:rsid w:val="00AD5583"/>
    <w:rsid w:val="00AD631B"/>
    <w:rsid w:val="00AD6891"/>
    <w:rsid w:val="00AD6DA0"/>
    <w:rsid w:val="00AD7470"/>
    <w:rsid w:val="00AD75EE"/>
    <w:rsid w:val="00AE01D5"/>
    <w:rsid w:val="00AE0C10"/>
    <w:rsid w:val="00AE129E"/>
    <w:rsid w:val="00AE14D4"/>
    <w:rsid w:val="00AE1917"/>
    <w:rsid w:val="00AE1972"/>
    <w:rsid w:val="00AE1DB6"/>
    <w:rsid w:val="00AE232C"/>
    <w:rsid w:val="00AE237C"/>
    <w:rsid w:val="00AE25E2"/>
    <w:rsid w:val="00AE2880"/>
    <w:rsid w:val="00AE3220"/>
    <w:rsid w:val="00AE3B11"/>
    <w:rsid w:val="00AE46E7"/>
    <w:rsid w:val="00AE4964"/>
    <w:rsid w:val="00AE4DAB"/>
    <w:rsid w:val="00AE5A55"/>
    <w:rsid w:val="00AE621D"/>
    <w:rsid w:val="00AE6466"/>
    <w:rsid w:val="00AE64F4"/>
    <w:rsid w:val="00AE6A81"/>
    <w:rsid w:val="00AE6D30"/>
    <w:rsid w:val="00AE6D3B"/>
    <w:rsid w:val="00AE712C"/>
    <w:rsid w:val="00AE72CC"/>
    <w:rsid w:val="00AE77A9"/>
    <w:rsid w:val="00AE7F29"/>
    <w:rsid w:val="00AE7FC9"/>
    <w:rsid w:val="00AF101A"/>
    <w:rsid w:val="00AF12E4"/>
    <w:rsid w:val="00AF1BC7"/>
    <w:rsid w:val="00AF1C1C"/>
    <w:rsid w:val="00AF1F7D"/>
    <w:rsid w:val="00AF205E"/>
    <w:rsid w:val="00AF230A"/>
    <w:rsid w:val="00AF29CA"/>
    <w:rsid w:val="00AF2BDA"/>
    <w:rsid w:val="00AF30E8"/>
    <w:rsid w:val="00AF30F0"/>
    <w:rsid w:val="00AF3687"/>
    <w:rsid w:val="00AF385B"/>
    <w:rsid w:val="00AF550B"/>
    <w:rsid w:val="00AF5649"/>
    <w:rsid w:val="00AF574F"/>
    <w:rsid w:val="00AF5AFB"/>
    <w:rsid w:val="00AF6970"/>
    <w:rsid w:val="00AF7190"/>
    <w:rsid w:val="00AF7AD6"/>
    <w:rsid w:val="00B00A11"/>
    <w:rsid w:val="00B00ED0"/>
    <w:rsid w:val="00B0123F"/>
    <w:rsid w:val="00B01978"/>
    <w:rsid w:val="00B01B15"/>
    <w:rsid w:val="00B01BA4"/>
    <w:rsid w:val="00B02670"/>
    <w:rsid w:val="00B02904"/>
    <w:rsid w:val="00B02B95"/>
    <w:rsid w:val="00B02C5F"/>
    <w:rsid w:val="00B02FC5"/>
    <w:rsid w:val="00B032DE"/>
    <w:rsid w:val="00B03670"/>
    <w:rsid w:val="00B03F1D"/>
    <w:rsid w:val="00B042E6"/>
    <w:rsid w:val="00B049D2"/>
    <w:rsid w:val="00B062C6"/>
    <w:rsid w:val="00B06902"/>
    <w:rsid w:val="00B06A84"/>
    <w:rsid w:val="00B06C3E"/>
    <w:rsid w:val="00B07423"/>
    <w:rsid w:val="00B07427"/>
    <w:rsid w:val="00B0742B"/>
    <w:rsid w:val="00B07818"/>
    <w:rsid w:val="00B07CBA"/>
    <w:rsid w:val="00B07E06"/>
    <w:rsid w:val="00B10E2D"/>
    <w:rsid w:val="00B12152"/>
    <w:rsid w:val="00B1280F"/>
    <w:rsid w:val="00B128EE"/>
    <w:rsid w:val="00B139EE"/>
    <w:rsid w:val="00B14008"/>
    <w:rsid w:val="00B14519"/>
    <w:rsid w:val="00B14746"/>
    <w:rsid w:val="00B1488E"/>
    <w:rsid w:val="00B14E9C"/>
    <w:rsid w:val="00B14FA1"/>
    <w:rsid w:val="00B15367"/>
    <w:rsid w:val="00B15707"/>
    <w:rsid w:val="00B15FA1"/>
    <w:rsid w:val="00B16422"/>
    <w:rsid w:val="00B1652C"/>
    <w:rsid w:val="00B16562"/>
    <w:rsid w:val="00B16A26"/>
    <w:rsid w:val="00B17288"/>
    <w:rsid w:val="00B20541"/>
    <w:rsid w:val="00B20856"/>
    <w:rsid w:val="00B20988"/>
    <w:rsid w:val="00B20D5E"/>
    <w:rsid w:val="00B21404"/>
    <w:rsid w:val="00B21923"/>
    <w:rsid w:val="00B24034"/>
    <w:rsid w:val="00B2403F"/>
    <w:rsid w:val="00B240EA"/>
    <w:rsid w:val="00B2484B"/>
    <w:rsid w:val="00B2497F"/>
    <w:rsid w:val="00B2510D"/>
    <w:rsid w:val="00B25A9D"/>
    <w:rsid w:val="00B26417"/>
    <w:rsid w:val="00B271C0"/>
    <w:rsid w:val="00B27947"/>
    <w:rsid w:val="00B302AC"/>
    <w:rsid w:val="00B30403"/>
    <w:rsid w:val="00B3121C"/>
    <w:rsid w:val="00B315F0"/>
    <w:rsid w:val="00B32291"/>
    <w:rsid w:val="00B32CC7"/>
    <w:rsid w:val="00B336CD"/>
    <w:rsid w:val="00B33BA6"/>
    <w:rsid w:val="00B3462E"/>
    <w:rsid w:val="00B34CD5"/>
    <w:rsid w:val="00B34D52"/>
    <w:rsid w:val="00B34EE6"/>
    <w:rsid w:val="00B35FEC"/>
    <w:rsid w:val="00B37700"/>
    <w:rsid w:val="00B37C74"/>
    <w:rsid w:val="00B37FB3"/>
    <w:rsid w:val="00B408EE"/>
    <w:rsid w:val="00B40D82"/>
    <w:rsid w:val="00B40DE1"/>
    <w:rsid w:val="00B41EFC"/>
    <w:rsid w:val="00B42223"/>
    <w:rsid w:val="00B4298B"/>
    <w:rsid w:val="00B42C5F"/>
    <w:rsid w:val="00B42E51"/>
    <w:rsid w:val="00B43785"/>
    <w:rsid w:val="00B43D31"/>
    <w:rsid w:val="00B446FF"/>
    <w:rsid w:val="00B45AFC"/>
    <w:rsid w:val="00B45B73"/>
    <w:rsid w:val="00B45F00"/>
    <w:rsid w:val="00B461E1"/>
    <w:rsid w:val="00B46259"/>
    <w:rsid w:val="00B46857"/>
    <w:rsid w:val="00B47068"/>
    <w:rsid w:val="00B476A3"/>
    <w:rsid w:val="00B47D91"/>
    <w:rsid w:val="00B5018E"/>
    <w:rsid w:val="00B50241"/>
    <w:rsid w:val="00B504A8"/>
    <w:rsid w:val="00B505CD"/>
    <w:rsid w:val="00B50C91"/>
    <w:rsid w:val="00B50F8A"/>
    <w:rsid w:val="00B51029"/>
    <w:rsid w:val="00B51C5C"/>
    <w:rsid w:val="00B51E62"/>
    <w:rsid w:val="00B5226C"/>
    <w:rsid w:val="00B5246B"/>
    <w:rsid w:val="00B5350E"/>
    <w:rsid w:val="00B5360D"/>
    <w:rsid w:val="00B54174"/>
    <w:rsid w:val="00B54491"/>
    <w:rsid w:val="00B54904"/>
    <w:rsid w:val="00B55C2D"/>
    <w:rsid w:val="00B56D0B"/>
    <w:rsid w:val="00B5712D"/>
    <w:rsid w:val="00B5766A"/>
    <w:rsid w:val="00B57976"/>
    <w:rsid w:val="00B57DC7"/>
    <w:rsid w:val="00B60990"/>
    <w:rsid w:val="00B61941"/>
    <w:rsid w:val="00B61DC4"/>
    <w:rsid w:val="00B632B8"/>
    <w:rsid w:val="00B63617"/>
    <w:rsid w:val="00B6413B"/>
    <w:rsid w:val="00B645B3"/>
    <w:rsid w:val="00B648A2"/>
    <w:rsid w:val="00B654C1"/>
    <w:rsid w:val="00B659D3"/>
    <w:rsid w:val="00B65C2C"/>
    <w:rsid w:val="00B67038"/>
    <w:rsid w:val="00B670C4"/>
    <w:rsid w:val="00B67F4C"/>
    <w:rsid w:val="00B67FCE"/>
    <w:rsid w:val="00B67FFE"/>
    <w:rsid w:val="00B7068F"/>
    <w:rsid w:val="00B70C7F"/>
    <w:rsid w:val="00B70F12"/>
    <w:rsid w:val="00B70FBF"/>
    <w:rsid w:val="00B71866"/>
    <w:rsid w:val="00B7206B"/>
    <w:rsid w:val="00B725C2"/>
    <w:rsid w:val="00B728FF"/>
    <w:rsid w:val="00B72A16"/>
    <w:rsid w:val="00B72CF0"/>
    <w:rsid w:val="00B7324D"/>
    <w:rsid w:val="00B73485"/>
    <w:rsid w:val="00B74D9F"/>
    <w:rsid w:val="00B75CC1"/>
    <w:rsid w:val="00B7653B"/>
    <w:rsid w:val="00B7679B"/>
    <w:rsid w:val="00B76E91"/>
    <w:rsid w:val="00B771D7"/>
    <w:rsid w:val="00B77661"/>
    <w:rsid w:val="00B801B2"/>
    <w:rsid w:val="00B8225C"/>
    <w:rsid w:val="00B8277D"/>
    <w:rsid w:val="00B82897"/>
    <w:rsid w:val="00B82D3F"/>
    <w:rsid w:val="00B831A9"/>
    <w:rsid w:val="00B83857"/>
    <w:rsid w:val="00B84348"/>
    <w:rsid w:val="00B847D9"/>
    <w:rsid w:val="00B84B06"/>
    <w:rsid w:val="00B85251"/>
    <w:rsid w:val="00B853CC"/>
    <w:rsid w:val="00B8653C"/>
    <w:rsid w:val="00B866EE"/>
    <w:rsid w:val="00B867BE"/>
    <w:rsid w:val="00B86E84"/>
    <w:rsid w:val="00B86E85"/>
    <w:rsid w:val="00B8751C"/>
    <w:rsid w:val="00B87F36"/>
    <w:rsid w:val="00B9048A"/>
    <w:rsid w:val="00B90835"/>
    <w:rsid w:val="00B912F2"/>
    <w:rsid w:val="00B91876"/>
    <w:rsid w:val="00B91C11"/>
    <w:rsid w:val="00B91D2A"/>
    <w:rsid w:val="00B92C38"/>
    <w:rsid w:val="00B930FA"/>
    <w:rsid w:val="00B94815"/>
    <w:rsid w:val="00B954DC"/>
    <w:rsid w:val="00B96476"/>
    <w:rsid w:val="00B9739D"/>
    <w:rsid w:val="00B97669"/>
    <w:rsid w:val="00BA0429"/>
    <w:rsid w:val="00BA04C0"/>
    <w:rsid w:val="00BA0A2B"/>
    <w:rsid w:val="00BA0C99"/>
    <w:rsid w:val="00BA0CEE"/>
    <w:rsid w:val="00BA0CFF"/>
    <w:rsid w:val="00BA1C32"/>
    <w:rsid w:val="00BA1C69"/>
    <w:rsid w:val="00BA2104"/>
    <w:rsid w:val="00BA25C6"/>
    <w:rsid w:val="00BA27B0"/>
    <w:rsid w:val="00BA2D86"/>
    <w:rsid w:val="00BA35E7"/>
    <w:rsid w:val="00BA3DBE"/>
    <w:rsid w:val="00BA4780"/>
    <w:rsid w:val="00BA480A"/>
    <w:rsid w:val="00BA4863"/>
    <w:rsid w:val="00BA5482"/>
    <w:rsid w:val="00BA55AE"/>
    <w:rsid w:val="00BA56C8"/>
    <w:rsid w:val="00BA576B"/>
    <w:rsid w:val="00BA57AA"/>
    <w:rsid w:val="00BA663F"/>
    <w:rsid w:val="00BA66ED"/>
    <w:rsid w:val="00BA687C"/>
    <w:rsid w:val="00BA709E"/>
    <w:rsid w:val="00BA70F9"/>
    <w:rsid w:val="00BB0038"/>
    <w:rsid w:val="00BB05C2"/>
    <w:rsid w:val="00BB06EF"/>
    <w:rsid w:val="00BB07A1"/>
    <w:rsid w:val="00BB08CD"/>
    <w:rsid w:val="00BB0D13"/>
    <w:rsid w:val="00BB2745"/>
    <w:rsid w:val="00BB32F3"/>
    <w:rsid w:val="00BB377B"/>
    <w:rsid w:val="00BB3D2D"/>
    <w:rsid w:val="00BB3E12"/>
    <w:rsid w:val="00BB48E9"/>
    <w:rsid w:val="00BB4BB2"/>
    <w:rsid w:val="00BB4FD7"/>
    <w:rsid w:val="00BB504D"/>
    <w:rsid w:val="00BB56EB"/>
    <w:rsid w:val="00BB57F4"/>
    <w:rsid w:val="00BB5945"/>
    <w:rsid w:val="00BB6859"/>
    <w:rsid w:val="00BB76D3"/>
    <w:rsid w:val="00BB79DA"/>
    <w:rsid w:val="00BB7BC9"/>
    <w:rsid w:val="00BB7FC0"/>
    <w:rsid w:val="00BC060A"/>
    <w:rsid w:val="00BC0656"/>
    <w:rsid w:val="00BC0C42"/>
    <w:rsid w:val="00BC110E"/>
    <w:rsid w:val="00BC114A"/>
    <w:rsid w:val="00BC1EF1"/>
    <w:rsid w:val="00BC2850"/>
    <w:rsid w:val="00BC4159"/>
    <w:rsid w:val="00BC4655"/>
    <w:rsid w:val="00BC469C"/>
    <w:rsid w:val="00BC545C"/>
    <w:rsid w:val="00BC56ED"/>
    <w:rsid w:val="00BC5CA0"/>
    <w:rsid w:val="00BC62E7"/>
    <w:rsid w:val="00BC65B2"/>
    <w:rsid w:val="00BC6811"/>
    <w:rsid w:val="00BC682D"/>
    <w:rsid w:val="00BC6FE3"/>
    <w:rsid w:val="00BC727A"/>
    <w:rsid w:val="00BC72AD"/>
    <w:rsid w:val="00BC7C04"/>
    <w:rsid w:val="00BD0303"/>
    <w:rsid w:val="00BD0401"/>
    <w:rsid w:val="00BD08ED"/>
    <w:rsid w:val="00BD181F"/>
    <w:rsid w:val="00BD18C1"/>
    <w:rsid w:val="00BD1E3E"/>
    <w:rsid w:val="00BD1F7F"/>
    <w:rsid w:val="00BD26DC"/>
    <w:rsid w:val="00BD2861"/>
    <w:rsid w:val="00BD2E91"/>
    <w:rsid w:val="00BD32FB"/>
    <w:rsid w:val="00BD3654"/>
    <w:rsid w:val="00BD399A"/>
    <w:rsid w:val="00BD39CA"/>
    <w:rsid w:val="00BD39E7"/>
    <w:rsid w:val="00BD3B5B"/>
    <w:rsid w:val="00BD4055"/>
    <w:rsid w:val="00BD516D"/>
    <w:rsid w:val="00BD528E"/>
    <w:rsid w:val="00BD5633"/>
    <w:rsid w:val="00BD6926"/>
    <w:rsid w:val="00BD7229"/>
    <w:rsid w:val="00BD7718"/>
    <w:rsid w:val="00BE002A"/>
    <w:rsid w:val="00BE00F4"/>
    <w:rsid w:val="00BE028C"/>
    <w:rsid w:val="00BE0EEF"/>
    <w:rsid w:val="00BE1439"/>
    <w:rsid w:val="00BE2255"/>
    <w:rsid w:val="00BE22A7"/>
    <w:rsid w:val="00BE23B1"/>
    <w:rsid w:val="00BE2F38"/>
    <w:rsid w:val="00BE3411"/>
    <w:rsid w:val="00BE38AA"/>
    <w:rsid w:val="00BE3901"/>
    <w:rsid w:val="00BE4067"/>
    <w:rsid w:val="00BE4D0D"/>
    <w:rsid w:val="00BE4D98"/>
    <w:rsid w:val="00BE57DD"/>
    <w:rsid w:val="00BE7103"/>
    <w:rsid w:val="00BE77D8"/>
    <w:rsid w:val="00BE7AF0"/>
    <w:rsid w:val="00BE7D2E"/>
    <w:rsid w:val="00BF006D"/>
    <w:rsid w:val="00BF04FB"/>
    <w:rsid w:val="00BF15D1"/>
    <w:rsid w:val="00BF1740"/>
    <w:rsid w:val="00BF1CCA"/>
    <w:rsid w:val="00BF232E"/>
    <w:rsid w:val="00BF2D9E"/>
    <w:rsid w:val="00BF2EE2"/>
    <w:rsid w:val="00BF313B"/>
    <w:rsid w:val="00BF340D"/>
    <w:rsid w:val="00BF3511"/>
    <w:rsid w:val="00BF3A2A"/>
    <w:rsid w:val="00BF3AC6"/>
    <w:rsid w:val="00BF45F7"/>
    <w:rsid w:val="00BF4690"/>
    <w:rsid w:val="00BF4699"/>
    <w:rsid w:val="00BF5D5E"/>
    <w:rsid w:val="00BF5EAB"/>
    <w:rsid w:val="00BF661F"/>
    <w:rsid w:val="00BF6CBD"/>
    <w:rsid w:val="00BF7575"/>
    <w:rsid w:val="00C0025D"/>
    <w:rsid w:val="00C00BAC"/>
    <w:rsid w:val="00C01339"/>
    <w:rsid w:val="00C0191E"/>
    <w:rsid w:val="00C01C38"/>
    <w:rsid w:val="00C01DEB"/>
    <w:rsid w:val="00C01F99"/>
    <w:rsid w:val="00C02480"/>
    <w:rsid w:val="00C02692"/>
    <w:rsid w:val="00C029A3"/>
    <w:rsid w:val="00C02FF5"/>
    <w:rsid w:val="00C0340C"/>
    <w:rsid w:val="00C03650"/>
    <w:rsid w:val="00C03CB4"/>
    <w:rsid w:val="00C04118"/>
    <w:rsid w:val="00C041AB"/>
    <w:rsid w:val="00C04582"/>
    <w:rsid w:val="00C05F06"/>
    <w:rsid w:val="00C05FF0"/>
    <w:rsid w:val="00C069CB"/>
    <w:rsid w:val="00C06B8F"/>
    <w:rsid w:val="00C06D5A"/>
    <w:rsid w:val="00C071A4"/>
    <w:rsid w:val="00C07414"/>
    <w:rsid w:val="00C0787E"/>
    <w:rsid w:val="00C07BAA"/>
    <w:rsid w:val="00C10675"/>
    <w:rsid w:val="00C10A6D"/>
    <w:rsid w:val="00C11944"/>
    <w:rsid w:val="00C11E87"/>
    <w:rsid w:val="00C12079"/>
    <w:rsid w:val="00C12403"/>
    <w:rsid w:val="00C1263A"/>
    <w:rsid w:val="00C12AD6"/>
    <w:rsid w:val="00C12B69"/>
    <w:rsid w:val="00C133FC"/>
    <w:rsid w:val="00C136D3"/>
    <w:rsid w:val="00C13A4D"/>
    <w:rsid w:val="00C13FB5"/>
    <w:rsid w:val="00C1411B"/>
    <w:rsid w:val="00C14200"/>
    <w:rsid w:val="00C144E3"/>
    <w:rsid w:val="00C146B3"/>
    <w:rsid w:val="00C149D9"/>
    <w:rsid w:val="00C14D48"/>
    <w:rsid w:val="00C15355"/>
    <w:rsid w:val="00C16040"/>
    <w:rsid w:val="00C163A8"/>
    <w:rsid w:val="00C1733F"/>
    <w:rsid w:val="00C17A08"/>
    <w:rsid w:val="00C17A3B"/>
    <w:rsid w:val="00C17DB1"/>
    <w:rsid w:val="00C203BC"/>
    <w:rsid w:val="00C20C52"/>
    <w:rsid w:val="00C20F76"/>
    <w:rsid w:val="00C21BFD"/>
    <w:rsid w:val="00C227BD"/>
    <w:rsid w:val="00C22B92"/>
    <w:rsid w:val="00C2395D"/>
    <w:rsid w:val="00C239D6"/>
    <w:rsid w:val="00C246CA"/>
    <w:rsid w:val="00C24A43"/>
    <w:rsid w:val="00C24E83"/>
    <w:rsid w:val="00C2539C"/>
    <w:rsid w:val="00C25623"/>
    <w:rsid w:val="00C259F9"/>
    <w:rsid w:val="00C25A87"/>
    <w:rsid w:val="00C25BF2"/>
    <w:rsid w:val="00C25D8B"/>
    <w:rsid w:val="00C25EE1"/>
    <w:rsid w:val="00C2635F"/>
    <w:rsid w:val="00C2729D"/>
    <w:rsid w:val="00C273B0"/>
    <w:rsid w:val="00C278DD"/>
    <w:rsid w:val="00C27EAE"/>
    <w:rsid w:val="00C27F80"/>
    <w:rsid w:val="00C300B2"/>
    <w:rsid w:val="00C317C5"/>
    <w:rsid w:val="00C3192D"/>
    <w:rsid w:val="00C31AE4"/>
    <w:rsid w:val="00C325A5"/>
    <w:rsid w:val="00C33434"/>
    <w:rsid w:val="00C33677"/>
    <w:rsid w:val="00C33ED6"/>
    <w:rsid w:val="00C3418C"/>
    <w:rsid w:val="00C346FC"/>
    <w:rsid w:val="00C34B5F"/>
    <w:rsid w:val="00C34C0E"/>
    <w:rsid w:val="00C34F6D"/>
    <w:rsid w:val="00C3520A"/>
    <w:rsid w:val="00C35527"/>
    <w:rsid w:val="00C35777"/>
    <w:rsid w:val="00C35EDD"/>
    <w:rsid w:val="00C36045"/>
    <w:rsid w:val="00C362C0"/>
    <w:rsid w:val="00C36523"/>
    <w:rsid w:val="00C36625"/>
    <w:rsid w:val="00C36C23"/>
    <w:rsid w:val="00C371F7"/>
    <w:rsid w:val="00C37CAE"/>
    <w:rsid w:val="00C408F8"/>
    <w:rsid w:val="00C40B77"/>
    <w:rsid w:val="00C40E4D"/>
    <w:rsid w:val="00C42020"/>
    <w:rsid w:val="00C426A6"/>
    <w:rsid w:val="00C42944"/>
    <w:rsid w:val="00C429D7"/>
    <w:rsid w:val="00C42ACB"/>
    <w:rsid w:val="00C43AB2"/>
    <w:rsid w:val="00C43AD8"/>
    <w:rsid w:val="00C43EA6"/>
    <w:rsid w:val="00C445F6"/>
    <w:rsid w:val="00C44A80"/>
    <w:rsid w:val="00C44DA9"/>
    <w:rsid w:val="00C460B8"/>
    <w:rsid w:val="00C469A5"/>
    <w:rsid w:val="00C470E8"/>
    <w:rsid w:val="00C47BD1"/>
    <w:rsid w:val="00C47E1D"/>
    <w:rsid w:val="00C50290"/>
    <w:rsid w:val="00C50978"/>
    <w:rsid w:val="00C516D2"/>
    <w:rsid w:val="00C519FB"/>
    <w:rsid w:val="00C51C7C"/>
    <w:rsid w:val="00C51F60"/>
    <w:rsid w:val="00C5316F"/>
    <w:rsid w:val="00C5413F"/>
    <w:rsid w:val="00C55A80"/>
    <w:rsid w:val="00C55B98"/>
    <w:rsid w:val="00C56D79"/>
    <w:rsid w:val="00C56E77"/>
    <w:rsid w:val="00C56EE8"/>
    <w:rsid w:val="00C5703A"/>
    <w:rsid w:val="00C570AA"/>
    <w:rsid w:val="00C570D2"/>
    <w:rsid w:val="00C57490"/>
    <w:rsid w:val="00C5757B"/>
    <w:rsid w:val="00C57696"/>
    <w:rsid w:val="00C579FF"/>
    <w:rsid w:val="00C613F4"/>
    <w:rsid w:val="00C61B83"/>
    <w:rsid w:val="00C61C2E"/>
    <w:rsid w:val="00C62665"/>
    <w:rsid w:val="00C62A09"/>
    <w:rsid w:val="00C62E1E"/>
    <w:rsid w:val="00C63075"/>
    <w:rsid w:val="00C644F5"/>
    <w:rsid w:val="00C65D57"/>
    <w:rsid w:val="00C66181"/>
    <w:rsid w:val="00C663C3"/>
    <w:rsid w:val="00C7010E"/>
    <w:rsid w:val="00C70716"/>
    <w:rsid w:val="00C71446"/>
    <w:rsid w:val="00C71BD8"/>
    <w:rsid w:val="00C71F0B"/>
    <w:rsid w:val="00C72024"/>
    <w:rsid w:val="00C723F9"/>
    <w:rsid w:val="00C72C4A"/>
    <w:rsid w:val="00C73A67"/>
    <w:rsid w:val="00C73A6F"/>
    <w:rsid w:val="00C73AC1"/>
    <w:rsid w:val="00C74568"/>
    <w:rsid w:val="00C74691"/>
    <w:rsid w:val="00C748B0"/>
    <w:rsid w:val="00C74928"/>
    <w:rsid w:val="00C74ADE"/>
    <w:rsid w:val="00C74DA6"/>
    <w:rsid w:val="00C74E3D"/>
    <w:rsid w:val="00C74EEA"/>
    <w:rsid w:val="00C75449"/>
    <w:rsid w:val="00C75C3F"/>
    <w:rsid w:val="00C75DB4"/>
    <w:rsid w:val="00C766CC"/>
    <w:rsid w:val="00C76811"/>
    <w:rsid w:val="00C77356"/>
    <w:rsid w:val="00C773D6"/>
    <w:rsid w:val="00C773DB"/>
    <w:rsid w:val="00C7780C"/>
    <w:rsid w:val="00C77920"/>
    <w:rsid w:val="00C77D8E"/>
    <w:rsid w:val="00C80666"/>
    <w:rsid w:val="00C80869"/>
    <w:rsid w:val="00C80CA6"/>
    <w:rsid w:val="00C814C0"/>
    <w:rsid w:val="00C81DA9"/>
    <w:rsid w:val="00C81FBD"/>
    <w:rsid w:val="00C82076"/>
    <w:rsid w:val="00C823B4"/>
    <w:rsid w:val="00C82955"/>
    <w:rsid w:val="00C83443"/>
    <w:rsid w:val="00C836AB"/>
    <w:rsid w:val="00C83769"/>
    <w:rsid w:val="00C84957"/>
    <w:rsid w:val="00C84FBC"/>
    <w:rsid w:val="00C86149"/>
    <w:rsid w:val="00C86164"/>
    <w:rsid w:val="00C863C4"/>
    <w:rsid w:val="00C87801"/>
    <w:rsid w:val="00C87A1D"/>
    <w:rsid w:val="00C87B9E"/>
    <w:rsid w:val="00C90152"/>
    <w:rsid w:val="00C910BC"/>
    <w:rsid w:val="00C91B94"/>
    <w:rsid w:val="00C91C48"/>
    <w:rsid w:val="00C91F30"/>
    <w:rsid w:val="00C9207A"/>
    <w:rsid w:val="00C92B5B"/>
    <w:rsid w:val="00C92EE4"/>
    <w:rsid w:val="00C93BC7"/>
    <w:rsid w:val="00C94146"/>
    <w:rsid w:val="00C941CA"/>
    <w:rsid w:val="00C947E2"/>
    <w:rsid w:val="00C9488E"/>
    <w:rsid w:val="00C94EBD"/>
    <w:rsid w:val="00C94F56"/>
    <w:rsid w:val="00C95094"/>
    <w:rsid w:val="00C9549F"/>
    <w:rsid w:val="00C958EA"/>
    <w:rsid w:val="00C95C84"/>
    <w:rsid w:val="00C95D2E"/>
    <w:rsid w:val="00C960B4"/>
    <w:rsid w:val="00C96236"/>
    <w:rsid w:val="00C96339"/>
    <w:rsid w:val="00C96D4C"/>
    <w:rsid w:val="00C96D95"/>
    <w:rsid w:val="00C96E5D"/>
    <w:rsid w:val="00C96EFF"/>
    <w:rsid w:val="00C973D4"/>
    <w:rsid w:val="00CA0009"/>
    <w:rsid w:val="00CA0148"/>
    <w:rsid w:val="00CA0EFE"/>
    <w:rsid w:val="00CA1448"/>
    <w:rsid w:val="00CA14C2"/>
    <w:rsid w:val="00CA15B6"/>
    <w:rsid w:val="00CA1CD9"/>
    <w:rsid w:val="00CA1E5A"/>
    <w:rsid w:val="00CA26F4"/>
    <w:rsid w:val="00CA2834"/>
    <w:rsid w:val="00CA2A29"/>
    <w:rsid w:val="00CA32B2"/>
    <w:rsid w:val="00CA3B2F"/>
    <w:rsid w:val="00CA3C56"/>
    <w:rsid w:val="00CA41C7"/>
    <w:rsid w:val="00CA4E1D"/>
    <w:rsid w:val="00CA5009"/>
    <w:rsid w:val="00CA539F"/>
    <w:rsid w:val="00CA56C7"/>
    <w:rsid w:val="00CA5B28"/>
    <w:rsid w:val="00CA5CDB"/>
    <w:rsid w:val="00CA62E8"/>
    <w:rsid w:val="00CA64BC"/>
    <w:rsid w:val="00CA6970"/>
    <w:rsid w:val="00CA6B0F"/>
    <w:rsid w:val="00CA7F35"/>
    <w:rsid w:val="00CB0A72"/>
    <w:rsid w:val="00CB0E6B"/>
    <w:rsid w:val="00CB13C6"/>
    <w:rsid w:val="00CB1813"/>
    <w:rsid w:val="00CB1D10"/>
    <w:rsid w:val="00CB2050"/>
    <w:rsid w:val="00CB20E5"/>
    <w:rsid w:val="00CB252D"/>
    <w:rsid w:val="00CB3489"/>
    <w:rsid w:val="00CB348D"/>
    <w:rsid w:val="00CB34A2"/>
    <w:rsid w:val="00CB39E0"/>
    <w:rsid w:val="00CB3A6E"/>
    <w:rsid w:val="00CB3E88"/>
    <w:rsid w:val="00CB419D"/>
    <w:rsid w:val="00CB482B"/>
    <w:rsid w:val="00CB48A5"/>
    <w:rsid w:val="00CB505C"/>
    <w:rsid w:val="00CB50DD"/>
    <w:rsid w:val="00CB5840"/>
    <w:rsid w:val="00CB6049"/>
    <w:rsid w:val="00CB69D6"/>
    <w:rsid w:val="00CB6E4F"/>
    <w:rsid w:val="00CB6E91"/>
    <w:rsid w:val="00CB76BB"/>
    <w:rsid w:val="00CB7DBA"/>
    <w:rsid w:val="00CC003C"/>
    <w:rsid w:val="00CC0BE8"/>
    <w:rsid w:val="00CC1061"/>
    <w:rsid w:val="00CC1276"/>
    <w:rsid w:val="00CC15AB"/>
    <w:rsid w:val="00CC190A"/>
    <w:rsid w:val="00CC1FBF"/>
    <w:rsid w:val="00CC2002"/>
    <w:rsid w:val="00CC2244"/>
    <w:rsid w:val="00CC2356"/>
    <w:rsid w:val="00CC2963"/>
    <w:rsid w:val="00CC2BC9"/>
    <w:rsid w:val="00CC3094"/>
    <w:rsid w:val="00CC30ED"/>
    <w:rsid w:val="00CC3891"/>
    <w:rsid w:val="00CC38B2"/>
    <w:rsid w:val="00CC3A85"/>
    <w:rsid w:val="00CC3C4A"/>
    <w:rsid w:val="00CC3DFD"/>
    <w:rsid w:val="00CC3F24"/>
    <w:rsid w:val="00CC407C"/>
    <w:rsid w:val="00CC415E"/>
    <w:rsid w:val="00CC42A7"/>
    <w:rsid w:val="00CC489E"/>
    <w:rsid w:val="00CC4BE1"/>
    <w:rsid w:val="00CC5450"/>
    <w:rsid w:val="00CC6131"/>
    <w:rsid w:val="00CC625A"/>
    <w:rsid w:val="00CC634E"/>
    <w:rsid w:val="00CC640E"/>
    <w:rsid w:val="00CC6999"/>
    <w:rsid w:val="00CC6FD4"/>
    <w:rsid w:val="00CC7263"/>
    <w:rsid w:val="00CC7D57"/>
    <w:rsid w:val="00CD0295"/>
    <w:rsid w:val="00CD061F"/>
    <w:rsid w:val="00CD1B50"/>
    <w:rsid w:val="00CD2DF5"/>
    <w:rsid w:val="00CD44AE"/>
    <w:rsid w:val="00CD47F9"/>
    <w:rsid w:val="00CD49D9"/>
    <w:rsid w:val="00CD511E"/>
    <w:rsid w:val="00CD5C7D"/>
    <w:rsid w:val="00CD5D37"/>
    <w:rsid w:val="00CD73D9"/>
    <w:rsid w:val="00CE0C40"/>
    <w:rsid w:val="00CE0C68"/>
    <w:rsid w:val="00CE0E64"/>
    <w:rsid w:val="00CE10DF"/>
    <w:rsid w:val="00CE11E6"/>
    <w:rsid w:val="00CE1CE8"/>
    <w:rsid w:val="00CE230E"/>
    <w:rsid w:val="00CE23A6"/>
    <w:rsid w:val="00CE2572"/>
    <w:rsid w:val="00CE25F8"/>
    <w:rsid w:val="00CE2D39"/>
    <w:rsid w:val="00CE5122"/>
    <w:rsid w:val="00CE5723"/>
    <w:rsid w:val="00CE585C"/>
    <w:rsid w:val="00CE59CE"/>
    <w:rsid w:val="00CE5A76"/>
    <w:rsid w:val="00CE5AB0"/>
    <w:rsid w:val="00CE6132"/>
    <w:rsid w:val="00CE61F3"/>
    <w:rsid w:val="00CE6207"/>
    <w:rsid w:val="00CE625C"/>
    <w:rsid w:val="00CE6EB0"/>
    <w:rsid w:val="00CE6EF5"/>
    <w:rsid w:val="00CE7596"/>
    <w:rsid w:val="00CE7DAF"/>
    <w:rsid w:val="00CE7EB2"/>
    <w:rsid w:val="00CF090D"/>
    <w:rsid w:val="00CF0910"/>
    <w:rsid w:val="00CF0A73"/>
    <w:rsid w:val="00CF0A94"/>
    <w:rsid w:val="00CF0AF1"/>
    <w:rsid w:val="00CF103B"/>
    <w:rsid w:val="00CF24A4"/>
    <w:rsid w:val="00CF25EE"/>
    <w:rsid w:val="00CF2696"/>
    <w:rsid w:val="00CF26EB"/>
    <w:rsid w:val="00CF2823"/>
    <w:rsid w:val="00CF289A"/>
    <w:rsid w:val="00CF3BA8"/>
    <w:rsid w:val="00CF431A"/>
    <w:rsid w:val="00CF4807"/>
    <w:rsid w:val="00CF57A2"/>
    <w:rsid w:val="00CF6742"/>
    <w:rsid w:val="00CF723B"/>
    <w:rsid w:val="00CF7466"/>
    <w:rsid w:val="00CF78D5"/>
    <w:rsid w:val="00CF7D45"/>
    <w:rsid w:val="00D001D3"/>
    <w:rsid w:val="00D002E6"/>
    <w:rsid w:val="00D00430"/>
    <w:rsid w:val="00D00A45"/>
    <w:rsid w:val="00D0106A"/>
    <w:rsid w:val="00D01281"/>
    <w:rsid w:val="00D01C0F"/>
    <w:rsid w:val="00D020C1"/>
    <w:rsid w:val="00D021B8"/>
    <w:rsid w:val="00D03701"/>
    <w:rsid w:val="00D03A42"/>
    <w:rsid w:val="00D03ABE"/>
    <w:rsid w:val="00D03B1F"/>
    <w:rsid w:val="00D04044"/>
    <w:rsid w:val="00D04150"/>
    <w:rsid w:val="00D0432D"/>
    <w:rsid w:val="00D0481B"/>
    <w:rsid w:val="00D048BC"/>
    <w:rsid w:val="00D04B1F"/>
    <w:rsid w:val="00D05754"/>
    <w:rsid w:val="00D05925"/>
    <w:rsid w:val="00D05A64"/>
    <w:rsid w:val="00D06420"/>
    <w:rsid w:val="00D067E6"/>
    <w:rsid w:val="00D068BA"/>
    <w:rsid w:val="00D0701F"/>
    <w:rsid w:val="00D0754F"/>
    <w:rsid w:val="00D0796B"/>
    <w:rsid w:val="00D07A59"/>
    <w:rsid w:val="00D07B24"/>
    <w:rsid w:val="00D07E18"/>
    <w:rsid w:val="00D113C6"/>
    <w:rsid w:val="00D11478"/>
    <w:rsid w:val="00D11730"/>
    <w:rsid w:val="00D11A66"/>
    <w:rsid w:val="00D11AB4"/>
    <w:rsid w:val="00D124AA"/>
    <w:rsid w:val="00D12506"/>
    <w:rsid w:val="00D13592"/>
    <w:rsid w:val="00D1413B"/>
    <w:rsid w:val="00D147BB"/>
    <w:rsid w:val="00D14A03"/>
    <w:rsid w:val="00D14A1B"/>
    <w:rsid w:val="00D15531"/>
    <w:rsid w:val="00D1596B"/>
    <w:rsid w:val="00D159BF"/>
    <w:rsid w:val="00D15AA1"/>
    <w:rsid w:val="00D15CCA"/>
    <w:rsid w:val="00D15D44"/>
    <w:rsid w:val="00D1639C"/>
    <w:rsid w:val="00D16519"/>
    <w:rsid w:val="00D16730"/>
    <w:rsid w:val="00D20CBF"/>
    <w:rsid w:val="00D2159F"/>
    <w:rsid w:val="00D21EAA"/>
    <w:rsid w:val="00D22450"/>
    <w:rsid w:val="00D22496"/>
    <w:rsid w:val="00D224A3"/>
    <w:rsid w:val="00D22710"/>
    <w:rsid w:val="00D23128"/>
    <w:rsid w:val="00D2417D"/>
    <w:rsid w:val="00D244B8"/>
    <w:rsid w:val="00D259F9"/>
    <w:rsid w:val="00D25CBC"/>
    <w:rsid w:val="00D25D65"/>
    <w:rsid w:val="00D261D9"/>
    <w:rsid w:val="00D2643C"/>
    <w:rsid w:val="00D2679D"/>
    <w:rsid w:val="00D26AFC"/>
    <w:rsid w:val="00D27663"/>
    <w:rsid w:val="00D2768C"/>
    <w:rsid w:val="00D300B3"/>
    <w:rsid w:val="00D31507"/>
    <w:rsid w:val="00D318C8"/>
    <w:rsid w:val="00D31CB1"/>
    <w:rsid w:val="00D31E59"/>
    <w:rsid w:val="00D32975"/>
    <w:rsid w:val="00D33675"/>
    <w:rsid w:val="00D33B36"/>
    <w:rsid w:val="00D342B0"/>
    <w:rsid w:val="00D34C54"/>
    <w:rsid w:val="00D34C6B"/>
    <w:rsid w:val="00D35A49"/>
    <w:rsid w:val="00D35C1B"/>
    <w:rsid w:val="00D362C5"/>
    <w:rsid w:val="00D37503"/>
    <w:rsid w:val="00D37BF0"/>
    <w:rsid w:val="00D37CB4"/>
    <w:rsid w:val="00D40505"/>
    <w:rsid w:val="00D40767"/>
    <w:rsid w:val="00D40CCF"/>
    <w:rsid w:val="00D412A0"/>
    <w:rsid w:val="00D41665"/>
    <w:rsid w:val="00D42114"/>
    <w:rsid w:val="00D42148"/>
    <w:rsid w:val="00D427E8"/>
    <w:rsid w:val="00D43287"/>
    <w:rsid w:val="00D43659"/>
    <w:rsid w:val="00D43B22"/>
    <w:rsid w:val="00D43C4D"/>
    <w:rsid w:val="00D43D13"/>
    <w:rsid w:val="00D43DCF"/>
    <w:rsid w:val="00D44007"/>
    <w:rsid w:val="00D44A9B"/>
    <w:rsid w:val="00D44E98"/>
    <w:rsid w:val="00D4744F"/>
    <w:rsid w:val="00D475B5"/>
    <w:rsid w:val="00D47756"/>
    <w:rsid w:val="00D47EAB"/>
    <w:rsid w:val="00D5021D"/>
    <w:rsid w:val="00D5024B"/>
    <w:rsid w:val="00D505B7"/>
    <w:rsid w:val="00D50738"/>
    <w:rsid w:val="00D50AC2"/>
    <w:rsid w:val="00D50DBC"/>
    <w:rsid w:val="00D5103B"/>
    <w:rsid w:val="00D51519"/>
    <w:rsid w:val="00D5193F"/>
    <w:rsid w:val="00D52478"/>
    <w:rsid w:val="00D533A5"/>
    <w:rsid w:val="00D534B7"/>
    <w:rsid w:val="00D54096"/>
    <w:rsid w:val="00D558DA"/>
    <w:rsid w:val="00D5642C"/>
    <w:rsid w:val="00D56EC4"/>
    <w:rsid w:val="00D57811"/>
    <w:rsid w:val="00D57BA5"/>
    <w:rsid w:val="00D60294"/>
    <w:rsid w:val="00D60B20"/>
    <w:rsid w:val="00D60B5F"/>
    <w:rsid w:val="00D60C6A"/>
    <w:rsid w:val="00D60F2F"/>
    <w:rsid w:val="00D60FB3"/>
    <w:rsid w:val="00D61A9B"/>
    <w:rsid w:val="00D62058"/>
    <w:rsid w:val="00D632C7"/>
    <w:rsid w:val="00D63489"/>
    <w:rsid w:val="00D63BC8"/>
    <w:rsid w:val="00D6417A"/>
    <w:rsid w:val="00D64954"/>
    <w:rsid w:val="00D6512E"/>
    <w:rsid w:val="00D65D0A"/>
    <w:rsid w:val="00D6602F"/>
    <w:rsid w:val="00D6658E"/>
    <w:rsid w:val="00D66C6D"/>
    <w:rsid w:val="00D6748C"/>
    <w:rsid w:val="00D708DA"/>
    <w:rsid w:val="00D70BA4"/>
    <w:rsid w:val="00D718AE"/>
    <w:rsid w:val="00D719BF"/>
    <w:rsid w:val="00D72031"/>
    <w:rsid w:val="00D7220A"/>
    <w:rsid w:val="00D72986"/>
    <w:rsid w:val="00D733C3"/>
    <w:rsid w:val="00D74080"/>
    <w:rsid w:val="00D740F0"/>
    <w:rsid w:val="00D74CAD"/>
    <w:rsid w:val="00D751F6"/>
    <w:rsid w:val="00D752A3"/>
    <w:rsid w:val="00D75351"/>
    <w:rsid w:val="00D75CFE"/>
    <w:rsid w:val="00D76A05"/>
    <w:rsid w:val="00D76EC9"/>
    <w:rsid w:val="00D77305"/>
    <w:rsid w:val="00D775C5"/>
    <w:rsid w:val="00D77DD2"/>
    <w:rsid w:val="00D80AB4"/>
    <w:rsid w:val="00D81639"/>
    <w:rsid w:val="00D82204"/>
    <w:rsid w:val="00D825E5"/>
    <w:rsid w:val="00D827BA"/>
    <w:rsid w:val="00D82883"/>
    <w:rsid w:val="00D82CD4"/>
    <w:rsid w:val="00D82CF3"/>
    <w:rsid w:val="00D8338E"/>
    <w:rsid w:val="00D83829"/>
    <w:rsid w:val="00D8388A"/>
    <w:rsid w:val="00D83B2D"/>
    <w:rsid w:val="00D84540"/>
    <w:rsid w:val="00D84A0A"/>
    <w:rsid w:val="00D84F8A"/>
    <w:rsid w:val="00D853AE"/>
    <w:rsid w:val="00D85879"/>
    <w:rsid w:val="00D85F7F"/>
    <w:rsid w:val="00D8608C"/>
    <w:rsid w:val="00D867D0"/>
    <w:rsid w:val="00D86855"/>
    <w:rsid w:val="00D86ED8"/>
    <w:rsid w:val="00D8749C"/>
    <w:rsid w:val="00D87B4B"/>
    <w:rsid w:val="00D90562"/>
    <w:rsid w:val="00D90B7C"/>
    <w:rsid w:val="00D91F0C"/>
    <w:rsid w:val="00D92169"/>
    <w:rsid w:val="00D92237"/>
    <w:rsid w:val="00D92356"/>
    <w:rsid w:val="00D92399"/>
    <w:rsid w:val="00D93381"/>
    <w:rsid w:val="00D93415"/>
    <w:rsid w:val="00D9421D"/>
    <w:rsid w:val="00D9422C"/>
    <w:rsid w:val="00D95BF2"/>
    <w:rsid w:val="00D95C14"/>
    <w:rsid w:val="00D96393"/>
    <w:rsid w:val="00D96E31"/>
    <w:rsid w:val="00D97289"/>
    <w:rsid w:val="00D97A9A"/>
    <w:rsid w:val="00D97ACF"/>
    <w:rsid w:val="00D97DC1"/>
    <w:rsid w:val="00D97E60"/>
    <w:rsid w:val="00DA0126"/>
    <w:rsid w:val="00DA052D"/>
    <w:rsid w:val="00DA0B69"/>
    <w:rsid w:val="00DA0D8C"/>
    <w:rsid w:val="00DA173C"/>
    <w:rsid w:val="00DA1829"/>
    <w:rsid w:val="00DA2081"/>
    <w:rsid w:val="00DA2B33"/>
    <w:rsid w:val="00DA3157"/>
    <w:rsid w:val="00DA3835"/>
    <w:rsid w:val="00DA3C7A"/>
    <w:rsid w:val="00DA4C4C"/>
    <w:rsid w:val="00DA541B"/>
    <w:rsid w:val="00DA561D"/>
    <w:rsid w:val="00DA5BC6"/>
    <w:rsid w:val="00DA5E82"/>
    <w:rsid w:val="00DA65FF"/>
    <w:rsid w:val="00DA71BF"/>
    <w:rsid w:val="00DA79C9"/>
    <w:rsid w:val="00DA7FAE"/>
    <w:rsid w:val="00DB05D9"/>
    <w:rsid w:val="00DB0A73"/>
    <w:rsid w:val="00DB1150"/>
    <w:rsid w:val="00DB129D"/>
    <w:rsid w:val="00DB1363"/>
    <w:rsid w:val="00DB1776"/>
    <w:rsid w:val="00DB19F9"/>
    <w:rsid w:val="00DB20BC"/>
    <w:rsid w:val="00DB2393"/>
    <w:rsid w:val="00DB2B16"/>
    <w:rsid w:val="00DB2E4E"/>
    <w:rsid w:val="00DB3324"/>
    <w:rsid w:val="00DB3B9E"/>
    <w:rsid w:val="00DB3EC5"/>
    <w:rsid w:val="00DB457F"/>
    <w:rsid w:val="00DB497E"/>
    <w:rsid w:val="00DB4B81"/>
    <w:rsid w:val="00DB4C39"/>
    <w:rsid w:val="00DB5FF7"/>
    <w:rsid w:val="00DB62B8"/>
    <w:rsid w:val="00DB635A"/>
    <w:rsid w:val="00DB6F36"/>
    <w:rsid w:val="00DB7205"/>
    <w:rsid w:val="00DB7BA1"/>
    <w:rsid w:val="00DC09CA"/>
    <w:rsid w:val="00DC263A"/>
    <w:rsid w:val="00DC27BE"/>
    <w:rsid w:val="00DC2AF4"/>
    <w:rsid w:val="00DC2CB5"/>
    <w:rsid w:val="00DC4B6C"/>
    <w:rsid w:val="00DC4D0F"/>
    <w:rsid w:val="00DC52E1"/>
    <w:rsid w:val="00DC5500"/>
    <w:rsid w:val="00DC5AC2"/>
    <w:rsid w:val="00DC5C6F"/>
    <w:rsid w:val="00DC66BA"/>
    <w:rsid w:val="00DC67BC"/>
    <w:rsid w:val="00DC7262"/>
    <w:rsid w:val="00DC7E05"/>
    <w:rsid w:val="00DD051F"/>
    <w:rsid w:val="00DD0974"/>
    <w:rsid w:val="00DD0D7F"/>
    <w:rsid w:val="00DD0DB1"/>
    <w:rsid w:val="00DD108F"/>
    <w:rsid w:val="00DD1157"/>
    <w:rsid w:val="00DD1311"/>
    <w:rsid w:val="00DD1346"/>
    <w:rsid w:val="00DD1B01"/>
    <w:rsid w:val="00DD1D55"/>
    <w:rsid w:val="00DD2023"/>
    <w:rsid w:val="00DD20DA"/>
    <w:rsid w:val="00DD2119"/>
    <w:rsid w:val="00DD241E"/>
    <w:rsid w:val="00DD2761"/>
    <w:rsid w:val="00DD2A90"/>
    <w:rsid w:val="00DD2A9F"/>
    <w:rsid w:val="00DD32CC"/>
    <w:rsid w:val="00DD3719"/>
    <w:rsid w:val="00DD3830"/>
    <w:rsid w:val="00DD397E"/>
    <w:rsid w:val="00DD4294"/>
    <w:rsid w:val="00DD4E25"/>
    <w:rsid w:val="00DD5B7A"/>
    <w:rsid w:val="00DD5DC6"/>
    <w:rsid w:val="00DD6165"/>
    <w:rsid w:val="00DD62B9"/>
    <w:rsid w:val="00DD65BB"/>
    <w:rsid w:val="00DD6816"/>
    <w:rsid w:val="00DD6B4A"/>
    <w:rsid w:val="00DD6BA8"/>
    <w:rsid w:val="00DD6D47"/>
    <w:rsid w:val="00DD7917"/>
    <w:rsid w:val="00DD7CEF"/>
    <w:rsid w:val="00DE01CB"/>
    <w:rsid w:val="00DE0E25"/>
    <w:rsid w:val="00DE0FC6"/>
    <w:rsid w:val="00DE189A"/>
    <w:rsid w:val="00DE1E11"/>
    <w:rsid w:val="00DE26B3"/>
    <w:rsid w:val="00DE2E22"/>
    <w:rsid w:val="00DE39DE"/>
    <w:rsid w:val="00DE3B9C"/>
    <w:rsid w:val="00DE45A5"/>
    <w:rsid w:val="00DE45AB"/>
    <w:rsid w:val="00DE4615"/>
    <w:rsid w:val="00DE4B04"/>
    <w:rsid w:val="00DE5045"/>
    <w:rsid w:val="00DE50D6"/>
    <w:rsid w:val="00DE5141"/>
    <w:rsid w:val="00DE58A0"/>
    <w:rsid w:val="00DE58DB"/>
    <w:rsid w:val="00DE5B71"/>
    <w:rsid w:val="00DE6F62"/>
    <w:rsid w:val="00DE73FB"/>
    <w:rsid w:val="00DE7CB8"/>
    <w:rsid w:val="00DF14E7"/>
    <w:rsid w:val="00DF14F8"/>
    <w:rsid w:val="00DF1529"/>
    <w:rsid w:val="00DF2103"/>
    <w:rsid w:val="00DF232D"/>
    <w:rsid w:val="00DF29F7"/>
    <w:rsid w:val="00DF2D3A"/>
    <w:rsid w:val="00DF30F0"/>
    <w:rsid w:val="00DF34E4"/>
    <w:rsid w:val="00DF3F83"/>
    <w:rsid w:val="00DF4C35"/>
    <w:rsid w:val="00DF570E"/>
    <w:rsid w:val="00DF5951"/>
    <w:rsid w:val="00DF5DC9"/>
    <w:rsid w:val="00DF60AA"/>
    <w:rsid w:val="00DF6198"/>
    <w:rsid w:val="00DF63A7"/>
    <w:rsid w:val="00DF64AF"/>
    <w:rsid w:val="00DF64D2"/>
    <w:rsid w:val="00DF6698"/>
    <w:rsid w:val="00DF6A61"/>
    <w:rsid w:val="00DF6E30"/>
    <w:rsid w:val="00DF7022"/>
    <w:rsid w:val="00DF719B"/>
    <w:rsid w:val="00DF7992"/>
    <w:rsid w:val="00DF79E4"/>
    <w:rsid w:val="00E00A9A"/>
    <w:rsid w:val="00E0207A"/>
    <w:rsid w:val="00E023E6"/>
    <w:rsid w:val="00E02C35"/>
    <w:rsid w:val="00E02FFE"/>
    <w:rsid w:val="00E0321D"/>
    <w:rsid w:val="00E039A5"/>
    <w:rsid w:val="00E04958"/>
    <w:rsid w:val="00E049BD"/>
    <w:rsid w:val="00E06367"/>
    <w:rsid w:val="00E06991"/>
    <w:rsid w:val="00E06BC3"/>
    <w:rsid w:val="00E06D3C"/>
    <w:rsid w:val="00E075CA"/>
    <w:rsid w:val="00E101A7"/>
    <w:rsid w:val="00E104F3"/>
    <w:rsid w:val="00E10C16"/>
    <w:rsid w:val="00E1124C"/>
    <w:rsid w:val="00E119B0"/>
    <w:rsid w:val="00E11B8F"/>
    <w:rsid w:val="00E11BB1"/>
    <w:rsid w:val="00E122C9"/>
    <w:rsid w:val="00E1239A"/>
    <w:rsid w:val="00E1259A"/>
    <w:rsid w:val="00E13243"/>
    <w:rsid w:val="00E1330D"/>
    <w:rsid w:val="00E13B95"/>
    <w:rsid w:val="00E149FF"/>
    <w:rsid w:val="00E14CF0"/>
    <w:rsid w:val="00E14EEE"/>
    <w:rsid w:val="00E16198"/>
    <w:rsid w:val="00E16243"/>
    <w:rsid w:val="00E1624B"/>
    <w:rsid w:val="00E168EE"/>
    <w:rsid w:val="00E16C42"/>
    <w:rsid w:val="00E1723E"/>
    <w:rsid w:val="00E17503"/>
    <w:rsid w:val="00E17EA4"/>
    <w:rsid w:val="00E17F49"/>
    <w:rsid w:val="00E2006D"/>
    <w:rsid w:val="00E20418"/>
    <w:rsid w:val="00E2096F"/>
    <w:rsid w:val="00E20E93"/>
    <w:rsid w:val="00E21107"/>
    <w:rsid w:val="00E211BF"/>
    <w:rsid w:val="00E21412"/>
    <w:rsid w:val="00E21598"/>
    <w:rsid w:val="00E22104"/>
    <w:rsid w:val="00E22454"/>
    <w:rsid w:val="00E22486"/>
    <w:rsid w:val="00E22739"/>
    <w:rsid w:val="00E227F0"/>
    <w:rsid w:val="00E22993"/>
    <w:rsid w:val="00E229A0"/>
    <w:rsid w:val="00E230CB"/>
    <w:rsid w:val="00E236E4"/>
    <w:rsid w:val="00E23E25"/>
    <w:rsid w:val="00E23F69"/>
    <w:rsid w:val="00E244B9"/>
    <w:rsid w:val="00E2469C"/>
    <w:rsid w:val="00E24CF9"/>
    <w:rsid w:val="00E24FDD"/>
    <w:rsid w:val="00E25159"/>
    <w:rsid w:val="00E253F1"/>
    <w:rsid w:val="00E25577"/>
    <w:rsid w:val="00E2583D"/>
    <w:rsid w:val="00E258AA"/>
    <w:rsid w:val="00E25AC1"/>
    <w:rsid w:val="00E26040"/>
    <w:rsid w:val="00E26466"/>
    <w:rsid w:val="00E27116"/>
    <w:rsid w:val="00E27408"/>
    <w:rsid w:val="00E27FCF"/>
    <w:rsid w:val="00E3160B"/>
    <w:rsid w:val="00E31D6F"/>
    <w:rsid w:val="00E31E0B"/>
    <w:rsid w:val="00E31E29"/>
    <w:rsid w:val="00E32882"/>
    <w:rsid w:val="00E32B9B"/>
    <w:rsid w:val="00E3369B"/>
    <w:rsid w:val="00E34AB7"/>
    <w:rsid w:val="00E34CDC"/>
    <w:rsid w:val="00E361E1"/>
    <w:rsid w:val="00E366C8"/>
    <w:rsid w:val="00E368B4"/>
    <w:rsid w:val="00E36EAB"/>
    <w:rsid w:val="00E37144"/>
    <w:rsid w:val="00E37375"/>
    <w:rsid w:val="00E37592"/>
    <w:rsid w:val="00E37FDF"/>
    <w:rsid w:val="00E4039F"/>
    <w:rsid w:val="00E4112E"/>
    <w:rsid w:val="00E413BA"/>
    <w:rsid w:val="00E414DC"/>
    <w:rsid w:val="00E418E6"/>
    <w:rsid w:val="00E428BD"/>
    <w:rsid w:val="00E43292"/>
    <w:rsid w:val="00E4333D"/>
    <w:rsid w:val="00E4371F"/>
    <w:rsid w:val="00E444AA"/>
    <w:rsid w:val="00E44845"/>
    <w:rsid w:val="00E448E9"/>
    <w:rsid w:val="00E44FC4"/>
    <w:rsid w:val="00E461EE"/>
    <w:rsid w:val="00E46206"/>
    <w:rsid w:val="00E46F61"/>
    <w:rsid w:val="00E47413"/>
    <w:rsid w:val="00E47C30"/>
    <w:rsid w:val="00E50C0E"/>
    <w:rsid w:val="00E5168B"/>
    <w:rsid w:val="00E5212B"/>
    <w:rsid w:val="00E52466"/>
    <w:rsid w:val="00E52597"/>
    <w:rsid w:val="00E526FC"/>
    <w:rsid w:val="00E52CF6"/>
    <w:rsid w:val="00E53761"/>
    <w:rsid w:val="00E53870"/>
    <w:rsid w:val="00E538FF"/>
    <w:rsid w:val="00E539AB"/>
    <w:rsid w:val="00E54407"/>
    <w:rsid w:val="00E54DDA"/>
    <w:rsid w:val="00E54F53"/>
    <w:rsid w:val="00E55491"/>
    <w:rsid w:val="00E55A61"/>
    <w:rsid w:val="00E5628F"/>
    <w:rsid w:val="00E56DE3"/>
    <w:rsid w:val="00E57771"/>
    <w:rsid w:val="00E57C92"/>
    <w:rsid w:val="00E60622"/>
    <w:rsid w:val="00E6079D"/>
    <w:rsid w:val="00E614E8"/>
    <w:rsid w:val="00E6158C"/>
    <w:rsid w:val="00E619AC"/>
    <w:rsid w:val="00E626FE"/>
    <w:rsid w:val="00E63DBA"/>
    <w:rsid w:val="00E6417D"/>
    <w:rsid w:val="00E64BF3"/>
    <w:rsid w:val="00E65277"/>
    <w:rsid w:val="00E65E32"/>
    <w:rsid w:val="00E65E64"/>
    <w:rsid w:val="00E66E30"/>
    <w:rsid w:val="00E67387"/>
    <w:rsid w:val="00E67B35"/>
    <w:rsid w:val="00E700A7"/>
    <w:rsid w:val="00E70266"/>
    <w:rsid w:val="00E702C2"/>
    <w:rsid w:val="00E706BB"/>
    <w:rsid w:val="00E70AFA"/>
    <w:rsid w:val="00E7109D"/>
    <w:rsid w:val="00E718ED"/>
    <w:rsid w:val="00E71B5C"/>
    <w:rsid w:val="00E72044"/>
    <w:rsid w:val="00E722D0"/>
    <w:rsid w:val="00E726E2"/>
    <w:rsid w:val="00E7292D"/>
    <w:rsid w:val="00E73CA5"/>
    <w:rsid w:val="00E73FDD"/>
    <w:rsid w:val="00E743A4"/>
    <w:rsid w:val="00E74AAB"/>
    <w:rsid w:val="00E75248"/>
    <w:rsid w:val="00E759E6"/>
    <w:rsid w:val="00E75EC1"/>
    <w:rsid w:val="00E7608E"/>
    <w:rsid w:val="00E76192"/>
    <w:rsid w:val="00E76B1A"/>
    <w:rsid w:val="00E778FF"/>
    <w:rsid w:val="00E804F0"/>
    <w:rsid w:val="00E8090F"/>
    <w:rsid w:val="00E80C37"/>
    <w:rsid w:val="00E80C6A"/>
    <w:rsid w:val="00E81362"/>
    <w:rsid w:val="00E81485"/>
    <w:rsid w:val="00E8170D"/>
    <w:rsid w:val="00E81924"/>
    <w:rsid w:val="00E81A23"/>
    <w:rsid w:val="00E827E9"/>
    <w:rsid w:val="00E82857"/>
    <w:rsid w:val="00E82D58"/>
    <w:rsid w:val="00E8357D"/>
    <w:rsid w:val="00E84077"/>
    <w:rsid w:val="00E841F1"/>
    <w:rsid w:val="00E8430B"/>
    <w:rsid w:val="00E84BDF"/>
    <w:rsid w:val="00E8514E"/>
    <w:rsid w:val="00E86165"/>
    <w:rsid w:val="00E8627A"/>
    <w:rsid w:val="00E866D0"/>
    <w:rsid w:val="00E870F7"/>
    <w:rsid w:val="00E877AC"/>
    <w:rsid w:val="00E87854"/>
    <w:rsid w:val="00E878D3"/>
    <w:rsid w:val="00E87D62"/>
    <w:rsid w:val="00E90DE9"/>
    <w:rsid w:val="00E9110B"/>
    <w:rsid w:val="00E91363"/>
    <w:rsid w:val="00E91570"/>
    <w:rsid w:val="00E91F8B"/>
    <w:rsid w:val="00E928DD"/>
    <w:rsid w:val="00E92EFB"/>
    <w:rsid w:val="00E93DFE"/>
    <w:rsid w:val="00E946D9"/>
    <w:rsid w:val="00E956A8"/>
    <w:rsid w:val="00E959A2"/>
    <w:rsid w:val="00E95FA9"/>
    <w:rsid w:val="00E95FBF"/>
    <w:rsid w:val="00E97863"/>
    <w:rsid w:val="00E97CD6"/>
    <w:rsid w:val="00EA0264"/>
    <w:rsid w:val="00EA0390"/>
    <w:rsid w:val="00EA0E37"/>
    <w:rsid w:val="00EA1474"/>
    <w:rsid w:val="00EA2918"/>
    <w:rsid w:val="00EA2C74"/>
    <w:rsid w:val="00EA355A"/>
    <w:rsid w:val="00EA3E3C"/>
    <w:rsid w:val="00EA3E48"/>
    <w:rsid w:val="00EA41B8"/>
    <w:rsid w:val="00EA4406"/>
    <w:rsid w:val="00EA4DAA"/>
    <w:rsid w:val="00EA5A14"/>
    <w:rsid w:val="00EA5BA9"/>
    <w:rsid w:val="00EA5D59"/>
    <w:rsid w:val="00EA5D5C"/>
    <w:rsid w:val="00EA656F"/>
    <w:rsid w:val="00EA65BC"/>
    <w:rsid w:val="00EA66BB"/>
    <w:rsid w:val="00EA6A17"/>
    <w:rsid w:val="00EA71C0"/>
    <w:rsid w:val="00EA72EC"/>
    <w:rsid w:val="00EA78D0"/>
    <w:rsid w:val="00EB0146"/>
    <w:rsid w:val="00EB057F"/>
    <w:rsid w:val="00EB0885"/>
    <w:rsid w:val="00EB08BC"/>
    <w:rsid w:val="00EB12DE"/>
    <w:rsid w:val="00EB16F4"/>
    <w:rsid w:val="00EB1E77"/>
    <w:rsid w:val="00EB2405"/>
    <w:rsid w:val="00EB2BB1"/>
    <w:rsid w:val="00EB2CCE"/>
    <w:rsid w:val="00EB351D"/>
    <w:rsid w:val="00EB381C"/>
    <w:rsid w:val="00EB3A29"/>
    <w:rsid w:val="00EB3D43"/>
    <w:rsid w:val="00EB4DCB"/>
    <w:rsid w:val="00EB4EDA"/>
    <w:rsid w:val="00EB5120"/>
    <w:rsid w:val="00EB5483"/>
    <w:rsid w:val="00EB6900"/>
    <w:rsid w:val="00EB6BAA"/>
    <w:rsid w:val="00EB6C1F"/>
    <w:rsid w:val="00EB6D2B"/>
    <w:rsid w:val="00EB70E3"/>
    <w:rsid w:val="00EB73B5"/>
    <w:rsid w:val="00EB7555"/>
    <w:rsid w:val="00EB7CAF"/>
    <w:rsid w:val="00EC00A5"/>
    <w:rsid w:val="00EC0636"/>
    <w:rsid w:val="00EC083A"/>
    <w:rsid w:val="00EC0A63"/>
    <w:rsid w:val="00EC0BBB"/>
    <w:rsid w:val="00EC0EDB"/>
    <w:rsid w:val="00EC0F6D"/>
    <w:rsid w:val="00EC1064"/>
    <w:rsid w:val="00EC14BE"/>
    <w:rsid w:val="00EC1707"/>
    <w:rsid w:val="00EC174C"/>
    <w:rsid w:val="00EC1ED8"/>
    <w:rsid w:val="00EC2237"/>
    <w:rsid w:val="00EC2977"/>
    <w:rsid w:val="00EC3176"/>
    <w:rsid w:val="00EC3DD9"/>
    <w:rsid w:val="00EC46E4"/>
    <w:rsid w:val="00EC4AD3"/>
    <w:rsid w:val="00EC5281"/>
    <w:rsid w:val="00EC5920"/>
    <w:rsid w:val="00EC5A65"/>
    <w:rsid w:val="00EC5F63"/>
    <w:rsid w:val="00EC61AC"/>
    <w:rsid w:val="00EC63A2"/>
    <w:rsid w:val="00ED0065"/>
    <w:rsid w:val="00ED08F3"/>
    <w:rsid w:val="00ED0C6A"/>
    <w:rsid w:val="00ED0DDE"/>
    <w:rsid w:val="00ED152D"/>
    <w:rsid w:val="00ED1949"/>
    <w:rsid w:val="00ED197C"/>
    <w:rsid w:val="00ED1EF7"/>
    <w:rsid w:val="00ED2552"/>
    <w:rsid w:val="00ED272C"/>
    <w:rsid w:val="00ED2DDD"/>
    <w:rsid w:val="00ED485F"/>
    <w:rsid w:val="00ED4930"/>
    <w:rsid w:val="00ED4A3A"/>
    <w:rsid w:val="00ED4CBB"/>
    <w:rsid w:val="00ED5509"/>
    <w:rsid w:val="00ED55AA"/>
    <w:rsid w:val="00ED55B7"/>
    <w:rsid w:val="00ED5EBA"/>
    <w:rsid w:val="00ED5FCE"/>
    <w:rsid w:val="00ED6450"/>
    <w:rsid w:val="00ED64DE"/>
    <w:rsid w:val="00ED6638"/>
    <w:rsid w:val="00ED6E79"/>
    <w:rsid w:val="00ED6FF2"/>
    <w:rsid w:val="00ED712A"/>
    <w:rsid w:val="00ED71A6"/>
    <w:rsid w:val="00ED7F00"/>
    <w:rsid w:val="00EE0028"/>
    <w:rsid w:val="00EE0221"/>
    <w:rsid w:val="00EE03CC"/>
    <w:rsid w:val="00EE051F"/>
    <w:rsid w:val="00EE05B7"/>
    <w:rsid w:val="00EE0C65"/>
    <w:rsid w:val="00EE0EC5"/>
    <w:rsid w:val="00EE1282"/>
    <w:rsid w:val="00EE1817"/>
    <w:rsid w:val="00EE1BB8"/>
    <w:rsid w:val="00EE1DD1"/>
    <w:rsid w:val="00EE1FC9"/>
    <w:rsid w:val="00EE2245"/>
    <w:rsid w:val="00EE25F9"/>
    <w:rsid w:val="00EE29AF"/>
    <w:rsid w:val="00EE2E01"/>
    <w:rsid w:val="00EE3463"/>
    <w:rsid w:val="00EE37EE"/>
    <w:rsid w:val="00EE39A4"/>
    <w:rsid w:val="00EE4B59"/>
    <w:rsid w:val="00EE50A8"/>
    <w:rsid w:val="00EE53B9"/>
    <w:rsid w:val="00EE6372"/>
    <w:rsid w:val="00EE6889"/>
    <w:rsid w:val="00EE7829"/>
    <w:rsid w:val="00EF0279"/>
    <w:rsid w:val="00EF0629"/>
    <w:rsid w:val="00EF09DF"/>
    <w:rsid w:val="00EF0D49"/>
    <w:rsid w:val="00EF1594"/>
    <w:rsid w:val="00EF17F1"/>
    <w:rsid w:val="00EF1C23"/>
    <w:rsid w:val="00EF269C"/>
    <w:rsid w:val="00EF29C7"/>
    <w:rsid w:val="00EF332C"/>
    <w:rsid w:val="00EF3463"/>
    <w:rsid w:val="00EF36A1"/>
    <w:rsid w:val="00EF389F"/>
    <w:rsid w:val="00EF40A9"/>
    <w:rsid w:val="00EF4251"/>
    <w:rsid w:val="00EF4841"/>
    <w:rsid w:val="00EF4A6B"/>
    <w:rsid w:val="00EF4CAF"/>
    <w:rsid w:val="00EF4E00"/>
    <w:rsid w:val="00EF540A"/>
    <w:rsid w:val="00EF56AD"/>
    <w:rsid w:val="00EF6405"/>
    <w:rsid w:val="00EF719E"/>
    <w:rsid w:val="00EF76FE"/>
    <w:rsid w:val="00F0064D"/>
    <w:rsid w:val="00F006BC"/>
    <w:rsid w:val="00F0087F"/>
    <w:rsid w:val="00F00C37"/>
    <w:rsid w:val="00F00C86"/>
    <w:rsid w:val="00F01005"/>
    <w:rsid w:val="00F0119D"/>
    <w:rsid w:val="00F01A5B"/>
    <w:rsid w:val="00F020B0"/>
    <w:rsid w:val="00F02F41"/>
    <w:rsid w:val="00F03088"/>
    <w:rsid w:val="00F0433A"/>
    <w:rsid w:val="00F044BF"/>
    <w:rsid w:val="00F04643"/>
    <w:rsid w:val="00F047EF"/>
    <w:rsid w:val="00F04CE5"/>
    <w:rsid w:val="00F0577A"/>
    <w:rsid w:val="00F0619B"/>
    <w:rsid w:val="00F062E1"/>
    <w:rsid w:val="00F06B73"/>
    <w:rsid w:val="00F06EF8"/>
    <w:rsid w:val="00F07728"/>
    <w:rsid w:val="00F10A73"/>
    <w:rsid w:val="00F11145"/>
    <w:rsid w:val="00F11700"/>
    <w:rsid w:val="00F118CF"/>
    <w:rsid w:val="00F11F45"/>
    <w:rsid w:val="00F120EC"/>
    <w:rsid w:val="00F12496"/>
    <w:rsid w:val="00F12DC0"/>
    <w:rsid w:val="00F147FA"/>
    <w:rsid w:val="00F1486B"/>
    <w:rsid w:val="00F14D0B"/>
    <w:rsid w:val="00F14FC6"/>
    <w:rsid w:val="00F159F8"/>
    <w:rsid w:val="00F15AA8"/>
    <w:rsid w:val="00F15D77"/>
    <w:rsid w:val="00F17663"/>
    <w:rsid w:val="00F17D5E"/>
    <w:rsid w:val="00F20369"/>
    <w:rsid w:val="00F20899"/>
    <w:rsid w:val="00F20E57"/>
    <w:rsid w:val="00F21273"/>
    <w:rsid w:val="00F217F9"/>
    <w:rsid w:val="00F21D64"/>
    <w:rsid w:val="00F21EFC"/>
    <w:rsid w:val="00F2262B"/>
    <w:rsid w:val="00F22C4F"/>
    <w:rsid w:val="00F23BFE"/>
    <w:rsid w:val="00F2456C"/>
    <w:rsid w:val="00F24C95"/>
    <w:rsid w:val="00F25138"/>
    <w:rsid w:val="00F2548E"/>
    <w:rsid w:val="00F25965"/>
    <w:rsid w:val="00F25ABA"/>
    <w:rsid w:val="00F2704B"/>
    <w:rsid w:val="00F302A0"/>
    <w:rsid w:val="00F3080C"/>
    <w:rsid w:val="00F31AD8"/>
    <w:rsid w:val="00F32751"/>
    <w:rsid w:val="00F339CE"/>
    <w:rsid w:val="00F33E76"/>
    <w:rsid w:val="00F342F9"/>
    <w:rsid w:val="00F345C3"/>
    <w:rsid w:val="00F3469B"/>
    <w:rsid w:val="00F348B2"/>
    <w:rsid w:val="00F35094"/>
    <w:rsid w:val="00F35125"/>
    <w:rsid w:val="00F3516E"/>
    <w:rsid w:val="00F35FBD"/>
    <w:rsid w:val="00F366A6"/>
    <w:rsid w:val="00F37764"/>
    <w:rsid w:val="00F37F91"/>
    <w:rsid w:val="00F4021E"/>
    <w:rsid w:val="00F40692"/>
    <w:rsid w:val="00F4071F"/>
    <w:rsid w:val="00F40C9F"/>
    <w:rsid w:val="00F4118B"/>
    <w:rsid w:val="00F4192A"/>
    <w:rsid w:val="00F41DFF"/>
    <w:rsid w:val="00F42179"/>
    <w:rsid w:val="00F42995"/>
    <w:rsid w:val="00F42F4E"/>
    <w:rsid w:val="00F44379"/>
    <w:rsid w:val="00F44601"/>
    <w:rsid w:val="00F45348"/>
    <w:rsid w:val="00F45CB7"/>
    <w:rsid w:val="00F46B76"/>
    <w:rsid w:val="00F46CC4"/>
    <w:rsid w:val="00F46F21"/>
    <w:rsid w:val="00F47996"/>
    <w:rsid w:val="00F47E58"/>
    <w:rsid w:val="00F50527"/>
    <w:rsid w:val="00F507BE"/>
    <w:rsid w:val="00F50C82"/>
    <w:rsid w:val="00F50F62"/>
    <w:rsid w:val="00F51011"/>
    <w:rsid w:val="00F5126C"/>
    <w:rsid w:val="00F518E5"/>
    <w:rsid w:val="00F52ED5"/>
    <w:rsid w:val="00F5303D"/>
    <w:rsid w:val="00F5382A"/>
    <w:rsid w:val="00F5391D"/>
    <w:rsid w:val="00F5435D"/>
    <w:rsid w:val="00F54A50"/>
    <w:rsid w:val="00F54F47"/>
    <w:rsid w:val="00F54FAA"/>
    <w:rsid w:val="00F55079"/>
    <w:rsid w:val="00F55896"/>
    <w:rsid w:val="00F55CF9"/>
    <w:rsid w:val="00F56834"/>
    <w:rsid w:val="00F56A8F"/>
    <w:rsid w:val="00F56C00"/>
    <w:rsid w:val="00F571EB"/>
    <w:rsid w:val="00F579EC"/>
    <w:rsid w:val="00F617DC"/>
    <w:rsid w:val="00F61AAD"/>
    <w:rsid w:val="00F61BCF"/>
    <w:rsid w:val="00F621BD"/>
    <w:rsid w:val="00F627C0"/>
    <w:rsid w:val="00F6332E"/>
    <w:rsid w:val="00F6348D"/>
    <w:rsid w:val="00F63955"/>
    <w:rsid w:val="00F63A75"/>
    <w:rsid w:val="00F640BF"/>
    <w:rsid w:val="00F6415A"/>
    <w:rsid w:val="00F64753"/>
    <w:rsid w:val="00F64FB0"/>
    <w:rsid w:val="00F651BC"/>
    <w:rsid w:val="00F65586"/>
    <w:rsid w:val="00F67165"/>
    <w:rsid w:val="00F672DF"/>
    <w:rsid w:val="00F67894"/>
    <w:rsid w:val="00F67CCA"/>
    <w:rsid w:val="00F67FA4"/>
    <w:rsid w:val="00F7071C"/>
    <w:rsid w:val="00F70B2D"/>
    <w:rsid w:val="00F70B9C"/>
    <w:rsid w:val="00F719E6"/>
    <w:rsid w:val="00F72908"/>
    <w:rsid w:val="00F72E24"/>
    <w:rsid w:val="00F73E8E"/>
    <w:rsid w:val="00F74CF3"/>
    <w:rsid w:val="00F74E2A"/>
    <w:rsid w:val="00F7539A"/>
    <w:rsid w:val="00F754D5"/>
    <w:rsid w:val="00F75864"/>
    <w:rsid w:val="00F76251"/>
    <w:rsid w:val="00F7673F"/>
    <w:rsid w:val="00F76DDA"/>
    <w:rsid w:val="00F76FE8"/>
    <w:rsid w:val="00F8015F"/>
    <w:rsid w:val="00F80260"/>
    <w:rsid w:val="00F80505"/>
    <w:rsid w:val="00F807FB"/>
    <w:rsid w:val="00F80C71"/>
    <w:rsid w:val="00F812BA"/>
    <w:rsid w:val="00F82595"/>
    <w:rsid w:val="00F829C9"/>
    <w:rsid w:val="00F83228"/>
    <w:rsid w:val="00F833A2"/>
    <w:rsid w:val="00F834C1"/>
    <w:rsid w:val="00F83727"/>
    <w:rsid w:val="00F84A82"/>
    <w:rsid w:val="00F84DDE"/>
    <w:rsid w:val="00F85593"/>
    <w:rsid w:val="00F857BB"/>
    <w:rsid w:val="00F858FA"/>
    <w:rsid w:val="00F85F5C"/>
    <w:rsid w:val="00F8685E"/>
    <w:rsid w:val="00F86861"/>
    <w:rsid w:val="00F869D6"/>
    <w:rsid w:val="00F86C32"/>
    <w:rsid w:val="00F872DC"/>
    <w:rsid w:val="00F8799A"/>
    <w:rsid w:val="00F87EA4"/>
    <w:rsid w:val="00F9062E"/>
    <w:rsid w:val="00F90636"/>
    <w:rsid w:val="00F908BE"/>
    <w:rsid w:val="00F90DEE"/>
    <w:rsid w:val="00F914B4"/>
    <w:rsid w:val="00F91D32"/>
    <w:rsid w:val="00F92785"/>
    <w:rsid w:val="00F94783"/>
    <w:rsid w:val="00F94CAF"/>
    <w:rsid w:val="00F9524E"/>
    <w:rsid w:val="00F95AA3"/>
    <w:rsid w:val="00F95B43"/>
    <w:rsid w:val="00F95BD7"/>
    <w:rsid w:val="00F95FEA"/>
    <w:rsid w:val="00F960AD"/>
    <w:rsid w:val="00F96489"/>
    <w:rsid w:val="00F964E8"/>
    <w:rsid w:val="00F968CB"/>
    <w:rsid w:val="00F970BA"/>
    <w:rsid w:val="00F97124"/>
    <w:rsid w:val="00F9713C"/>
    <w:rsid w:val="00F97C17"/>
    <w:rsid w:val="00F97FAF"/>
    <w:rsid w:val="00FA002A"/>
    <w:rsid w:val="00FA1420"/>
    <w:rsid w:val="00FA2553"/>
    <w:rsid w:val="00FA318E"/>
    <w:rsid w:val="00FA3375"/>
    <w:rsid w:val="00FA33C9"/>
    <w:rsid w:val="00FA3AFB"/>
    <w:rsid w:val="00FA45A1"/>
    <w:rsid w:val="00FA4AAF"/>
    <w:rsid w:val="00FA5E02"/>
    <w:rsid w:val="00FA5F04"/>
    <w:rsid w:val="00FA62A2"/>
    <w:rsid w:val="00FA69B8"/>
    <w:rsid w:val="00FA6C7B"/>
    <w:rsid w:val="00FA6CA0"/>
    <w:rsid w:val="00FA72A0"/>
    <w:rsid w:val="00FA7580"/>
    <w:rsid w:val="00FB0D0A"/>
    <w:rsid w:val="00FB1048"/>
    <w:rsid w:val="00FB146D"/>
    <w:rsid w:val="00FB1F1C"/>
    <w:rsid w:val="00FB221D"/>
    <w:rsid w:val="00FB2D29"/>
    <w:rsid w:val="00FB30A1"/>
    <w:rsid w:val="00FB31DD"/>
    <w:rsid w:val="00FB32A4"/>
    <w:rsid w:val="00FB3CF2"/>
    <w:rsid w:val="00FB3F34"/>
    <w:rsid w:val="00FB4692"/>
    <w:rsid w:val="00FB47B4"/>
    <w:rsid w:val="00FB4B8E"/>
    <w:rsid w:val="00FB4E79"/>
    <w:rsid w:val="00FB51A3"/>
    <w:rsid w:val="00FB520B"/>
    <w:rsid w:val="00FB52E0"/>
    <w:rsid w:val="00FB5342"/>
    <w:rsid w:val="00FB6462"/>
    <w:rsid w:val="00FB6BFE"/>
    <w:rsid w:val="00FB6E80"/>
    <w:rsid w:val="00FB785D"/>
    <w:rsid w:val="00FC001D"/>
    <w:rsid w:val="00FC0108"/>
    <w:rsid w:val="00FC0549"/>
    <w:rsid w:val="00FC083E"/>
    <w:rsid w:val="00FC08A3"/>
    <w:rsid w:val="00FC0AC7"/>
    <w:rsid w:val="00FC11C1"/>
    <w:rsid w:val="00FC1251"/>
    <w:rsid w:val="00FC15D4"/>
    <w:rsid w:val="00FC1AA8"/>
    <w:rsid w:val="00FC1ADC"/>
    <w:rsid w:val="00FC1D83"/>
    <w:rsid w:val="00FC2B12"/>
    <w:rsid w:val="00FC35B5"/>
    <w:rsid w:val="00FC42B7"/>
    <w:rsid w:val="00FC4B93"/>
    <w:rsid w:val="00FC5451"/>
    <w:rsid w:val="00FC5650"/>
    <w:rsid w:val="00FC5979"/>
    <w:rsid w:val="00FC69E3"/>
    <w:rsid w:val="00FC74CA"/>
    <w:rsid w:val="00FC75A5"/>
    <w:rsid w:val="00FC769C"/>
    <w:rsid w:val="00FC7D76"/>
    <w:rsid w:val="00FC7E3A"/>
    <w:rsid w:val="00FD03DA"/>
    <w:rsid w:val="00FD059E"/>
    <w:rsid w:val="00FD0C40"/>
    <w:rsid w:val="00FD0CE4"/>
    <w:rsid w:val="00FD17E9"/>
    <w:rsid w:val="00FD2AC4"/>
    <w:rsid w:val="00FD46EE"/>
    <w:rsid w:val="00FD4802"/>
    <w:rsid w:val="00FD4A6F"/>
    <w:rsid w:val="00FD4B29"/>
    <w:rsid w:val="00FD4FDD"/>
    <w:rsid w:val="00FD5357"/>
    <w:rsid w:val="00FD5602"/>
    <w:rsid w:val="00FD5C75"/>
    <w:rsid w:val="00FD6C9B"/>
    <w:rsid w:val="00FD7A8D"/>
    <w:rsid w:val="00FD7DD8"/>
    <w:rsid w:val="00FD7F65"/>
    <w:rsid w:val="00FE02B2"/>
    <w:rsid w:val="00FE0565"/>
    <w:rsid w:val="00FE0F05"/>
    <w:rsid w:val="00FE1118"/>
    <w:rsid w:val="00FE122D"/>
    <w:rsid w:val="00FE1B3A"/>
    <w:rsid w:val="00FE2056"/>
    <w:rsid w:val="00FE2066"/>
    <w:rsid w:val="00FE27FA"/>
    <w:rsid w:val="00FE4015"/>
    <w:rsid w:val="00FE4661"/>
    <w:rsid w:val="00FE4AEB"/>
    <w:rsid w:val="00FE51E3"/>
    <w:rsid w:val="00FE5C1F"/>
    <w:rsid w:val="00FE6398"/>
    <w:rsid w:val="00FE661F"/>
    <w:rsid w:val="00FE68B6"/>
    <w:rsid w:val="00FE6F1B"/>
    <w:rsid w:val="00FE7611"/>
    <w:rsid w:val="00FE783A"/>
    <w:rsid w:val="00FE7D29"/>
    <w:rsid w:val="00FF026D"/>
    <w:rsid w:val="00FF0DB8"/>
    <w:rsid w:val="00FF10AB"/>
    <w:rsid w:val="00FF155B"/>
    <w:rsid w:val="00FF2166"/>
    <w:rsid w:val="00FF244B"/>
    <w:rsid w:val="00FF25CA"/>
    <w:rsid w:val="00FF260A"/>
    <w:rsid w:val="00FF3F3A"/>
    <w:rsid w:val="00FF46E3"/>
    <w:rsid w:val="00FF5474"/>
    <w:rsid w:val="00FF54D0"/>
    <w:rsid w:val="00FF5FFF"/>
    <w:rsid w:val="00FF6FF6"/>
    <w:rsid w:val="00FF7204"/>
    <w:rsid w:val="00FF7959"/>
    <w:rsid w:val="041B1F30"/>
    <w:rsid w:val="0BF92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40278"/>
  <w15:docId w15:val="{4CA68009-A40C-47A8-97F1-3D6F071D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5B2"/>
    <w:pPr>
      <w:spacing w:before="60" w:after="60" w:line="240" w:lineRule="auto"/>
    </w:pPr>
    <w:rPr>
      <w:rFonts w:ascii="Arial" w:hAnsi="Arial"/>
      <w:sz w:val="16"/>
    </w:rPr>
  </w:style>
  <w:style w:type="paragraph" w:styleId="Heading1">
    <w:name w:val="heading 1"/>
    <w:basedOn w:val="Normal"/>
    <w:next w:val="Normal"/>
    <w:link w:val="Heading1Char"/>
    <w:uiPriority w:val="9"/>
    <w:qFormat/>
    <w:rsid w:val="00D01281"/>
    <w:pPr>
      <w:keepNext/>
      <w:keepLines/>
      <w:spacing w:before="240" w:after="0"/>
      <w:outlineLvl w:val="0"/>
    </w:pPr>
    <w:rPr>
      <w:rFonts w:eastAsiaTheme="majorEastAsia" w:cstheme="majorBidi"/>
      <w:b/>
      <w:bCs/>
      <w:sz w:val="20"/>
      <w:szCs w:val="28"/>
    </w:rPr>
  </w:style>
  <w:style w:type="paragraph" w:styleId="Heading2">
    <w:name w:val="heading 2"/>
    <w:basedOn w:val="Normal"/>
    <w:next w:val="Normal"/>
    <w:link w:val="Heading2Char"/>
    <w:uiPriority w:val="9"/>
    <w:unhideWhenUsed/>
    <w:qFormat/>
    <w:rsid w:val="008645AD"/>
    <w:pPr>
      <w:keepNext/>
      <w:keepLines/>
      <w:spacing w:before="240" w:after="0"/>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rsid w:val="00371FAA"/>
    <w:pPr>
      <w:keepNext/>
      <w:keepLines/>
      <w:spacing w:before="240" w:after="0"/>
      <w:outlineLvl w:val="2"/>
    </w:pPr>
    <w:rPr>
      <w:rFonts w:eastAsiaTheme="majorEastAsia" w:cstheme="majorBidi"/>
      <w:b/>
      <w:bCs/>
      <w:sz w:val="20"/>
    </w:rPr>
  </w:style>
  <w:style w:type="paragraph" w:styleId="Heading4">
    <w:name w:val="heading 4"/>
    <w:basedOn w:val="Normal"/>
    <w:next w:val="Normal"/>
    <w:link w:val="Heading4Char"/>
    <w:uiPriority w:val="9"/>
    <w:unhideWhenUsed/>
    <w:qFormat/>
    <w:rsid w:val="00371FAA"/>
    <w:pPr>
      <w:keepNext/>
      <w:keepLines/>
      <w:spacing w:before="40" w:after="0"/>
      <w:outlineLvl w:val="3"/>
    </w:pPr>
    <w:rPr>
      <w:rFonts w:eastAsiaTheme="majorEastAsia" w:cstheme="majorBidi"/>
      <w:b/>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281"/>
    <w:rPr>
      <w:rFonts w:ascii="Arial" w:eastAsiaTheme="majorEastAsia" w:hAnsi="Arial" w:cstheme="majorBidi"/>
      <w:b/>
      <w:bCs/>
      <w:sz w:val="20"/>
      <w:szCs w:val="28"/>
    </w:rPr>
  </w:style>
  <w:style w:type="character" w:customStyle="1" w:styleId="Heading2Char">
    <w:name w:val="Heading 2 Char"/>
    <w:basedOn w:val="DefaultParagraphFont"/>
    <w:link w:val="Heading2"/>
    <w:uiPriority w:val="9"/>
    <w:rsid w:val="008645AD"/>
    <w:rPr>
      <w:rFonts w:ascii="Arial" w:eastAsiaTheme="majorEastAsia" w:hAnsi="Arial" w:cstheme="majorBidi"/>
      <w:b/>
      <w:bCs/>
      <w:sz w:val="20"/>
      <w:szCs w:val="26"/>
    </w:rPr>
  </w:style>
  <w:style w:type="character" w:customStyle="1" w:styleId="Heading3Char">
    <w:name w:val="Heading 3 Char"/>
    <w:basedOn w:val="DefaultParagraphFont"/>
    <w:link w:val="Heading3"/>
    <w:uiPriority w:val="9"/>
    <w:rsid w:val="00371FAA"/>
    <w:rPr>
      <w:rFonts w:ascii="Arial" w:eastAsiaTheme="majorEastAsia" w:hAnsi="Arial" w:cstheme="majorBidi"/>
      <w:b/>
      <w:bCs/>
      <w:sz w:val="20"/>
    </w:rPr>
  </w:style>
  <w:style w:type="table" w:styleId="TableGrid">
    <w:name w:val="Table Grid"/>
    <w:basedOn w:val="TableNormal"/>
    <w:uiPriority w:val="59"/>
    <w:rsid w:val="00B9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7669"/>
    <w:pPr>
      <w:spacing w:after="0"/>
    </w:pPr>
    <w:rPr>
      <w:rFonts w:ascii="Tahoma" w:hAnsi="Tahoma" w:cs="Tahoma"/>
      <w:szCs w:val="16"/>
    </w:rPr>
  </w:style>
  <w:style w:type="character" w:customStyle="1" w:styleId="BalloonTextChar">
    <w:name w:val="Balloon Text Char"/>
    <w:basedOn w:val="DefaultParagraphFont"/>
    <w:link w:val="BalloonText"/>
    <w:uiPriority w:val="99"/>
    <w:semiHidden/>
    <w:rsid w:val="00B97669"/>
    <w:rPr>
      <w:rFonts w:ascii="Tahoma" w:hAnsi="Tahoma" w:cs="Tahoma"/>
      <w:sz w:val="16"/>
      <w:szCs w:val="16"/>
    </w:rPr>
  </w:style>
  <w:style w:type="paragraph" w:styleId="Header">
    <w:name w:val="header"/>
    <w:basedOn w:val="Normal"/>
    <w:link w:val="HeaderChar"/>
    <w:uiPriority w:val="99"/>
    <w:rsid w:val="00E02FFE"/>
    <w:pPr>
      <w:tabs>
        <w:tab w:val="center" w:pos="4320"/>
        <w:tab w:val="right" w:pos="8640"/>
      </w:tabs>
      <w:spacing w:after="0"/>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02FFE"/>
    <w:rPr>
      <w:rFonts w:ascii="Times New Roman" w:eastAsia="Times New Roman" w:hAnsi="Times New Roman" w:cs="Times New Roman"/>
      <w:sz w:val="24"/>
      <w:szCs w:val="24"/>
    </w:rPr>
  </w:style>
  <w:style w:type="paragraph" w:customStyle="1" w:styleId="Default">
    <w:name w:val="Default"/>
    <w:rsid w:val="00E02FFE"/>
    <w:pPr>
      <w:autoSpaceDE w:val="0"/>
      <w:autoSpaceDN w:val="0"/>
      <w:adjustRightInd w:val="0"/>
      <w:spacing w:after="0" w:line="240" w:lineRule="auto"/>
    </w:pPr>
    <w:rPr>
      <w:rFonts w:ascii="Arial" w:eastAsia="Times New Roman" w:hAnsi="Arial" w:cs="Arial"/>
      <w:color w:val="000000"/>
      <w:sz w:val="24"/>
      <w:szCs w:val="24"/>
    </w:rPr>
  </w:style>
  <w:style w:type="paragraph" w:styleId="Title">
    <w:name w:val="Title"/>
    <w:basedOn w:val="Normal"/>
    <w:next w:val="Normal"/>
    <w:link w:val="TitleChar"/>
    <w:uiPriority w:val="10"/>
    <w:qFormat/>
    <w:rsid w:val="00690AC9"/>
    <w:pPr>
      <w:pBdr>
        <w:top w:val="single" w:sz="8" w:space="1" w:color="4F81BD" w:themeColor="accent1"/>
        <w:bottom w:val="single" w:sz="8" w:space="4" w:color="4F81BD" w:themeColor="accent1"/>
      </w:pBdr>
      <w:spacing w:before="360" w:after="120"/>
      <w:contextualSpacing/>
    </w:pPr>
    <w:rPr>
      <w:rFonts w:asciiTheme="majorHAnsi" w:eastAsiaTheme="majorEastAsia" w:hAnsiTheme="majorHAnsi" w:cstheme="majorBidi"/>
      <w:color w:val="17365D" w:themeColor="text2" w:themeShade="BF"/>
      <w:spacing w:val="5"/>
      <w:kern w:val="28"/>
      <w:sz w:val="32"/>
      <w:szCs w:val="52"/>
    </w:rPr>
  </w:style>
  <w:style w:type="character" w:customStyle="1" w:styleId="TitleChar">
    <w:name w:val="Title Char"/>
    <w:basedOn w:val="DefaultParagraphFont"/>
    <w:link w:val="Title"/>
    <w:uiPriority w:val="10"/>
    <w:rsid w:val="00690AC9"/>
    <w:rPr>
      <w:rFonts w:asciiTheme="majorHAnsi" w:eastAsiaTheme="majorEastAsia" w:hAnsiTheme="majorHAnsi" w:cstheme="majorBidi"/>
      <w:color w:val="17365D" w:themeColor="text2" w:themeShade="BF"/>
      <w:spacing w:val="5"/>
      <w:kern w:val="28"/>
      <w:sz w:val="32"/>
      <w:szCs w:val="52"/>
    </w:rPr>
  </w:style>
  <w:style w:type="paragraph" w:styleId="Subtitle">
    <w:name w:val="Subtitle"/>
    <w:basedOn w:val="Normal"/>
    <w:next w:val="Normal"/>
    <w:link w:val="SubtitleChar"/>
    <w:uiPriority w:val="11"/>
    <w:qFormat/>
    <w:rsid w:val="00E02F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02FFE"/>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41365C"/>
    <w:pPr>
      <w:ind w:left="720"/>
      <w:contextualSpacing/>
    </w:pPr>
  </w:style>
  <w:style w:type="paragraph" w:styleId="Footer">
    <w:name w:val="footer"/>
    <w:basedOn w:val="Normal"/>
    <w:link w:val="FooterChar"/>
    <w:uiPriority w:val="99"/>
    <w:unhideWhenUsed/>
    <w:rsid w:val="000802F7"/>
    <w:pPr>
      <w:tabs>
        <w:tab w:val="center" w:pos="4680"/>
        <w:tab w:val="right" w:pos="9360"/>
      </w:tabs>
      <w:spacing w:before="0" w:after="0"/>
    </w:pPr>
  </w:style>
  <w:style w:type="character" w:customStyle="1" w:styleId="FooterChar">
    <w:name w:val="Footer Char"/>
    <w:basedOn w:val="DefaultParagraphFont"/>
    <w:link w:val="Footer"/>
    <w:uiPriority w:val="99"/>
    <w:rsid w:val="000802F7"/>
  </w:style>
  <w:style w:type="character" w:styleId="CommentReference">
    <w:name w:val="annotation reference"/>
    <w:basedOn w:val="DefaultParagraphFont"/>
    <w:uiPriority w:val="99"/>
    <w:unhideWhenUsed/>
    <w:rsid w:val="001D7011"/>
    <w:rPr>
      <w:sz w:val="16"/>
      <w:szCs w:val="16"/>
    </w:rPr>
  </w:style>
  <w:style w:type="paragraph" w:styleId="CommentText">
    <w:name w:val="annotation text"/>
    <w:basedOn w:val="Normal"/>
    <w:link w:val="CommentTextChar"/>
    <w:uiPriority w:val="99"/>
    <w:unhideWhenUsed/>
    <w:rsid w:val="001D7011"/>
    <w:rPr>
      <w:sz w:val="20"/>
      <w:szCs w:val="20"/>
    </w:rPr>
  </w:style>
  <w:style w:type="character" w:customStyle="1" w:styleId="CommentTextChar">
    <w:name w:val="Comment Text Char"/>
    <w:basedOn w:val="DefaultParagraphFont"/>
    <w:link w:val="CommentText"/>
    <w:uiPriority w:val="99"/>
    <w:rsid w:val="001D7011"/>
    <w:rPr>
      <w:sz w:val="20"/>
      <w:szCs w:val="20"/>
    </w:rPr>
  </w:style>
  <w:style w:type="paragraph" w:styleId="CommentSubject">
    <w:name w:val="annotation subject"/>
    <w:basedOn w:val="CommentText"/>
    <w:next w:val="CommentText"/>
    <w:link w:val="CommentSubjectChar"/>
    <w:uiPriority w:val="99"/>
    <w:semiHidden/>
    <w:unhideWhenUsed/>
    <w:rsid w:val="001D7011"/>
    <w:rPr>
      <w:b/>
      <w:bCs/>
    </w:rPr>
  </w:style>
  <w:style w:type="character" w:customStyle="1" w:styleId="CommentSubjectChar">
    <w:name w:val="Comment Subject Char"/>
    <w:basedOn w:val="CommentTextChar"/>
    <w:link w:val="CommentSubject"/>
    <w:uiPriority w:val="99"/>
    <w:semiHidden/>
    <w:rsid w:val="001D7011"/>
    <w:rPr>
      <w:b/>
      <w:bCs/>
      <w:sz w:val="20"/>
      <w:szCs w:val="20"/>
    </w:rPr>
  </w:style>
  <w:style w:type="character" w:styleId="Hyperlink">
    <w:name w:val="Hyperlink"/>
    <w:basedOn w:val="DefaultParagraphFont"/>
    <w:uiPriority w:val="99"/>
    <w:unhideWhenUsed/>
    <w:rsid w:val="00CC2356"/>
    <w:rPr>
      <w:color w:val="0000FF" w:themeColor="hyperlink"/>
      <w:u w:val="single"/>
    </w:rPr>
  </w:style>
  <w:style w:type="paragraph" w:styleId="FootnoteText">
    <w:name w:val="footnote text"/>
    <w:basedOn w:val="Normal"/>
    <w:link w:val="FootnoteTextChar"/>
    <w:uiPriority w:val="99"/>
    <w:semiHidden/>
    <w:unhideWhenUsed/>
    <w:rsid w:val="006D5E8D"/>
    <w:pPr>
      <w:spacing w:before="0" w:after="0"/>
    </w:pPr>
    <w:rPr>
      <w:sz w:val="20"/>
      <w:szCs w:val="20"/>
    </w:rPr>
  </w:style>
  <w:style w:type="character" w:customStyle="1" w:styleId="FootnoteTextChar">
    <w:name w:val="Footnote Text Char"/>
    <w:basedOn w:val="DefaultParagraphFont"/>
    <w:link w:val="FootnoteText"/>
    <w:uiPriority w:val="99"/>
    <w:semiHidden/>
    <w:rsid w:val="006D5E8D"/>
    <w:rPr>
      <w:sz w:val="20"/>
      <w:szCs w:val="20"/>
    </w:rPr>
  </w:style>
  <w:style w:type="character" w:styleId="FootnoteReference">
    <w:name w:val="footnote reference"/>
    <w:basedOn w:val="DefaultParagraphFont"/>
    <w:uiPriority w:val="99"/>
    <w:semiHidden/>
    <w:unhideWhenUsed/>
    <w:rsid w:val="006D5E8D"/>
    <w:rPr>
      <w:vertAlign w:val="superscript"/>
    </w:rPr>
  </w:style>
  <w:style w:type="paragraph" w:styleId="TOCHeading">
    <w:name w:val="TOC Heading"/>
    <w:basedOn w:val="Heading1"/>
    <w:next w:val="Normal"/>
    <w:uiPriority w:val="39"/>
    <w:unhideWhenUsed/>
    <w:qFormat/>
    <w:rsid w:val="00D21EAA"/>
    <w:pPr>
      <w:spacing w:line="259" w:lineRule="auto"/>
      <w:outlineLvl w:val="9"/>
    </w:pPr>
    <w:rPr>
      <w:b w:val="0"/>
      <w:bCs w:val="0"/>
      <w:sz w:val="32"/>
      <w:szCs w:val="32"/>
    </w:rPr>
  </w:style>
  <w:style w:type="paragraph" w:styleId="TOC1">
    <w:name w:val="toc 1"/>
    <w:basedOn w:val="Normal"/>
    <w:next w:val="Normal"/>
    <w:autoRedefine/>
    <w:uiPriority w:val="39"/>
    <w:unhideWhenUsed/>
    <w:rsid w:val="006B7031"/>
    <w:pPr>
      <w:tabs>
        <w:tab w:val="right" w:leader="dot" w:pos="10790"/>
      </w:tabs>
      <w:spacing w:before="120" w:after="0"/>
    </w:pPr>
  </w:style>
  <w:style w:type="paragraph" w:styleId="TOC2">
    <w:name w:val="toc 2"/>
    <w:basedOn w:val="Normal"/>
    <w:next w:val="Normal"/>
    <w:autoRedefine/>
    <w:uiPriority w:val="39"/>
    <w:unhideWhenUsed/>
    <w:rsid w:val="006B7031"/>
    <w:pPr>
      <w:spacing w:before="0" w:after="0"/>
      <w:ind w:left="216"/>
    </w:pPr>
  </w:style>
  <w:style w:type="paragraph" w:customStyle="1" w:styleId="PropNorm">
    <w:name w:val="PropNorm"/>
    <w:link w:val="PropNormChar"/>
    <w:rsid w:val="00441FB4"/>
    <w:pPr>
      <w:spacing w:after="180" w:line="240" w:lineRule="auto"/>
    </w:pPr>
    <w:rPr>
      <w:rFonts w:ascii="Times New Roman" w:eastAsia="Times New Roman" w:hAnsi="Times New Roman" w:cs="Times New Roman"/>
      <w:sz w:val="24"/>
      <w:szCs w:val="20"/>
    </w:rPr>
  </w:style>
  <w:style w:type="character" w:customStyle="1" w:styleId="PropNormChar">
    <w:name w:val="PropNorm Char"/>
    <w:basedOn w:val="DefaultParagraphFont"/>
    <w:link w:val="PropNorm"/>
    <w:locked/>
    <w:rsid w:val="00441FB4"/>
    <w:rPr>
      <w:rFonts w:ascii="Times New Roman" w:eastAsia="Times New Roman" w:hAnsi="Times New Roman" w:cs="Times New Roman"/>
      <w:sz w:val="24"/>
      <w:szCs w:val="20"/>
    </w:rPr>
  </w:style>
  <w:style w:type="paragraph" w:styleId="TOAHeading">
    <w:name w:val="toa heading"/>
    <w:basedOn w:val="Normal"/>
    <w:next w:val="Normal"/>
    <w:semiHidden/>
    <w:rsid w:val="00441FB4"/>
    <w:pPr>
      <w:tabs>
        <w:tab w:val="right" w:pos="9360"/>
      </w:tabs>
      <w:suppressAutoHyphens/>
      <w:spacing w:after="240"/>
    </w:pPr>
    <w:rPr>
      <w:rFonts w:ascii="Times New Roman" w:eastAsia="Times New Roman" w:hAnsi="Times New Roman" w:cs="Times New Roman"/>
      <w:szCs w:val="20"/>
    </w:rPr>
  </w:style>
  <w:style w:type="paragraph" w:customStyle="1" w:styleId="Technical4">
    <w:name w:val="Technical 4"/>
    <w:rsid w:val="00441FB4"/>
    <w:pPr>
      <w:tabs>
        <w:tab w:val="left" w:pos="-720"/>
      </w:tabs>
      <w:suppressAutoHyphens/>
      <w:spacing w:after="0" w:line="240" w:lineRule="auto"/>
    </w:pPr>
    <w:rPr>
      <w:rFonts w:ascii="Times New Roman" w:eastAsia="Times New Roman" w:hAnsi="Times New Roman" w:cs="Times New Roman"/>
      <w:b/>
      <w:sz w:val="24"/>
      <w:szCs w:val="20"/>
    </w:rPr>
  </w:style>
  <w:style w:type="paragraph" w:customStyle="1" w:styleId="BRIRequirement">
    <w:name w:val="BRI Requirement"/>
    <w:basedOn w:val="Normal"/>
    <w:qFormat/>
    <w:rsid w:val="00441FB4"/>
    <w:pPr>
      <w:numPr>
        <w:numId w:val="1"/>
      </w:numPr>
      <w:contextualSpacing/>
    </w:pPr>
  </w:style>
  <w:style w:type="character" w:styleId="PlaceholderText">
    <w:name w:val="Placeholder Text"/>
    <w:basedOn w:val="DefaultParagraphFont"/>
    <w:uiPriority w:val="99"/>
    <w:semiHidden/>
    <w:rsid w:val="00F0619B"/>
    <w:rPr>
      <w:color w:val="808080"/>
    </w:rPr>
  </w:style>
  <w:style w:type="paragraph" w:customStyle="1" w:styleId="CRIRequirement">
    <w:name w:val="CRI Requirement"/>
    <w:basedOn w:val="Normal"/>
    <w:qFormat/>
    <w:rsid w:val="000923A7"/>
    <w:pPr>
      <w:ind w:left="720" w:hanging="720"/>
      <w:contextualSpacing/>
    </w:pPr>
  </w:style>
  <w:style w:type="paragraph" w:customStyle="1" w:styleId="BCIRequirement">
    <w:name w:val="BCI Requirement"/>
    <w:basedOn w:val="Normal"/>
    <w:qFormat/>
    <w:rsid w:val="00D03701"/>
    <w:pPr>
      <w:ind w:left="720" w:hanging="720"/>
      <w:contextualSpacing/>
    </w:pPr>
  </w:style>
  <w:style w:type="paragraph" w:customStyle="1" w:styleId="RadioButtonBullet">
    <w:name w:val="Radio Button Bullet"/>
    <w:basedOn w:val="ListParagraph"/>
    <w:qFormat/>
    <w:rsid w:val="00D03701"/>
    <w:pPr>
      <w:numPr>
        <w:numId w:val="2"/>
      </w:numPr>
    </w:pPr>
  </w:style>
  <w:style w:type="paragraph" w:customStyle="1" w:styleId="Title-notfirst">
    <w:name w:val="Title - not first"/>
    <w:basedOn w:val="Title"/>
    <w:qFormat/>
    <w:rsid w:val="00D03701"/>
    <w:pPr>
      <w:spacing w:before="60"/>
    </w:pPr>
  </w:style>
  <w:style w:type="paragraph" w:customStyle="1" w:styleId="IndNoteBullet">
    <w:name w:val="Ind Note Bullet"/>
    <w:basedOn w:val="Default"/>
    <w:qFormat/>
    <w:rsid w:val="00D03701"/>
    <w:pPr>
      <w:numPr>
        <w:numId w:val="3"/>
      </w:numPr>
      <w:ind w:left="360"/>
    </w:pPr>
    <w:rPr>
      <w:rFonts w:asciiTheme="minorHAnsi" w:hAnsiTheme="minorHAnsi"/>
      <w:color w:val="auto"/>
      <w:sz w:val="20"/>
      <w:szCs w:val="20"/>
    </w:rPr>
  </w:style>
  <w:style w:type="paragraph" w:customStyle="1" w:styleId="Figure">
    <w:name w:val="Figure"/>
    <w:basedOn w:val="Normal"/>
    <w:next w:val="Normal"/>
    <w:qFormat/>
    <w:rsid w:val="00D03701"/>
    <w:pPr>
      <w:spacing w:before="0" w:after="0"/>
      <w:jc w:val="center"/>
    </w:pPr>
    <w:rPr>
      <w:noProof/>
    </w:rPr>
  </w:style>
  <w:style w:type="paragraph" w:customStyle="1" w:styleId="FigureCaption">
    <w:name w:val="Figure Caption"/>
    <w:basedOn w:val="Figure"/>
    <w:next w:val="Normal"/>
    <w:qFormat/>
    <w:rsid w:val="00D03701"/>
    <w:pPr>
      <w:numPr>
        <w:numId w:val="4"/>
      </w:numPr>
      <w:spacing w:after="240"/>
      <w:ind w:left="360"/>
    </w:pPr>
    <w:rPr>
      <w:b/>
      <w:i/>
      <w:sz w:val="20"/>
    </w:rPr>
  </w:style>
  <w:style w:type="paragraph" w:customStyle="1" w:styleId="SysNote">
    <w:name w:val="SysNote"/>
    <w:basedOn w:val="Normal"/>
    <w:link w:val="SysNoteChar"/>
    <w:qFormat/>
    <w:rsid w:val="009D3860"/>
    <w:rPr>
      <w:i/>
    </w:rPr>
  </w:style>
  <w:style w:type="character" w:customStyle="1" w:styleId="SysNoteChar">
    <w:name w:val="SysNote Char"/>
    <w:basedOn w:val="DefaultParagraphFont"/>
    <w:link w:val="SysNote"/>
    <w:rsid w:val="009D3860"/>
    <w:rPr>
      <w:i/>
    </w:rPr>
  </w:style>
  <w:style w:type="paragraph" w:customStyle="1" w:styleId="Explanation">
    <w:name w:val="Explanation"/>
    <w:basedOn w:val="Normal"/>
    <w:qFormat/>
    <w:rsid w:val="004502CD"/>
    <w:rPr>
      <w:i/>
      <w:color w:val="5F497A" w:themeColor="accent4" w:themeShade="BF"/>
    </w:rPr>
  </w:style>
  <w:style w:type="paragraph" w:styleId="NormalWeb">
    <w:name w:val="Normal (Web)"/>
    <w:basedOn w:val="Normal"/>
    <w:uiPriority w:val="99"/>
    <w:unhideWhenUsed/>
    <w:rsid w:val="005F5514"/>
    <w:pPr>
      <w:spacing w:before="100" w:beforeAutospacing="1" w:after="100" w:afterAutospacing="1"/>
    </w:pPr>
    <w:rPr>
      <w:rFonts w:ascii="Times New Roman" w:eastAsia="Times New Roman" w:hAnsi="Times New Roman" w:cs="Times New Roman"/>
      <w:sz w:val="24"/>
      <w:szCs w:val="24"/>
    </w:rPr>
  </w:style>
  <w:style w:type="paragraph" w:customStyle="1" w:styleId="panel-header">
    <w:name w:val="panel-header"/>
    <w:basedOn w:val="Normal"/>
    <w:rsid w:val="00553544"/>
    <w:pPr>
      <w:spacing w:before="100" w:beforeAutospacing="1" w:after="100" w:afterAutospacing="1"/>
    </w:pPr>
    <w:rPr>
      <w:rFonts w:ascii="Times New Roman" w:eastAsia="Times New Roman" w:hAnsi="Times New Roman" w:cs="Times New Roman"/>
      <w:sz w:val="24"/>
      <w:szCs w:val="24"/>
    </w:rPr>
  </w:style>
  <w:style w:type="character" w:customStyle="1" w:styleId="panel-sub">
    <w:name w:val="panel-sub"/>
    <w:basedOn w:val="DefaultParagraphFont"/>
    <w:rsid w:val="008751D3"/>
  </w:style>
  <w:style w:type="paragraph" w:customStyle="1" w:styleId="panel-sub1">
    <w:name w:val="panel-sub1"/>
    <w:basedOn w:val="Normal"/>
    <w:rsid w:val="008751D3"/>
    <w:pPr>
      <w:spacing w:before="100" w:beforeAutospacing="1" w:after="100" w:afterAutospacing="1"/>
    </w:pPr>
    <w:rPr>
      <w:rFonts w:ascii="Times New Roman" w:eastAsia="Times New Roman" w:hAnsi="Times New Roman" w:cs="Times New Roman"/>
      <w:sz w:val="24"/>
      <w:szCs w:val="24"/>
    </w:rPr>
  </w:style>
  <w:style w:type="paragraph" w:customStyle="1" w:styleId="panel-paragraph">
    <w:name w:val="panel-paragraph"/>
    <w:basedOn w:val="Normal"/>
    <w:rsid w:val="00B67038"/>
    <w:pPr>
      <w:spacing w:before="100" w:beforeAutospacing="1" w:after="100" w:afterAutospacing="1"/>
    </w:pPr>
    <w:rPr>
      <w:rFonts w:ascii="Times New Roman" w:eastAsia="Times New Roman" w:hAnsi="Times New Roman" w:cs="Times New Roman"/>
      <w:sz w:val="24"/>
      <w:szCs w:val="24"/>
    </w:rPr>
  </w:style>
  <w:style w:type="paragraph" w:customStyle="1" w:styleId="instruction-heading">
    <w:name w:val="instruction-heading"/>
    <w:basedOn w:val="Normal"/>
    <w:rsid w:val="00A7519F"/>
    <w:pPr>
      <w:spacing w:before="100" w:beforeAutospacing="1" w:after="100" w:afterAutospacing="1"/>
    </w:pPr>
    <w:rPr>
      <w:rFonts w:ascii="Times New Roman" w:eastAsia="Times New Roman" w:hAnsi="Times New Roman" w:cs="Times New Roman"/>
      <w:sz w:val="24"/>
      <w:szCs w:val="24"/>
    </w:rPr>
  </w:style>
  <w:style w:type="paragraph" w:customStyle="1" w:styleId="Bold">
    <w:name w:val="Bold"/>
    <w:basedOn w:val="Normal"/>
    <w:qFormat/>
    <w:rsid w:val="00A20411"/>
    <w:pPr>
      <w:keepNext/>
      <w:spacing w:after="0"/>
    </w:pPr>
    <w:rPr>
      <w:b/>
    </w:rPr>
  </w:style>
  <w:style w:type="paragraph" w:customStyle="1" w:styleId="Italic">
    <w:name w:val="Italic"/>
    <w:basedOn w:val="Normal"/>
    <w:next w:val="Normal"/>
    <w:qFormat/>
    <w:rsid w:val="007D435F"/>
    <w:pPr>
      <w:keepNext/>
    </w:pPr>
    <w:rPr>
      <w:i/>
    </w:rPr>
  </w:style>
  <w:style w:type="paragraph" w:customStyle="1" w:styleId="indicator-section-title">
    <w:name w:val="indicator-section-title"/>
    <w:basedOn w:val="Normal"/>
    <w:rsid w:val="00C960B4"/>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0C24C2"/>
    <w:pPr>
      <w:spacing w:after="0" w:line="240" w:lineRule="auto"/>
    </w:pPr>
  </w:style>
  <w:style w:type="character" w:customStyle="1" w:styleId="Heading4Char">
    <w:name w:val="Heading 4 Char"/>
    <w:basedOn w:val="DefaultParagraphFont"/>
    <w:link w:val="Heading4"/>
    <w:uiPriority w:val="9"/>
    <w:rsid w:val="00371FAA"/>
    <w:rPr>
      <w:rFonts w:ascii="Arial" w:eastAsiaTheme="majorEastAsia" w:hAnsi="Arial" w:cstheme="majorBidi"/>
      <w:b/>
      <w:iCs/>
      <w:sz w:val="20"/>
    </w:rPr>
  </w:style>
  <w:style w:type="paragraph" w:customStyle="1" w:styleId="Subhed">
    <w:name w:val="Subhed"/>
    <w:basedOn w:val="Bold"/>
    <w:qFormat/>
    <w:rsid w:val="00120808"/>
    <w:rPr>
      <w:rFonts w:cs="Arial"/>
      <w:szCs w:val="16"/>
    </w:rPr>
  </w:style>
  <w:style w:type="character" w:styleId="Strong">
    <w:name w:val="Strong"/>
    <w:basedOn w:val="DefaultParagraphFont"/>
    <w:uiPriority w:val="22"/>
    <w:qFormat/>
    <w:rsid w:val="00B8653C"/>
    <w:rPr>
      <w:b/>
      <w:bCs/>
    </w:rPr>
  </w:style>
  <w:style w:type="paragraph" w:styleId="NoSpacing">
    <w:name w:val="No Spacing"/>
    <w:uiPriority w:val="1"/>
    <w:qFormat/>
    <w:rsid w:val="00EE0028"/>
    <w:pPr>
      <w:spacing w:after="0" w:line="240" w:lineRule="auto"/>
    </w:pPr>
  </w:style>
  <w:style w:type="paragraph" w:customStyle="1" w:styleId="TableHead">
    <w:name w:val="Table Head"/>
    <w:basedOn w:val="Normal"/>
    <w:qFormat/>
    <w:rsid w:val="009569B8"/>
    <w:pPr>
      <w:jc w:val="center"/>
    </w:pPr>
    <w:rPr>
      <w:rFonts w:cs="Arial"/>
      <w:b/>
      <w:szCs w:val="16"/>
    </w:rPr>
  </w:style>
  <w:style w:type="paragraph" w:customStyle="1" w:styleId="Numbering">
    <w:name w:val="Numbering"/>
    <w:basedOn w:val="Normal"/>
    <w:qFormat/>
    <w:rsid w:val="0093562B"/>
    <w:pPr>
      <w:spacing w:before="0" w:after="0"/>
    </w:pPr>
    <w:rPr>
      <w:rFonts w:eastAsia="Times New Roman" w:cs="Arial"/>
      <w:color w:val="222222"/>
      <w:szCs w:val="16"/>
    </w:rPr>
  </w:style>
  <w:style w:type="table" w:customStyle="1" w:styleId="TableGrid1">
    <w:name w:val="Table Grid1"/>
    <w:basedOn w:val="TableNormal"/>
    <w:next w:val="TableGrid"/>
    <w:uiPriority w:val="59"/>
    <w:rsid w:val="000B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E0EEF"/>
    <w:rPr>
      <w:i/>
      <w:iCs/>
    </w:rPr>
  </w:style>
  <w:style w:type="paragraph" w:customStyle="1" w:styleId="msonormal0">
    <w:name w:val="msonormal"/>
    <w:basedOn w:val="Normal"/>
    <w:rsid w:val="00BE0EEF"/>
    <w:pPr>
      <w:spacing w:before="100" w:beforeAutospacing="1" w:after="100" w:afterAutospacing="1"/>
    </w:pPr>
    <w:rPr>
      <w:rFonts w:ascii="Times New Roman" w:eastAsia="Times New Roman" w:hAnsi="Times New Roman" w:cs="Times New Roman"/>
      <w:sz w:val="24"/>
      <w:szCs w:val="24"/>
    </w:rPr>
  </w:style>
  <w:style w:type="paragraph" w:styleId="BodyText">
    <w:name w:val="Body Text"/>
    <w:basedOn w:val="Normal"/>
    <w:link w:val="BodyTextChar"/>
    <w:uiPriority w:val="1"/>
    <w:unhideWhenUsed/>
    <w:qFormat/>
    <w:rsid w:val="00BE0EEF"/>
    <w:pPr>
      <w:widowControl w:val="0"/>
      <w:autoSpaceDE w:val="0"/>
      <w:autoSpaceDN w:val="0"/>
      <w:spacing w:before="0" w:after="0"/>
    </w:pPr>
    <w:rPr>
      <w:rFonts w:ascii="Carlito" w:eastAsia="Carlito" w:hAnsi="Carlito" w:cs="Carlito"/>
      <w:sz w:val="22"/>
    </w:rPr>
  </w:style>
  <w:style w:type="character" w:customStyle="1" w:styleId="BodyTextChar">
    <w:name w:val="Body Text Char"/>
    <w:basedOn w:val="DefaultParagraphFont"/>
    <w:link w:val="BodyText"/>
    <w:uiPriority w:val="1"/>
    <w:rsid w:val="00BE0EEF"/>
    <w:rPr>
      <w:rFonts w:ascii="Carlito" w:eastAsia="Carlito" w:hAnsi="Carlito" w:cs="Carlito"/>
    </w:rPr>
  </w:style>
  <w:style w:type="paragraph" w:customStyle="1" w:styleId="TableParagraph">
    <w:name w:val="Table Paragraph"/>
    <w:basedOn w:val="Normal"/>
    <w:uiPriority w:val="1"/>
    <w:qFormat/>
    <w:rsid w:val="00BE0EEF"/>
    <w:pPr>
      <w:widowControl w:val="0"/>
      <w:autoSpaceDE w:val="0"/>
      <w:autoSpaceDN w:val="0"/>
      <w:spacing w:before="29" w:after="0"/>
      <w:ind w:left="101" w:right="100"/>
      <w:jc w:val="center"/>
    </w:pPr>
    <w:rPr>
      <w:rFonts w:ascii="Carlito" w:eastAsia="Carlito" w:hAnsi="Carlito" w:cs="Carlito"/>
      <w:sz w:val="22"/>
    </w:rPr>
  </w:style>
  <w:style w:type="character" w:styleId="FollowedHyperlink">
    <w:name w:val="FollowedHyperlink"/>
    <w:basedOn w:val="DefaultParagraphFont"/>
    <w:uiPriority w:val="99"/>
    <w:semiHidden/>
    <w:unhideWhenUsed/>
    <w:rsid w:val="00BE0EEF"/>
    <w:rPr>
      <w:color w:val="800080"/>
      <w:u w:val="single"/>
    </w:rPr>
  </w:style>
  <w:style w:type="table" w:styleId="LightGrid-Accent1">
    <w:name w:val="Light Grid Accent 1"/>
    <w:basedOn w:val="TableNormal"/>
    <w:uiPriority w:val="62"/>
    <w:rsid w:val="00BE0E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Table2">
    <w:name w:val="List Table 2"/>
    <w:basedOn w:val="TableNormal"/>
    <w:uiPriority w:val="47"/>
    <w:rsid w:val="00BE0EE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BE0E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5">
    <w:name w:val="Grid Table 3 Accent 5"/>
    <w:basedOn w:val="TableNormal"/>
    <w:uiPriority w:val="48"/>
    <w:rsid w:val="00480A1F"/>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styleId="EndnoteText">
    <w:name w:val="endnote text"/>
    <w:basedOn w:val="Normal"/>
    <w:link w:val="EndnoteTextChar"/>
    <w:uiPriority w:val="99"/>
    <w:semiHidden/>
    <w:unhideWhenUsed/>
    <w:rsid w:val="00A47134"/>
    <w:pPr>
      <w:spacing w:before="0" w:after="0"/>
    </w:pPr>
    <w:rPr>
      <w:sz w:val="20"/>
      <w:szCs w:val="20"/>
    </w:rPr>
  </w:style>
  <w:style w:type="character" w:customStyle="1" w:styleId="EndnoteTextChar">
    <w:name w:val="Endnote Text Char"/>
    <w:basedOn w:val="DefaultParagraphFont"/>
    <w:link w:val="EndnoteText"/>
    <w:uiPriority w:val="99"/>
    <w:semiHidden/>
    <w:rsid w:val="00A47134"/>
    <w:rPr>
      <w:rFonts w:ascii="Arial" w:hAnsi="Arial"/>
      <w:sz w:val="20"/>
      <w:szCs w:val="20"/>
    </w:rPr>
  </w:style>
  <w:style w:type="character" w:styleId="EndnoteReference">
    <w:name w:val="endnote reference"/>
    <w:basedOn w:val="DefaultParagraphFont"/>
    <w:uiPriority w:val="99"/>
    <w:semiHidden/>
    <w:unhideWhenUsed/>
    <w:rsid w:val="00A47134"/>
    <w:rPr>
      <w:vertAlign w:val="superscript"/>
    </w:rPr>
  </w:style>
  <w:style w:type="character" w:styleId="UnresolvedMention">
    <w:name w:val="Unresolved Mention"/>
    <w:basedOn w:val="DefaultParagraphFont"/>
    <w:uiPriority w:val="99"/>
    <w:semiHidden/>
    <w:unhideWhenUsed/>
    <w:rsid w:val="00501909"/>
    <w:rPr>
      <w:color w:val="605E5C"/>
      <w:shd w:val="clear" w:color="auto" w:fill="E1DFDD"/>
    </w:rPr>
  </w:style>
  <w:style w:type="character" w:customStyle="1" w:styleId="ui-provider">
    <w:name w:val="ui-provider"/>
    <w:basedOn w:val="DefaultParagraphFont"/>
    <w:rsid w:val="006F0B24"/>
  </w:style>
  <w:style w:type="character" w:customStyle="1" w:styleId="normaltextrun">
    <w:name w:val="normaltextrun"/>
    <w:basedOn w:val="DefaultParagraphFont"/>
    <w:rsid w:val="00374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8878">
      <w:bodyDiv w:val="1"/>
      <w:marLeft w:val="0"/>
      <w:marRight w:val="0"/>
      <w:marTop w:val="0"/>
      <w:marBottom w:val="0"/>
      <w:divBdr>
        <w:top w:val="none" w:sz="0" w:space="0" w:color="auto"/>
        <w:left w:val="none" w:sz="0" w:space="0" w:color="auto"/>
        <w:bottom w:val="none" w:sz="0" w:space="0" w:color="auto"/>
        <w:right w:val="none" w:sz="0" w:space="0" w:color="auto"/>
      </w:divBdr>
    </w:div>
    <w:div w:id="33582676">
      <w:bodyDiv w:val="1"/>
      <w:marLeft w:val="0"/>
      <w:marRight w:val="0"/>
      <w:marTop w:val="0"/>
      <w:marBottom w:val="0"/>
      <w:divBdr>
        <w:top w:val="none" w:sz="0" w:space="0" w:color="auto"/>
        <w:left w:val="none" w:sz="0" w:space="0" w:color="auto"/>
        <w:bottom w:val="none" w:sz="0" w:space="0" w:color="auto"/>
        <w:right w:val="none" w:sz="0" w:space="0" w:color="auto"/>
      </w:divBdr>
    </w:div>
    <w:div w:id="66614295">
      <w:bodyDiv w:val="1"/>
      <w:marLeft w:val="0"/>
      <w:marRight w:val="0"/>
      <w:marTop w:val="0"/>
      <w:marBottom w:val="0"/>
      <w:divBdr>
        <w:top w:val="none" w:sz="0" w:space="0" w:color="auto"/>
        <w:left w:val="none" w:sz="0" w:space="0" w:color="auto"/>
        <w:bottom w:val="none" w:sz="0" w:space="0" w:color="auto"/>
        <w:right w:val="none" w:sz="0" w:space="0" w:color="auto"/>
      </w:divBdr>
      <w:divsChild>
        <w:div w:id="1664039907">
          <w:marLeft w:val="0"/>
          <w:marRight w:val="0"/>
          <w:marTop w:val="0"/>
          <w:marBottom w:val="0"/>
          <w:divBdr>
            <w:top w:val="none" w:sz="0" w:space="0" w:color="auto"/>
            <w:left w:val="none" w:sz="0" w:space="0" w:color="auto"/>
            <w:bottom w:val="none" w:sz="0" w:space="0" w:color="auto"/>
            <w:right w:val="none" w:sz="0" w:space="0" w:color="auto"/>
          </w:divBdr>
        </w:div>
      </w:divsChild>
    </w:div>
    <w:div w:id="73865556">
      <w:bodyDiv w:val="1"/>
      <w:marLeft w:val="0"/>
      <w:marRight w:val="0"/>
      <w:marTop w:val="0"/>
      <w:marBottom w:val="0"/>
      <w:divBdr>
        <w:top w:val="none" w:sz="0" w:space="0" w:color="auto"/>
        <w:left w:val="none" w:sz="0" w:space="0" w:color="auto"/>
        <w:bottom w:val="none" w:sz="0" w:space="0" w:color="auto"/>
        <w:right w:val="none" w:sz="0" w:space="0" w:color="auto"/>
      </w:divBdr>
    </w:div>
    <w:div w:id="183831830">
      <w:bodyDiv w:val="1"/>
      <w:marLeft w:val="0"/>
      <w:marRight w:val="0"/>
      <w:marTop w:val="0"/>
      <w:marBottom w:val="0"/>
      <w:divBdr>
        <w:top w:val="none" w:sz="0" w:space="0" w:color="auto"/>
        <w:left w:val="none" w:sz="0" w:space="0" w:color="auto"/>
        <w:bottom w:val="none" w:sz="0" w:space="0" w:color="auto"/>
        <w:right w:val="none" w:sz="0" w:space="0" w:color="auto"/>
      </w:divBdr>
    </w:div>
    <w:div w:id="187917847">
      <w:bodyDiv w:val="1"/>
      <w:marLeft w:val="0"/>
      <w:marRight w:val="0"/>
      <w:marTop w:val="0"/>
      <w:marBottom w:val="0"/>
      <w:divBdr>
        <w:top w:val="none" w:sz="0" w:space="0" w:color="auto"/>
        <w:left w:val="none" w:sz="0" w:space="0" w:color="auto"/>
        <w:bottom w:val="none" w:sz="0" w:space="0" w:color="auto"/>
        <w:right w:val="none" w:sz="0" w:space="0" w:color="auto"/>
      </w:divBdr>
    </w:div>
    <w:div w:id="220336243">
      <w:bodyDiv w:val="1"/>
      <w:marLeft w:val="0"/>
      <w:marRight w:val="0"/>
      <w:marTop w:val="0"/>
      <w:marBottom w:val="0"/>
      <w:divBdr>
        <w:top w:val="none" w:sz="0" w:space="0" w:color="auto"/>
        <w:left w:val="none" w:sz="0" w:space="0" w:color="auto"/>
        <w:bottom w:val="none" w:sz="0" w:space="0" w:color="auto"/>
        <w:right w:val="none" w:sz="0" w:space="0" w:color="auto"/>
      </w:divBdr>
    </w:div>
    <w:div w:id="227694473">
      <w:bodyDiv w:val="1"/>
      <w:marLeft w:val="0"/>
      <w:marRight w:val="0"/>
      <w:marTop w:val="0"/>
      <w:marBottom w:val="0"/>
      <w:divBdr>
        <w:top w:val="none" w:sz="0" w:space="0" w:color="auto"/>
        <w:left w:val="none" w:sz="0" w:space="0" w:color="auto"/>
        <w:bottom w:val="none" w:sz="0" w:space="0" w:color="auto"/>
        <w:right w:val="none" w:sz="0" w:space="0" w:color="auto"/>
      </w:divBdr>
    </w:div>
    <w:div w:id="246109840">
      <w:bodyDiv w:val="1"/>
      <w:marLeft w:val="0"/>
      <w:marRight w:val="0"/>
      <w:marTop w:val="0"/>
      <w:marBottom w:val="0"/>
      <w:divBdr>
        <w:top w:val="none" w:sz="0" w:space="0" w:color="auto"/>
        <w:left w:val="none" w:sz="0" w:space="0" w:color="auto"/>
        <w:bottom w:val="none" w:sz="0" w:space="0" w:color="auto"/>
        <w:right w:val="none" w:sz="0" w:space="0" w:color="auto"/>
      </w:divBdr>
    </w:div>
    <w:div w:id="257836862">
      <w:bodyDiv w:val="1"/>
      <w:marLeft w:val="0"/>
      <w:marRight w:val="0"/>
      <w:marTop w:val="0"/>
      <w:marBottom w:val="0"/>
      <w:divBdr>
        <w:top w:val="none" w:sz="0" w:space="0" w:color="auto"/>
        <w:left w:val="none" w:sz="0" w:space="0" w:color="auto"/>
        <w:bottom w:val="none" w:sz="0" w:space="0" w:color="auto"/>
        <w:right w:val="none" w:sz="0" w:space="0" w:color="auto"/>
      </w:divBdr>
    </w:div>
    <w:div w:id="264505258">
      <w:bodyDiv w:val="1"/>
      <w:marLeft w:val="0"/>
      <w:marRight w:val="0"/>
      <w:marTop w:val="0"/>
      <w:marBottom w:val="0"/>
      <w:divBdr>
        <w:top w:val="none" w:sz="0" w:space="0" w:color="auto"/>
        <w:left w:val="none" w:sz="0" w:space="0" w:color="auto"/>
        <w:bottom w:val="none" w:sz="0" w:space="0" w:color="auto"/>
        <w:right w:val="none" w:sz="0" w:space="0" w:color="auto"/>
      </w:divBdr>
      <w:divsChild>
        <w:div w:id="1898078886">
          <w:marLeft w:val="0"/>
          <w:marRight w:val="0"/>
          <w:marTop w:val="0"/>
          <w:marBottom w:val="150"/>
          <w:divBdr>
            <w:top w:val="none" w:sz="0" w:space="0" w:color="auto"/>
            <w:left w:val="none" w:sz="0" w:space="0" w:color="auto"/>
            <w:bottom w:val="none" w:sz="0" w:space="0" w:color="auto"/>
            <w:right w:val="none" w:sz="0" w:space="0" w:color="auto"/>
          </w:divBdr>
        </w:div>
        <w:div w:id="2020041191">
          <w:marLeft w:val="0"/>
          <w:marRight w:val="0"/>
          <w:marTop w:val="0"/>
          <w:marBottom w:val="150"/>
          <w:divBdr>
            <w:top w:val="none" w:sz="0" w:space="0" w:color="auto"/>
            <w:left w:val="none" w:sz="0" w:space="0" w:color="auto"/>
            <w:bottom w:val="none" w:sz="0" w:space="0" w:color="auto"/>
            <w:right w:val="none" w:sz="0" w:space="0" w:color="auto"/>
          </w:divBdr>
        </w:div>
      </w:divsChild>
    </w:div>
    <w:div w:id="269122146">
      <w:bodyDiv w:val="1"/>
      <w:marLeft w:val="0"/>
      <w:marRight w:val="0"/>
      <w:marTop w:val="0"/>
      <w:marBottom w:val="0"/>
      <w:divBdr>
        <w:top w:val="none" w:sz="0" w:space="0" w:color="auto"/>
        <w:left w:val="none" w:sz="0" w:space="0" w:color="auto"/>
        <w:bottom w:val="none" w:sz="0" w:space="0" w:color="auto"/>
        <w:right w:val="none" w:sz="0" w:space="0" w:color="auto"/>
      </w:divBdr>
    </w:div>
    <w:div w:id="288322446">
      <w:bodyDiv w:val="1"/>
      <w:marLeft w:val="0"/>
      <w:marRight w:val="0"/>
      <w:marTop w:val="0"/>
      <w:marBottom w:val="0"/>
      <w:divBdr>
        <w:top w:val="none" w:sz="0" w:space="0" w:color="auto"/>
        <w:left w:val="none" w:sz="0" w:space="0" w:color="auto"/>
        <w:bottom w:val="none" w:sz="0" w:space="0" w:color="auto"/>
        <w:right w:val="none" w:sz="0" w:space="0" w:color="auto"/>
      </w:divBdr>
    </w:div>
    <w:div w:id="331032465">
      <w:bodyDiv w:val="1"/>
      <w:marLeft w:val="0"/>
      <w:marRight w:val="0"/>
      <w:marTop w:val="0"/>
      <w:marBottom w:val="0"/>
      <w:divBdr>
        <w:top w:val="none" w:sz="0" w:space="0" w:color="auto"/>
        <w:left w:val="none" w:sz="0" w:space="0" w:color="auto"/>
        <w:bottom w:val="none" w:sz="0" w:space="0" w:color="auto"/>
        <w:right w:val="none" w:sz="0" w:space="0" w:color="auto"/>
      </w:divBdr>
    </w:div>
    <w:div w:id="343824430">
      <w:bodyDiv w:val="1"/>
      <w:marLeft w:val="0"/>
      <w:marRight w:val="0"/>
      <w:marTop w:val="0"/>
      <w:marBottom w:val="0"/>
      <w:divBdr>
        <w:top w:val="none" w:sz="0" w:space="0" w:color="auto"/>
        <w:left w:val="none" w:sz="0" w:space="0" w:color="auto"/>
        <w:bottom w:val="none" w:sz="0" w:space="0" w:color="auto"/>
        <w:right w:val="none" w:sz="0" w:space="0" w:color="auto"/>
      </w:divBdr>
      <w:divsChild>
        <w:div w:id="289673781">
          <w:marLeft w:val="0"/>
          <w:marRight w:val="0"/>
          <w:marTop w:val="0"/>
          <w:marBottom w:val="210"/>
          <w:divBdr>
            <w:top w:val="none" w:sz="0" w:space="0" w:color="auto"/>
            <w:left w:val="none" w:sz="0" w:space="0" w:color="auto"/>
            <w:bottom w:val="none" w:sz="0" w:space="0" w:color="auto"/>
            <w:right w:val="none" w:sz="0" w:space="0" w:color="auto"/>
          </w:divBdr>
        </w:div>
        <w:div w:id="296957980">
          <w:marLeft w:val="0"/>
          <w:marRight w:val="0"/>
          <w:marTop w:val="0"/>
          <w:marBottom w:val="210"/>
          <w:divBdr>
            <w:top w:val="none" w:sz="0" w:space="0" w:color="auto"/>
            <w:left w:val="none" w:sz="0" w:space="0" w:color="auto"/>
            <w:bottom w:val="none" w:sz="0" w:space="0" w:color="auto"/>
            <w:right w:val="none" w:sz="0" w:space="0" w:color="auto"/>
          </w:divBdr>
        </w:div>
        <w:div w:id="308442762">
          <w:marLeft w:val="0"/>
          <w:marRight w:val="0"/>
          <w:marTop w:val="0"/>
          <w:marBottom w:val="210"/>
          <w:divBdr>
            <w:top w:val="none" w:sz="0" w:space="0" w:color="auto"/>
            <w:left w:val="none" w:sz="0" w:space="0" w:color="auto"/>
            <w:bottom w:val="none" w:sz="0" w:space="0" w:color="auto"/>
            <w:right w:val="none" w:sz="0" w:space="0" w:color="auto"/>
          </w:divBdr>
        </w:div>
        <w:div w:id="1092167359">
          <w:marLeft w:val="0"/>
          <w:marRight w:val="0"/>
          <w:marTop w:val="0"/>
          <w:marBottom w:val="210"/>
          <w:divBdr>
            <w:top w:val="none" w:sz="0" w:space="0" w:color="auto"/>
            <w:left w:val="none" w:sz="0" w:space="0" w:color="auto"/>
            <w:bottom w:val="none" w:sz="0" w:space="0" w:color="auto"/>
            <w:right w:val="none" w:sz="0" w:space="0" w:color="auto"/>
          </w:divBdr>
        </w:div>
      </w:divsChild>
    </w:div>
    <w:div w:id="353579608">
      <w:bodyDiv w:val="1"/>
      <w:marLeft w:val="0"/>
      <w:marRight w:val="0"/>
      <w:marTop w:val="0"/>
      <w:marBottom w:val="0"/>
      <w:divBdr>
        <w:top w:val="none" w:sz="0" w:space="0" w:color="auto"/>
        <w:left w:val="none" w:sz="0" w:space="0" w:color="auto"/>
        <w:bottom w:val="none" w:sz="0" w:space="0" w:color="auto"/>
        <w:right w:val="none" w:sz="0" w:space="0" w:color="auto"/>
      </w:divBdr>
    </w:div>
    <w:div w:id="380713603">
      <w:bodyDiv w:val="1"/>
      <w:marLeft w:val="0"/>
      <w:marRight w:val="0"/>
      <w:marTop w:val="0"/>
      <w:marBottom w:val="0"/>
      <w:divBdr>
        <w:top w:val="none" w:sz="0" w:space="0" w:color="auto"/>
        <w:left w:val="none" w:sz="0" w:space="0" w:color="auto"/>
        <w:bottom w:val="none" w:sz="0" w:space="0" w:color="auto"/>
        <w:right w:val="none" w:sz="0" w:space="0" w:color="auto"/>
      </w:divBdr>
    </w:div>
    <w:div w:id="393163176">
      <w:bodyDiv w:val="1"/>
      <w:marLeft w:val="0"/>
      <w:marRight w:val="0"/>
      <w:marTop w:val="0"/>
      <w:marBottom w:val="0"/>
      <w:divBdr>
        <w:top w:val="none" w:sz="0" w:space="0" w:color="auto"/>
        <w:left w:val="none" w:sz="0" w:space="0" w:color="auto"/>
        <w:bottom w:val="none" w:sz="0" w:space="0" w:color="auto"/>
        <w:right w:val="none" w:sz="0" w:space="0" w:color="auto"/>
      </w:divBdr>
    </w:div>
    <w:div w:id="407192773">
      <w:bodyDiv w:val="1"/>
      <w:marLeft w:val="0"/>
      <w:marRight w:val="0"/>
      <w:marTop w:val="0"/>
      <w:marBottom w:val="0"/>
      <w:divBdr>
        <w:top w:val="none" w:sz="0" w:space="0" w:color="auto"/>
        <w:left w:val="none" w:sz="0" w:space="0" w:color="auto"/>
        <w:bottom w:val="none" w:sz="0" w:space="0" w:color="auto"/>
        <w:right w:val="none" w:sz="0" w:space="0" w:color="auto"/>
      </w:divBdr>
    </w:div>
    <w:div w:id="413747464">
      <w:bodyDiv w:val="1"/>
      <w:marLeft w:val="0"/>
      <w:marRight w:val="0"/>
      <w:marTop w:val="0"/>
      <w:marBottom w:val="0"/>
      <w:divBdr>
        <w:top w:val="none" w:sz="0" w:space="0" w:color="auto"/>
        <w:left w:val="none" w:sz="0" w:space="0" w:color="auto"/>
        <w:bottom w:val="none" w:sz="0" w:space="0" w:color="auto"/>
        <w:right w:val="none" w:sz="0" w:space="0" w:color="auto"/>
      </w:divBdr>
    </w:div>
    <w:div w:id="428965040">
      <w:bodyDiv w:val="1"/>
      <w:marLeft w:val="0"/>
      <w:marRight w:val="0"/>
      <w:marTop w:val="0"/>
      <w:marBottom w:val="0"/>
      <w:divBdr>
        <w:top w:val="none" w:sz="0" w:space="0" w:color="auto"/>
        <w:left w:val="none" w:sz="0" w:space="0" w:color="auto"/>
        <w:bottom w:val="none" w:sz="0" w:space="0" w:color="auto"/>
        <w:right w:val="none" w:sz="0" w:space="0" w:color="auto"/>
      </w:divBdr>
      <w:divsChild>
        <w:div w:id="28116490">
          <w:marLeft w:val="0"/>
          <w:marRight w:val="0"/>
          <w:marTop w:val="0"/>
          <w:marBottom w:val="150"/>
          <w:divBdr>
            <w:top w:val="none" w:sz="0" w:space="0" w:color="auto"/>
            <w:left w:val="none" w:sz="0" w:space="0" w:color="auto"/>
            <w:bottom w:val="none" w:sz="0" w:space="0" w:color="auto"/>
            <w:right w:val="none" w:sz="0" w:space="0" w:color="auto"/>
          </w:divBdr>
        </w:div>
        <w:div w:id="774641537">
          <w:marLeft w:val="0"/>
          <w:marRight w:val="0"/>
          <w:marTop w:val="0"/>
          <w:marBottom w:val="150"/>
          <w:divBdr>
            <w:top w:val="none" w:sz="0" w:space="0" w:color="auto"/>
            <w:left w:val="none" w:sz="0" w:space="0" w:color="auto"/>
            <w:bottom w:val="none" w:sz="0" w:space="0" w:color="auto"/>
            <w:right w:val="none" w:sz="0" w:space="0" w:color="auto"/>
          </w:divBdr>
        </w:div>
        <w:div w:id="817460730">
          <w:marLeft w:val="0"/>
          <w:marRight w:val="0"/>
          <w:marTop w:val="0"/>
          <w:marBottom w:val="600"/>
          <w:divBdr>
            <w:top w:val="none" w:sz="0" w:space="0" w:color="auto"/>
            <w:left w:val="none" w:sz="0" w:space="0" w:color="auto"/>
            <w:bottom w:val="none" w:sz="0" w:space="0" w:color="auto"/>
            <w:right w:val="none" w:sz="0" w:space="0" w:color="auto"/>
          </w:divBdr>
        </w:div>
      </w:divsChild>
    </w:div>
    <w:div w:id="452943263">
      <w:bodyDiv w:val="1"/>
      <w:marLeft w:val="0"/>
      <w:marRight w:val="0"/>
      <w:marTop w:val="0"/>
      <w:marBottom w:val="0"/>
      <w:divBdr>
        <w:top w:val="none" w:sz="0" w:space="0" w:color="auto"/>
        <w:left w:val="none" w:sz="0" w:space="0" w:color="auto"/>
        <w:bottom w:val="none" w:sz="0" w:space="0" w:color="auto"/>
        <w:right w:val="none" w:sz="0" w:space="0" w:color="auto"/>
      </w:divBdr>
    </w:div>
    <w:div w:id="462816014">
      <w:bodyDiv w:val="1"/>
      <w:marLeft w:val="0"/>
      <w:marRight w:val="0"/>
      <w:marTop w:val="0"/>
      <w:marBottom w:val="0"/>
      <w:divBdr>
        <w:top w:val="none" w:sz="0" w:space="0" w:color="auto"/>
        <w:left w:val="none" w:sz="0" w:space="0" w:color="auto"/>
        <w:bottom w:val="none" w:sz="0" w:space="0" w:color="auto"/>
        <w:right w:val="none" w:sz="0" w:space="0" w:color="auto"/>
      </w:divBdr>
    </w:div>
    <w:div w:id="471408565">
      <w:bodyDiv w:val="1"/>
      <w:marLeft w:val="0"/>
      <w:marRight w:val="0"/>
      <w:marTop w:val="0"/>
      <w:marBottom w:val="0"/>
      <w:divBdr>
        <w:top w:val="none" w:sz="0" w:space="0" w:color="auto"/>
        <w:left w:val="none" w:sz="0" w:space="0" w:color="auto"/>
        <w:bottom w:val="none" w:sz="0" w:space="0" w:color="auto"/>
        <w:right w:val="none" w:sz="0" w:space="0" w:color="auto"/>
      </w:divBdr>
    </w:div>
    <w:div w:id="490412300">
      <w:bodyDiv w:val="1"/>
      <w:marLeft w:val="0"/>
      <w:marRight w:val="0"/>
      <w:marTop w:val="0"/>
      <w:marBottom w:val="0"/>
      <w:divBdr>
        <w:top w:val="none" w:sz="0" w:space="0" w:color="auto"/>
        <w:left w:val="none" w:sz="0" w:space="0" w:color="auto"/>
        <w:bottom w:val="none" w:sz="0" w:space="0" w:color="auto"/>
        <w:right w:val="none" w:sz="0" w:space="0" w:color="auto"/>
      </w:divBdr>
    </w:div>
    <w:div w:id="500513603">
      <w:bodyDiv w:val="1"/>
      <w:marLeft w:val="0"/>
      <w:marRight w:val="0"/>
      <w:marTop w:val="0"/>
      <w:marBottom w:val="0"/>
      <w:divBdr>
        <w:top w:val="none" w:sz="0" w:space="0" w:color="auto"/>
        <w:left w:val="none" w:sz="0" w:space="0" w:color="auto"/>
        <w:bottom w:val="none" w:sz="0" w:space="0" w:color="auto"/>
        <w:right w:val="none" w:sz="0" w:space="0" w:color="auto"/>
      </w:divBdr>
    </w:div>
    <w:div w:id="516042901">
      <w:bodyDiv w:val="1"/>
      <w:marLeft w:val="0"/>
      <w:marRight w:val="0"/>
      <w:marTop w:val="0"/>
      <w:marBottom w:val="0"/>
      <w:divBdr>
        <w:top w:val="none" w:sz="0" w:space="0" w:color="auto"/>
        <w:left w:val="none" w:sz="0" w:space="0" w:color="auto"/>
        <w:bottom w:val="none" w:sz="0" w:space="0" w:color="auto"/>
        <w:right w:val="none" w:sz="0" w:space="0" w:color="auto"/>
      </w:divBdr>
    </w:div>
    <w:div w:id="544684300">
      <w:bodyDiv w:val="1"/>
      <w:marLeft w:val="0"/>
      <w:marRight w:val="0"/>
      <w:marTop w:val="0"/>
      <w:marBottom w:val="0"/>
      <w:divBdr>
        <w:top w:val="none" w:sz="0" w:space="0" w:color="auto"/>
        <w:left w:val="none" w:sz="0" w:space="0" w:color="auto"/>
        <w:bottom w:val="none" w:sz="0" w:space="0" w:color="auto"/>
        <w:right w:val="none" w:sz="0" w:space="0" w:color="auto"/>
      </w:divBdr>
    </w:div>
    <w:div w:id="546917993">
      <w:bodyDiv w:val="1"/>
      <w:marLeft w:val="0"/>
      <w:marRight w:val="0"/>
      <w:marTop w:val="0"/>
      <w:marBottom w:val="0"/>
      <w:divBdr>
        <w:top w:val="none" w:sz="0" w:space="0" w:color="auto"/>
        <w:left w:val="none" w:sz="0" w:space="0" w:color="auto"/>
        <w:bottom w:val="none" w:sz="0" w:space="0" w:color="auto"/>
        <w:right w:val="none" w:sz="0" w:space="0" w:color="auto"/>
      </w:divBdr>
      <w:divsChild>
        <w:div w:id="138767312">
          <w:marLeft w:val="0"/>
          <w:marRight w:val="0"/>
          <w:marTop w:val="0"/>
          <w:marBottom w:val="150"/>
          <w:divBdr>
            <w:top w:val="none" w:sz="0" w:space="0" w:color="auto"/>
            <w:left w:val="none" w:sz="0" w:space="0" w:color="auto"/>
            <w:bottom w:val="none" w:sz="0" w:space="0" w:color="auto"/>
            <w:right w:val="none" w:sz="0" w:space="0" w:color="auto"/>
          </w:divBdr>
        </w:div>
        <w:div w:id="809245715">
          <w:marLeft w:val="0"/>
          <w:marRight w:val="0"/>
          <w:marTop w:val="0"/>
          <w:marBottom w:val="150"/>
          <w:divBdr>
            <w:top w:val="none" w:sz="0" w:space="0" w:color="auto"/>
            <w:left w:val="none" w:sz="0" w:space="0" w:color="auto"/>
            <w:bottom w:val="none" w:sz="0" w:space="0" w:color="auto"/>
            <w:right w:val="none" w:sz="0" w:space="0" w:color="auto"/>
          </w:divBdr>
        </w:div>
      </w:divsChild>
    </w:div>
    <w:div w:id="585847008">
      <w:bodyDiv w:val="1"/>
      <w:marLeft w:val="0"/>
      <w:marRight w:val="0"/>
      <w:marTop w:val="0"/>
      <w:marBottom w:val="0"/>
      <w:divBdr>
        <w:top w:val="none" w:sz="0" w:space="0" w:color="auto"/>
        <w:left w:val="none" w:sz="0" w:space="0" w:color="auto"/>
        <w:bottom w:val="none" w:sz="0" w:space="0" w:color="auto"/>
        <w:right w:val="none" w:sz="0" w:space="0" w:color="auto"/>
      </w:divBdr>
    </w:div>
    <w:div w:id="589579102">
      <w:bodyDiv w:val="1"/>
      <w:marLeft w:val="0"/>
      <w:marRight w:val="0"/>
      <w:marTop w:val="0"/>
      <w:marBottom w:val="0"/>
      <w:divBdr>
        <w:top w:val="none" w:sz="0" w:space="0" w:color="auto"/>
        <w:left w:val="none" w:sz="0" w:space="0" w:color="auto"/>
        <w:bottom w:val="none" w:sz="0" w:space="0" w:color="auto"/>
        <w:right w:val="none" w:sz="0" w:space="0" w:color="auto"/>
      </w:divBdr>
    </w:div>
    <w:div w:id="599142207">
      <w:bodyDiv w:val="1"/>
      <w:marLeft w:val="0"/>
      <w:marRight w:val="0"/>
      <w:marTop w:val="0"/>
      <w:marBottom w:val="0"/>
      <w:divBdr>
        <w:top w:val="none" w:sz="0" w:space="0" w:color="auto"/>
        <w:left w:val="none" w:sz="0" w:space="0" w:color="auto"/>
        <w:bottom w:val="none" w:sz="0" w:space="0" w:color="auto"/>
        <w:right w:val="none" w:sz="0" w:space="0" w:color="auto"/>
      </w:divBdr>
    </w:div>
    <w:div w:id="601256913">
      <w:bodyDiv w:val="1"/>
      <w:marLeft w:val="0"/>
      <w:marRight w:val="0"/>
      <w:marTop w:val="0"/>
      <w:marBottom w:val="0"/>
      <w:divBdr>
        <w:top w:val="none" w:sz="0" w:space="0" w:color="auto"/>
        <w:left w:val="none" w:sz="0" w:space="0" w:color="auto"/>
        <w:bottom w:val="none" w:sz="0" w:space="0" w:color="auto"/>
        <w:right w:val="none" w:sz="0" w:space="0" w:color="auto"/>
      </w:divBdr>
    </w:div>
    <w:div w:id="625159589">
      <w:bodyDiv w:val="1"/>
      <w:marLeft w:val="0"/>
      <w:marRight w:val="0"/>
      <w:marTop w:val="0"/>
      <w:marBottom w:val="0"/>
      <w:divBdr>
        <w:top w:val="none" w:sz="0" w:space="0" w:color="auto"/>
        <w:left w:val="none" w:sz="0" w:space="0" w:color="auto"/>
        <w:bottom w:val="none" w:sz="0" w:space="0" w:color="auto"/>
        <w:right w:val="none" w:sz="0" w:space="0" w:color="auto"/>
      </w:divBdr>
    </w:div>
    <w:div w:id="642584735">
      <w:bodyDiv w:val="1"/>
      <w:marLeft w:val="0"/>
      <w:marRight w:val="0"/>
      <w:marTop w:val="0"/>
      <w:marBottom w:val="0"/>
      <w:divBdr>
        <w:top w:val="none" w:sz="0" w:space="0" w:color="auto"/>
        <w:left w:val="none" w:sz="0" w:space="0" w:color="auto"/>
        <w:bottom w:val="none" w:sz="0" w:space="0" w:color="auto"/>
        <w:right w:val="none" w:sz="0" w:space="0" w:color="auto"/>
      </w:divBdr>
    </w:div>
    <w:div w:id="720909749">
      <w:bodyDiv w:val="1"/>
      <w:marLeft w:val="0"/>
      <w:marRight w:val="0"/>
      <w:marTop w:val="0"/>
      <w:marBottom w:val="0"/>
      <w:divBdr>
        <w:top w:val="none" w:sz="0" w:space="0" w:color="auto"/>
        <w:left w:val="none" w:sz="0" w:space="0" w:color="auto"/>
        <w:bottom w:val="none" w:sz="0" w:space="0" w:color="auto"/>
        <w:right w:val="none" w:sz="0" w:space="0" w:color="auto"/>
      </w:divBdr>
    </w:div>
    <w:div w:id="754941418">
      <w:bodyDiv w:val="1"/>
      <w:marLeft w:val="0"/>
      <w:marRight w:val="0"/>
      <w:marTop w:val="0"/>
      <w:marBottom w:val="0"/>
      <w:divBdr>
        <w:top w:val="none" w:sz="0" w:space="0" w:color="auto"/>
        <w:left w:val="none" w:sz="0" w:space="0" w:color="auto"/>
        <w:bottom w:val="none" w:sz="0" w:space="0" w:color="auto"/>
        <w:right w:val="none" w:sz="0" w:space="0" w:color="auto"/>
      </w:divBdr>
    </w:div>
    <w:div w:id="770859703">
      <w:bodyDiv w:val="1"/>
      <w:marLeft w:val="0"/>
      <w:marRight w:val="0"/>
      <w:marTop w:val="0"/>
      <w:marBottom w:val="0"/>
      <w:divBdr>
        <w:top w:val="none" w:sz="0" w:space="0" w:color="auto"/>
        <w:left w:val="none" w:sz="0" w:space="0" w:color="auto"/>
        <w:bottom w:val="none" w:sz="0" w:space="0" w:color="auto"/>
        <w:right w:val="none" w:sz="0" w:space="0" w:color="auto"/>
      </w:divBdr>
    </w:div>
    <w:div w:id="871263046">
      <w:bodyDiv w:val="1"/>
      <w:marLeft w:val="0"/>
      <w:marRight w:val="0"/>
      <w:marTop w:val="0"/>
      <w:marBottom w:val="0"/>
      <w:divBdr>
        <w:top w:val="none" w:sz="0" w:space="0" w:color="auto"/>
        <w:left w:val="none" w:sz="0" w:space="0" w:color="auto"/>
        <w:bottom w:val="none" w:sz="0" w:space="0" w:color="auto"/>
        <w:right w:val="none" w:sz="0" w:space="0" w:color="auto"/>
      </w:divBdr>
    </w:div>
    <w:div w:id="875460430">
      <w:bodyDiv w:val="1"/>
      <w:marLeft w:val="0"/>
      <w:marRight w:val="0"/>
      <w:marTop w:val="0"/>
      <w:marBottom w:val="0"/>
      <w:divBdr>
        <w:top w:val="none" w:sz="0" w:space="0" w:color="auto"/>
        <w:left w:val="none" w:sz="0" w:space="0" w:color="auto"/>
        <w:bottom w:val="none" w:sz="0" w:space="0" w:color="auto"/>
        <w:right w:val="none" w:sz="0" w:space="0" w:color="auto"/>
      </w:divBdr>
    </w:div>
    <w:div w:id="886331777">
      <w:bodyDiv w:val="1"/>
      <w:marLeft w:val="0"/>
      <w:marRight w:val="0"/>
      <w:marTop w:val="0"/>
      <w:marBottom w:val="0"/>
      <w:divBdr>
        <w:top w:val="none" w:sz="0" w:space="0" w:color="auto"/>
        <w:left w:val="none" w:sz="0" w:space="0" w:color="auto"/>
        <w:bottom w:val="none" w:sz="0" w:space="0" w:color="auto"/>
        <w:right w:val="none" w:sz="0" w:space="0" w:color="auto"/>
      </w:divBdr>
    </w:div>
    <w:div w:id="919487728">
      <w:bodyDiv w:val="1"/>
      <w:marLeft w:val="0"/>
      <w:marRight w:val="0"/>
      <w:marTop w:val="0"/>
      <w:marBottom w:val="0"/>
      <w:divBdr>
        <w:top w:val="none" w:sz="0" w:space="0" w:color="auto"/>
        <w:left w:val="none" w:sz="0" w:space="0" w:color="auto"/>
        <w:bottom w:val="none" w:sz="0" w:space="0" w:color="auto"/>
        <w:right w:val="none" w:sz="0" w:space="0" w:color="auto"/>
      </w:divBdr>
    </w:div>
    <w:div w:id="922296269">
      <w:bodyDiv w:val="1"/>
      <w:marLeft w:val="0"/>
      <w:marRight w:val="0"/>
      <w:marTop w:val="0"/>
      <w:marBottom w:val="0"/>
      <w:divBdr>
        <w:top w:val="none" w:sz="0" w:space="0" w:color="auto"/>
        <w:left w:val="none" w:sz="0" w:space="0" w:color="auto"/>
        <w:bottom w:val="none" w:sz="0" w:space="0" w:color="auto"/>
        <w:right w:val="none" w:sz="0" w:space="0" w:color="auto"/>
      </w:divBdr>
    </w:div>
    <w:div w:id="948194938">
      <w:bodyDiv w:val="1"/>
      <w:marLeft w:val="0"/>
      <w:marRight w:val="0"/>
      <w:marTop w:val="0"/>
      <w:marBottom w:val="0"/>
      <w:divBdr>
        <w:top w:val="none" w:sz="0" w:space="0" w:color="auto"/>
        <w:left w:val="none" w:sz="0" w:space="0" w:color="auto"/>
        <w:bottom w:val="none" w:sz="0" w:space="0" w:color="auto"/>
        <w:right w:val="none" w:sz="0" w:space="0" w:color="auto"/>
      </w:divBdr>
    </w:div>
    <w:div w:id="982778362">
      <w:bodyDiv w:val="1"/>
      <w:marLeft w:val="0"/>
      <w:marRight w:val="0"/>
      <w:marTop w:val="0"/>
      <w:marBottom w:val="0"/>
      <w:divBdr>
        <w:top w:val="none" w:sz="0" w:space="0" w:color="auto"/>
        <w:left w:val="none" w:sz="0" w:space="0" w:color="auto"/>
        <w:bottom w:val="none" w:sz="0" w:space="0" w:color="auto"/>
        <w:right w:val="none" w:sz="0" w:space="0" w:color="auto"/>
      </w:divBdr>
      <w:divsChild>
        <w:div w:id="676611782">
          <w:marLeft w:val="0"/>
          <w:marRight w:val="0"/>
          <w:marTop w:val="0"/>
          <w:marBottom w:val="210"/>
          <w:divBdr>
            <w:top w:val="none" w:sz="0" w:space="0" w:color="auto"/>
            <w:left w:val="none" w:sz="0" w:space="0" w:color="auto"/>
            <w:bottom w:val="none" w:sz="0" w:space="0" w:color="auto"/>
            <w:right w:val="none" w:sz="0" w:space="0" w:color="auto"/>
          </w:divBdr>
        </w:div>
        <w:div w:id="805707046">
          <w:marLeft w:val="0"/>
          <w:marRight w:val="0"/>
          <w:marTop w:val="0"/>
          <w:marBottom w:val="210"/>
          <w:divBdr>
            <w:top w:val="none" w:sz="0" w:space="0" w:color="auto"/>
            <w:left w:val="none" w:sz="0" w:space="0" w:color="auto"/>
            <w:bottom w:val="none" w:sz="0" w:space="0" w:color="auto"/>
            <w:right w:val="none" w:sz="0" w:space="0" w:color="auto"/>
          </w:divBdr>
        </w:div>
        <w:div w:id="1207450279">
          <w:marLeft w:val="0"/>
          <w:marRight w:val="0"/>
          <w:marTop w:val="0"/>
          <w:marBottom w:val="210"/>
          <w:divBdr>
            <w:top w:val="none" w:sz="0" w:space="0" w:color="auto"/>
            <w:left w:val="none" w:sz="0" w:space="0" w:color="auto"/>
            <w:bottom w:val="none" w:sz="0" w:space="0" w:color="auto"/>
            <w:right w:val="none" w:sz="0" w:space="0" w:color="auto"/>
          </w:divBdr>
        </w:div>
      </w:divsChild>
    </w:div>
    <w:div w:id="986087305">
      <w:bodyDiv w:val="1"/>
      <w:marLeft w:val="0"/>
      <w:marRight w:val="0"/>
      <w:marTop w:val="0"/>
      <w:marBottom w:val="0"/>
      <w:divBdr>
        <w:top w:val="none" w:sz="0" w:space="0" w:color="auto"/>
        <w:left w:val="none" w:sz="0" w:space="0" w:color="auto"/>
        <w:bottom w:val="none" w:sz="0" w:space="0" w:color="auto"/>
        <w:right w:val="none" w:sz="0" w:space="0" w:color="auto"/>
      </w:divBdr>
      <w:divsChild>
        <w:div w:id="185751529">
          <w:marLeft w:val="0"/>
          <w:marRight w:val="0"/>
          <w:marTop w:val="75"/>
          <w:marBottom w:val="225"/>
          <w:divBdr>
            <w:top w:val="none" w:sz="0" w:space="0" w:color="auto"/>
            <w:left w:val="none" w:sz="0" w:space="0" w:color="auto"/>
            <w:bottom w:val="none" w:sz="0" w:space="0" w:color="auto"/>
            <w:right w:val="none" w:sz="0" w:space="0" w:color="auto"/>
          </w:divBdr>
        </w:div>
        <w:div w:id="751465934">
          <w:marLeft w:val="0"/>
          <w:marRight w:val="0"/>
          <w:marTop w:val="75"/>
          <w:marBottom w:val="75"/>
          <w:divBdr>
            <w:top w:val="none" w:sz="0" w:space="0" w:color="auto"/>
            <w:left w:val="none" w:sz="0" w:space="0" w:color="auto"/>
            <w:bottom w:val="none" w:sz="0" w:space="0" w:color="auto"/>
            <w:right w:val="none" w:sz="0" w:space="0" w:color="auto"/>
          </w:divBdr>
        </w:div>
      </w:divsChild>
    </w:div>
    <w:div w:id="990327768">
      <w:bodyDiv w:val="1"/>
      <w:marLeft w:val="0"/>
      <w:marRight w:val="0"/>
      <w:marTop w:val="0"/>
      <w:marBottom w:val="0"/>
      <w:divBdr>
        <w:top w:val="none" w:sz="0" w:space="0" w:color="auto"/>
        <w:left w:val="none" w:sz="0" w:space="0" w:color="auto"/>
        <w:bottom w:val="none" w:sz="0" w:space="0" w:color="auto"/>
        <w:right w:val="none" w:sz="0" w:space="0" w:color="auto"/>
      </w:divBdr>
    </w:div>
    <w:div w:id="1003824234">
      <w:bodyDiv w:val="1"/>
      <w:marLeft w:val="0"/>
      <w:marRight w:val="0"/>
      <w:marTop w:val="0"/>
      <w:marBottom w:val="0"/>
      <w:divBdr>
        <w:top w:val="none" w:sz="0" w:space="0" w:color="auto"/>
        <w:left w:val="none" w:sz="0" w:space="0" w:color="auto"/>
        <w:bottom w:val="none" w:sz="0" w:space="0" w:color="auto"/>
        <w:right w:val="none" w:sz="0" w:space="0" w:color="auto"/>
      </w:divBdr>
    </w:div>
    <w:div w:id="1012027449">
      <w:bodyDiv w:val="1"/>
      <w:marLeft w:val="0"/>
      <w:marRight w:val="0"/>
      <w:marTop w:val="0"/>
      <w:marBottom w:val="0"/>
      <w:divBdr>
        <w:top w:val="none" w:sz="0" w:space="0" w:color="auto"/>
        <w:left w:val="none" w:sz="0" w:space="0" w:color="auto"/>
        <w:bottom w:val="none" w:sz="0" w:space="0" w:color="auto"/>
        <w:right w:val="none" w:sz="0" w:space="0" w:color="auto"/>
      </w:divBdr>
      <w:divsChild>
        <w:div w:id="94712170">
          <w:marLeft w:val="0"/>
          <w:marRight w:val="0"/>
          <w:marTop w:val="0"/>
          <w:marBottom w:val="150"/>
          <w:divBdr>
            <w:top w:val="none" w:sz="0" w:space="0" w:color="auto"/>
            <w:left w:val="none" w:sz="0" w:space="0" w:color="auto"/>
            <w:bottom w:val="none" w:sz="0" w:space="0" w:color="auto"/>
            <w:right w:val="none" w:sz="0" w:space="0" w:color="auto"/>
          </w:divBdr>
        </w:div>
        <w:div w:id="1955480511">
          <w:marLeft w:val="0"/>
          <w:marRight w:val="0"/>
          <w:marTop w:val="0"/>
          <w:marBottom w:val="150"/>
          <w:divBdr>
            <w:top w:val="none" w:sz="0" w:space="0" w:color="auto"/>
            <w:left w:val="none" w:sz="0" w:space="0" w:color="auto"/>
            <w:bottom w:val="none" w:sz="0" w:space="0" w:color="auto"/>
            <w:right w:val="none" w:sz="0" w:space="0" w:color="auto"/>
          </w:divBdr>
        </w:div>
      </w:divsChild>
    </w:div>
    <w:div w:id="1076242646">
      <w:bodyDiv w:val="1"/>
      <w:marLeft w:val="0"/>
      <w:marRight w:val="0"/>
      <w:marTop w:val="0"/>
      <w:marBottom w:val="0"/>
      <w:divBdr>
        <w:top w:val="none" w:sz="0" w:space="0" w:color="auto"/>
        <w:left w:val="none" w:sz="0" w:space="0" w:color="auto"/>
        <w:bottom w:val="none" w:sz="0" w:space="0" w:color="auto"/>
        <w:right w:val="none" w:sz="0" w:space="0" w:color="auto"/>
      </w:divBdr>
    </w:div>
    <w:div w:id="1089742121">
      <w:bodyDiv w:val="1"/>
      <w:marLeft w:val="0"/>
      <w:marRight w:val="0"/>
      <w:marTop w:val="0"/>
      <w:marBottom w:val="0"/>
      <w:divBdr>
        <w:top w:val="none" w:sz="0" w:space="0" w:color="auto"/>
        <w:left w:val="none" w:sz="0" w:space="0" w:color="auto"/>
        <w:bottom w:val="none" w:sz="0" w:space="0" w:color="auto"/>
        <w:right w:val="none" w:sz="0" w:space="0" w:color="auto"/>
      </w:divBdr>
    </w:div>
    <w:div w:id="1104957471">
      <w:bodyDiv w:val="1"/>
      <w:marLeft w:val="0"/>
      <w:marRight w:val="0"/>
      <w:marTop w:val="0"/>
      <w:marBottom w:val="0"/>
      <w:divBdr>
        <w:top w:val="none" w:sz="0" w:space="0" w:color="auto"/>
        <w:left w:val="none" w:sz="0" w:space="0" w:color="auto"/>
        <w:bottom w:val="none" w:sz="0" w:space="0" w:color="auto"/>
        <w:right w:val="none" w:sz="0" w:space="0" w:color="auto"/>
      </w:divBdr>
      <w:divsChild>
        <w:div w:id="362757015">
          <w:marLeft w:val="0"/>
          <w:marRight w:val="0"/>
          <w:marTop w:val="0"/>
          <w:marBottom w:val="150"/>
          <w:divBdr>
            <w:top w:val="none" w:sz="0" w:space="0" w:color="auto"/>
            <w:left w:val="none" w:sz="0" w:space="0" w:color="auto"/>
            <w:bottom w:val="none" w:sz="0" w:space="0" w:color="auto"/>
            <w:right w:val="none" w:sz="0" w:space="0" w:color="auto"/>
          </w:divBdr>
        </w:div>
        <w:div w:id="843126751">
          <w:marLeft w:val="0"/>
          <w:marRight w:val="0"/>
          <w:marTop w:val="0"/>
          <w:marBottom w:val="150"/>
          <w:divBdr>
            <w:top w:val="none" w:sz="0" w:space="0" w:color="auto"/>
            <w:left w:val="none" w:sz="0" w:space="0" w:color="auto"/>
            <w:bottom w:val="none" w:sz="0" w:space="0" w:color="auto"/>
            <w:right w:val="none" w:sz="0" w:space="0" w:color="auto"/>
          </w:divBdr>
        </w:div>
      </w:divsChild>
    </w:div>
    <w:div w:id="1105730462">
      <w:bodyDiv w:val="1"/>
      <w:marLeft w:val="0"/>
      <w:marRight w:val="0"/>
      <w:marTop w:val="0"/>
      <w:marBottom w:val="0"/>
      <w:divBdr>
        <w:top w:val="none" w:sz="0" w:space="0" w:color="auto"/>
        <w:left w:val="none" w:sz="0" w:space="0" w:color="auto"/>
        <w:bottom w:val="none" w:sz="0" w:space="0" w:color="auto"/>
        <w:right w:val="none" w:sz="0" w:space="0" w:color="auto"/>
      </w:divBdr>
    </w:div>
    <w:div w:id="1111977471">
      <w:bodyDiv w:val="1"/>
      <w:marLeft w:val="0"/>
      <w:marRight w:val="0"/>
      <w:marTop w:val="0"/>
      <w:marBottom w:val="0"/>
      <w:divBdr>
        <w:top w:val="none" w:sz="0" w:space="0" w:color="auto"/>
        <w:left w:val="none" w:sz="0" w:space="0" w:color="auto"/>
        <w:bottom w:val="none" w:sz="0" w:space="0" w:color="auto"/>
        <w:right w:val="none" w:sz="0" w:space="0" w:color="auto"/>
      </w:divBdr>
    </w:div>
    <w:div w:id="1127624638">
      <w:bodyDiv w:val="1"/>
      <w:marLeft w:val="0"/>
      <w:marRight w:val="0"/>
      <w:marTop w:val="0"/>
      <w:marBottom w:val="0"/>
      <w:divBdr>
        <w:top w:val="none" w:sz="0" w:space="0" w:color="auto"/>
        <w:left w:val="none" w:sz="0" w:space="0" w:color="auto"/>
        <w:bottom w:val="none" w:sz="0" w:space="0" w:color="auto"/>
        <w:right w:val="none" w:sz="0" w:space="0" w:color="auto"/>
      </w:divBdr>
    </w:div>
    <w:div w:id="1155343312">
      <w:bodyDiv w:val="1"/>
      <w:marLeft w:val="0"/>
      <w:marRight w:val="0"/>
      <w:marTop w:val="0"/>
      <w:marBottom w:val="0"/>
      <w:divBdr>
        <w:top w:val="none" w:sz="0" w:space="0" w:color="auto"/>
        <w:left w:val="none" w:sz="0" w:space="0" w:color="auto"/>
        <w:bottom w:val="none" w:sz="0" w:space="0" w:color="auto"/>
        <w:right w:val="none" w:sz="0" w:space="0" w:color="auto"/>
      </w:divBdr>
    </w:div>
    <w:div w:id="1169979268">
      <w:bodyDiv w:val="1"/>
      <w:marLeft w:val="0"/>
      <w:marRight w:val="0"/>
      <w:marTop w:val="0"/>
      <w:marBottom w:val="0"/>
      <w:divBdr>
        <w:top w:val="none" w:sz="0" w:space="0" w:color="auto"/>
        <w:left w:val="none" w:sz="0" w:space="0" w:color="auto"/>
        <w:bottom w:val="none" w:sz="0" w:space="0" w:color="auto"/>
        <w:right w:val="none" w:sz="0" w:space="0" w:color="auto"/>
      </w:divBdr>
    </w:div>
    <w:div w:id="1218905054">
      <w:bodyDiv w:val="1"/>
      <w:marLeft w:val="0"/>
      <w:marRight w:val="0"/>
      <w:marTop w:val="0"/>
      <w:marBottom w:val="0"/>
      <w:divBdr>
        <w:top w:val="none" w:sz="0" w:space="0" w:color="auto"/>
        <w:left w:val="none" w:sz="0" w:space="0" w:color="auto"/>
        <w:bottom w:val="none" w:sz="0" w:space="0" w:color="auto"/>
        <w:right w:val="none" w:sz="0" w:space="0" w:color="auto"/>
      </w:divBdr>
    </w:div>
    <w:div w:id="1226722209">
      <w:bodyDiv w:val="1"/>
      <w:marLeft w:val="0"/>
      <w:marRight w:val="0"/>
      <w:marTop w:val="0"/>
      <w:marBottom w:val="0"/>
      <w:divBdr>
        <w:top w:val="none" w:sz="0" w:space="0" w:color="auto"/>
        <w:left w:val="none" w:sz="0" w:space="0" w:color="auto"/>
        <w:bottom w:val="none" w:sz="0" w:space="0" w:color="auto"/>
        <w:right w:val="none" w:sz="0" w:space="0" w:color="auto"/>
      </w:divBdr>
    </w:div>
    <w:div w:id="1233541336">
      <w:bodyDiv w:val="1"/>
      <w:marLeft w:val="0"/>
      <w:marRight w:val="0"/>
      <w:marTop w:val="0"/>
      <w:marBottom w:val="0"/>
      <w:divBdr>
        <w:top w:val="none" w:sz="0" w:space="0" w:color="auto"/>
        <w:left w:val="none" w:sz="0" w:space="0" w:color="auto"/>
        <w:bottom w:val="none" w:sz="0" w:space="0" w:color="auto"/>
        <w:right w:val="none" w:sz="0" w:space="0" w:color="auto"/>
      </w:divBdr>
      <w:divsChild>
        <w:div w:id="42338744">
          <w:marLeft w:val="0"/>
          <w:marRight w:val="0"/>
          <w:marTop w:val="0"/>
          <w:marBottom w:val="150"/>
          <w:divBdr>
            <w:top w:val="none" w:sz="0" w:space="0" w:color="auto"/>
            <w:left w:val="none" w:sz="0" w:space="0" w:color="auto"/>
            <w:bottom w:val="none" w:sz="0" w:space="0" w:color="auto"/>
            <w:right w:val="none" w:sz="0" w:space="0" w:color="auto"/>
          </w:divBdr>
        </w:div>
        <w:div w:id="1351757042">
          <w:marLeft w:val="0"/>
          <w:marRight w:val="0"/>
          <w:marTop w:val="0"/>
          <w:marBottom w:val="150"/>
          <w:divBdr>
            <w:top w:val="none" w:sz="0" w:space="0" w:color="auto"/>
            <w:left w:val="none" w:sz="0" w:space="0" w:color="auto"/>
            <w:bottom w:val="none" w:sz="0" w:space="0" w:color="auto"/>
            <w:right w:val="none" w:sz="0" w:space="0" w:color="auto"/>
          </w:divBdr>
        </w:div>
      </w:divsChild>
    </w:div>
    <w:div w:id="1238173735">
      <w:bodyDiv w:val="1"/>
      <w:marLeft w:val="0"/>
      <w:marRight w:val="0"/>
      <w:marTop w:val="0"/>
      <w:marBottom w:val="0"/>
      <w:divBdr>
        <w:top w:val="none" w:sz="0" w:space="0" w:color="auto"/>
        <w:left w:val="none" w:sz="0" w:space="0" w:color="auto"/>
        <w:bottom w:val="none" w:sz="0" w:space="0" w:color="auto"/>
        <w:right w:val="none" w:sz="0" w:space="0" w:color="auto"/>
      </w:divBdr>
    </w:div>
    <w:div w:id="1259414140">
      <w:bodyDiv w:val="1"/>
      <w:marLeft w:val="0"/>
      <w:marRight w:val="0"/>
      <w:marTop w:val="0"/>
      <w:marBottom w:val="0"/>
      <w:divBdr>
        <w:top w:val="none" w:sz="0" w:space="0" w:color="auto"/>
        <w:left w:val="none" w:sz="0" w:space="0" w:color="auto"/>
        <w:bottom w:val="none" w:sz="0" w:space="0" w:color="auto"/>
        <w:right w:val="none" w:sz="0" w:space="0" w:color="auto"/>
      </w:divBdr>
    </w:div>
    <w:div w:id="1281301325">
      <w:bodyDiv w:val="1"/>
      <w:marLeft w:val="0"/>
      <w:marRight w:val="0"/>
      <w:marTop w:val="0"/>
      <w:marBottom w:val="0"/>
      <w:divBdr>
        <w:top w:val="none" w:sz="0" w:space="0" w:color="auto"/>
        <w:left w:val="none" w:sz="0" w:space="0" w:color="auto"/>
        <w:bottom w:val="none" w:sz="0" w:space="0" w:color="auto"/>
        <w:right w:val="none" w:sz="0" w:space="0" w:color="auto"/>
      </w:divBdr>
      <w:divsChild>
        <w:div w:id="1879319867">
          <w:marLeft w:val="0"/>
          <w:marRight w:val="0"/>
          <w:marTop w:val="0"/>
          <w:marBottom w:val="0"/>
          <w:divBdr>
            <w:top w:val="none" w:sz="0" w:space="0" w:color="auto"/>
            <w:left w:val="none" w:sz="0" w:space="0" w:color="auto"/>
            <w:bottom w:val="none" w:sz="0" w:space="0" w:color="auto"/>
            <w:right w:val="none" w:sz="0" w:space="0" w:color="auto"/>
          </w:divBdr>
        </w:div>
      </w:divsChild>
    </w:div>
    <w:div w:id="1281302524">
      <w:bodyDiv w:val="1"/>
      <w:marLeft w:val="0"/>
      <w:marRight w:val="0"/>
      <w:marTop w:val="0"/>
      <w:marBottom w:val="0"/>
      <w:divBdr>
        <w:top w:val="none" w:sz="0" w:space="0" w:color="auto"/>
        <w:left w:val="none" w:sz="0" w:space="0" w:color="auto"/>
        <w:bottom w:val="none" w:sz="0" w:space="0" w:color="auto"/>
        <w:right w:val="none" w:sz="0" w:space="0" w:color="auto"/>
      </w:divBdr>
    </w:div>
    <w:div w:id="1309869885">
      <w:bodyDiv w:val="1"/>
      <w:marLeft w:val="0"/>
      <w:marRight w:val="0"/>
      <w:marTop w:val="0"/>
      <w:marBottom w:val="0"/>
      <w:divBdr>
        <w:top w:val="none" w:sz="0" w:space="0" w:color="auto"/>
        <w:left w:val="none" w:sz="0" w:space="0" w:color="auto"/>
        <w:bottom w:val="none" w:sz="0" w:space="0" w:color="auto"/>
        <w:right w:val="none" w:sz="0" w:space="0" w:color="auto"/>
      </w:divBdr>
    </w:div>
    <w:div w:id="1321539046">
      <w:bodyDiv w:val="1"/>
      <w:marLeft w:val="0"/>
      <w:marRight w:val="0"/>
      <w:marTop w:val="0"/>
      <w:marBottom w:val="0"/>
      <w:divBdr>
        <w:top w:val="none" w:sz="0" w:space="0" w:color="auto"/>
        <w:left w:val="none" w:sz="0" w:space="0" w:color="auto"/>
        <w:bottom w:val="none" w:sz="0" w:space="0" w:color="auto"/>
        <w:right w:val="none" w:sz="0" w:space="0" w:color="auto"/>
      </w:divBdr>
      <w:divsChild>
        <w:div w:id="969017410">
          <w:marLeft w:val="0"/>
          <w:marRight w:val="0"/>
          <w:marTop w:val="0"/>
          <w:marBottom w:val="150"/>
          <w:divBdr>
            <w:top w:val="none" w:sz="0" w:space="0" w:color="auto"/>
            <w:left w:val="none" w:sz="0" w:space="0" w:color="auto"/>
            <w:bottom w:val="none" w:sz="0" w:space="0" w:color="auto"/>
            <w:right w:val="none" w:sz="0" w:space="0" w:color="auto"/>
          </w:divBdr>
        </w:div>
        <w:div w:id="2121759734">
          <w:marLeft w:val="0"/>
          <w:marRight w:val="0"/>
          <w:marTop w:val="0"/>
          <w:marBottom w:val="150"/>
          <w:divBdr>
            <w:top w:val="none" w:sz="0" w:space="0" w:color="auto"/>
            <w:left w:val="none" w:sz="0" w:space="0" w:color="auto"/>
            <w:bottom w:val="none" w:sz="0" w:space="0" w:color="auto"/>
            <w:right w:val="none" w:sz="0" w:space="0" w:color="auto"/>
          </w:divBdr>
        </w:div>
      </w:divsChild>
    </w:div>
    <w:div w:id="1406562115">
      <w:bodyDiv w:val="1"/>
      <w:marLeft w:val="0"/>
      <w:marRight w:val="0"/>
      <w:marTop w:val="0"/>
      <w:marBottom w:val="0"/>
      <w:divBdr>
        <w:top w:val="none" w:sz="0" w:space="0" w:color="auto"/>
        <w:left w:val="none" w:sz="0" w:space="0" w:color="auto"/>
        <w:bottom w:val="none" w:sz="0" w:space="0" w:color="auto"/>
        <w:right w:val="none" w:sz="0" w:space="0" w:color="auto"/>
      </w:divBdr>
    </w:div>
    <w:div w:id="1408459067">
      <w:bodyDiv w:val="1"/>
      <w:marLeft w:val="0"/>
      <w:marRight w:val="0"/>
      <w:marTop w:val="0"/>
      <w:marBottom w:val="0"/>
      <w:divBdr>
        <w:top w:val="none" w:sz="0" w:space="0" w:color="auto"/>
        <w:left w:val="none" w:sz="0" w:space="0" w:color="auto"/>
        <w:bottom w:val="none" w:sz="0" w:space="0" w:color="auto"/>
        <w:right w:val="none" w:sz="0" w:space="0" w:color="auto"/>
      </w:divBdr>
    </w:div>
    <w:div w:id="1415055054">
      <w:bodyDiv w:val="1"/>
      <w:marLeft w:val="0"/>
      <w:marRight w:val="0"/>
      <w:marTop w:val="0"/>
      <w:marBottom w:val="0"/>
      <w:divBdr>
        <w:top w:val="none" w:sz="0" w:space="0" w:color="auto"/>
        <w:left w:val="none" w:sz="0" w:space="0" w:color="auto"/>
        <w:bottom w:val="none" w:sz="0" w:space="0" w:color="auto"/>
        <w:right w:val="none" w:sz="0" w:space="0" w:color="auto"/>
      </w:divBdr>
    </w:div>
    <w:div w:id="1428115145">
      <w:bodyDiv w:val="1"/>
      <w:marLeft w:val="0"/>
      <w:marRight w:val="0"/>
      <w:marTop w:val="0"/>
      <w:marBottom w:val="0"/>
      <w:divBdr>
        <w:top w:val="none" w:sz="0" w:space="0" w:color="auto"/>
        <w:left w:val="none" w:sz="0" w:space="0" w:color="auto"/>
        <w:bottom w:val="none" w:sz="0" w:space="0" w:color="auto"/>
        <w:right w:val="none" w:sz="0" w:space="0" w:color="auto"/>
      </w:divBdr>
    </w:div>
    <w:div w:id="1433623302">
      <w:bodyDiv w:val="1"/>
      <w:marLeft w:val="0"/>
      <w:marRight w:val="0"/>
      <w:marTop w:val="0"/>
      <w:marBottom w:val="0"/>
      <w:divBdr>
        <w:top w:val="none" w:sz="0" w:space="0" w:color="auto"/>
        <w:left w:val="none" w:sz="0" w:space="0" w:color="auto"/>
        <w:bottom w:val="none" w:sz="0" w:space="0" w:color="auto"/>
        <w:right w:val="none" w:sz="0" w:space="0" w:color="auto"/>
      </w:divBdr>
    </w:div>
    <w:div w:id="1435783463">
      <w:bodyDiv w:val="1"/>
      <w:marLeft w:val="0"/>
      <w:marRight w:val="0"/>
      <w:marTop w:val="0"/>
      <w:marBottom w:val="0"/>
      <w:divBdr>
        <w:top w:val="none" w:sz="0" w:space="0" w:color="auto"/>
        <w:left w:val="none" w:sz="0" w:space="0" w:color="auto"/>
        <w:bottom w:val="none" w:sz="0" w:space="0" w:color="auto"/>
        <w:right w:val="none" w:sz="0" w:space="0" w:color="auto"/>
      </w:divBdr>
    </w:div>
    <w:div w:id="1462117970">
      <w:bodyDiv w:val="1"/>
      <w:marLeft w:val="0"/>
      <w:marRight w:val="0"/>
      <w:marTop w:val="0"/>
      <w:marBottom w:val="0"/>
      <w:divBdr>
        <w:top w:val="none" w:sz="0" w:space="0" w:color="auto"/>
        <w:left w:val="none" w:sz="0" w:space="0" w:color="auto"/>
        <w:bottom w:val="none" w:sz="0" w:space="0" w:color="auto"/>
        <w:right w:val="none" w:sz="0" w:space="0" w:color="auto"/>
      </w:divBdr>
    </w:div>
    <w:div w:id="1532642496">
      <w:bodyDiv w:val="1"/>
      <w:marLeft w:val="0"/>
      <w:marRight w:val="0"/>
      <w:marTop w:val="0"/>
      <w:marBottom w:val="0"/>
      <w:divBdr>
        <w:top w:val="none" w:sz="0" w:space="0" w:color="auto"/>
        <w:left w:val="none" w:sz="0" w:space="0" w:color="auto"/>
        <w:bottom w:val="none" w:sz="0" w:space="0" w:color="auto"/>
        <w:right w:val="none" w:sz="0" w:space="0" w:color="auto"/>
      </w:divBdr>
    </w:div>
    <w:div w:id="1558131726">
      <w:bodyDiv w:val="1"/>
      <w:marLeft w:val="0"/>
      <w:marRight w:val="0"/>
      <w:marTop w:val="0"/>
      <w:marBottom w:val="0"/>
      <w:divBdr>
        <w:top w:val="none" w:sz="0" w:space="0" w:color="auto"/>
        <w:left w:val="none" w:sz="0" w:space="0" w:color="auto"/>
        <w:bottom w:val="none" w:sz="0" w:space="0" w:color="auto"/>
        <w:right w:val="none" w:sz="0" w:space="0" w:color="auto"/>
      </w:divBdr>
    </w:div>
    <w:div w:id="1562248215">
      <w:bodyDiv w:val="1"/>
      <w:marLeft w:val="0"/>
      <w:marRight w:val="0"/>
      <w:marTop w:val="0"/>
      <w:marBottom w:val="0"/>
      <w:divBdr>
        <w:top w:val="none" w:sz="0" w:space="0" w:color="auto"/>
        <w:left w:val="none" w:sz="0" w:space="0" w:color="auto"/>
        <w:bottom w:val="none" w:sz="0" w:space="0" w:color="auto"/>
        <w:right w:val="none" w:sz="0" w:space="0" w:color="auto"/>
      </w:divBdr>
    </w:div>
    <w:div w:id="1578662953">
      <w:bodyDiv w:val="1"/>
      <w:marLeft w:val="0"/>
      <w:marRight w:val="0"/>
      <w:marTop w:val="0"/>
      <w:marBottom w:val="0"/>
      <w:divBdr>
        <w:top w:val="none" w:sz="0" w:space="0" w:color="auto"/>
        <w:left w:val="none" w:sz="0" w:space="0" w:color="auto"/>
        <w:bottom w:val="none" w:sz="0" w:space="0" w:color="auto"/>
        <w:right w:val="none" w:sz="0" w:space="0" w:color="auto"/>
      </w:divBdr>
    </w:div>
    <w:div w:id="1593704839">
      <w:bodyDiv w:val="1"/>
      <w:marLeft w:val="0"/>
      <w:marRight w:val="0"/>
      <w:marTop w:val="0"/>
      <w:marBottom w:val="0"/>
      <w:divBdr>
        <w:top w:val="none" w:sz="0" w:space="0" w:color="auto"/>
        <w:left w:val="none" w:sz="0" w:space="0" w:color="auto"/>
        <w:bottom w:val="none" w:sz="0" w:space="0" w:color="auto"/>
        <w:right w:val="none" w:sz="0" w:space="0" w:color="auto"/>
      </w:divBdr>
    </w:div>
    <w:div w:id="1676111689">
      <w:bodyDiv w:val="1"/>
      <w:marLeft w:val="0"/>
      <w:marRight w:val="0"/>
      <w:marTop w:val="0"/>
      <w:marBottom w:val="0"/>
      <w:divBdr>
        <w:top w:val="none" w:sz="0" w:space="0" w:color="auto"/>
        <w:left w:val="none" w:sz="0" w:space="0" w:color="auto"/>
        <w:bottom w:val="none" w:sz="0" w:space="0" w:color="auto"/>
        <w:right w:val="none" w:sz="0" w:space="0" w:color="auto"/>
      </w:divBdr>
    </w:div>
    <w:div w:id="1686595240">
      <w:bodyDiv w:val="1"/>
      <w:marLeft w:val="0"/>
      <w:marRight w:val="0"/>
      <w:marTop w:val="0"/>
      <w:marBottom w:val="0"/>
      <w:divBdr>
        <w:top w:val="none" w:sz="0" w:space="0" w:color="auto"/>
        <w:left w:val="none" w:sz="0" w:space="0" w:color="auto"/>
        <w:bottom w:val="none" w:sz="0" w:space="0" w:color="auto"/>
        <w:right w:val="none" w:sz="0" w:space="0" w:color="auto"/>
      </w:divBdr>
    </w:div>
    <w:div w:id="1690374350">
      <w:bodyDiv w:val="1"/>
      <w:marLeft w:val="0"/>
      <w:marRight w:val="0"/>
      <w:marTop w:val="0"/>
      <w:marBottom w:val="0"/>
      <w:divBdr>
        <w:top w:val="none" w:sz="0" w:space="0" w:color="auto"/>
        <w:left w:val="none" w:sz="0" w:space="0" w:color="auto"/>
        <w:bottom w:val="none" w:sz="0" w:space="0" w:color="auto"/>
        <w:right w:val="none" w:sz="0" w:space="0" w:color="auto"/>
      </w:divBdr>
    </w:div>
    <w:div w:id="1957171809">
      <w:bodyDiv w:val="1"/>
      <w:marLeft w:val="0"/>
      <w:marRight w:val="0"/>
      <w:marTop w:val="0"/>
      <w:marBottom w:val="0"/>
      <w:divBdr>
        <w:top w:val="none" w:sz="0" w:space="0" w:color="auto"/>
        <w:left w:val="none" w:sz="0" w:space="0" w:color="auto"/>
        <w:bottom w:val="none" w:sz="0" w:space="0" w:color="auto"/>
        <w:right w:val="none" w:sz="0" w:space="0" w:color="auto"/>
      </w:divBdr>
    </w:div>
    <w:div w:id="1966697167">
      <w:bodyDiv w:val="1"/>
      <w:marLeft w:val="0"/>
      <w:marRight w:val="0"/>
      <w:marTop w:val="0"/>
      <w:marBottom w:val="0"/>
      <w:divBdr>
        <w:top w:val="none" w:sz="0" w:space="0" w:color="auto"/>
        <w:left w:val="none" w:sz="0" w:space="0" w:color="auto"/>
        <w:bottom w:val="none" w:sz="0" w:space="0" w:color="auto"/>
        <w:right w:val="none" w:sz="0" w:space="0" w:color="auto"/>
      </w:divBdr>
    </w:div>
    <w:div w:id="1995135284">
      <w:bodyDiv w:val="1"/>
      <w:marLeft w:val="0"/>
      <w:marRight w:val="0"/>
      <w:marTop w:val="0"/>
      <w:marBottom w:val="0"/>
      <w:divBdr>
        <w:top w:val="none" w:sz="0" w:space="0" w:color="auto"/>
        <w:left w:val="none" w:sz="0" w:space="0" w:color="auto"/>
        <w:bottom w:val="none" w:sz="0" w:space="0" w:color="auto"/>
        <w:right w:val="none" w:sz="0" w:space="0" w:color="auto"/>
      </w:divBdr>
    </w:div>
    <w:div w:id="2004157455">
      <w:bodyDiv w:val="1"/>
      <w:marLeft w:val="0"/>
      <w:marRight w:val="0"/>
      <w:marTop w:val="0"/>
      <w:marBottom w:val="0"/>
      <w:divBdr>
        <w:top w:val="none" w:sz="0" w:space="0" w:color="auto"/>
        <w:left w:val="none" w:sz="0" w:space="0" w:color="auto"/>
        <w:bottom w:val="none" w:sz="0" w:space="0" w:color="auto"/>
        <w:right w:val="none" w:sz="0" w:space="0" w:color="auto"/>
      </w:divBdr>
    </w:div>
    <w:div w:id="2016878801">
      <w:bodyDiv w:val="1"/>
      <w:marLeft w:val="0"/>
      <w:marRight w:val="0"/>
      <w:marTop w:val="0"/>
      <w:marBottom w:val="0"/>
      <w:divBdr>
        <w:top w:val="none" w:sz="0" w:space="0" w:color="auto"/>
        <w:left w:val="none" w:sz="0" w:space="0" w:color="auto"/>
        <w:bottom w:val="none" w:sz="0" w:space="0" w:color="auto"/>
        <w:right w:val="none" w:sz="0" w:space="0" w:color="auto"/>
      </w:divBdr>
    </w:div>
    <w:div w:id="2038578029">
      <w:bodyDiv w:val="1"/>
      <w:marLeft w:val="0"/>
      <w:marRight w:val="0"/>
      <w:marTop w:val="0"/>
      <w:marBottom w:val="0"/>
      <w:divBdr>
        <w:top w:val="none" w:sz="0" w:space="0" w:color="auto"/>
        <w:left w:val="none" w:sz="0" w:space="0" w:color="auto"/>
        <w:bottom w:val="none" w:sz="0" w:space="0" w:color="auto"/>
        <w:right w:val="none" w:sz="0" w:space="0" w:color="auto"/>
      </w:divBdr>
    </w:div>
    <w:div w:id="2058122113">
      <w:bodyDiv w:val="1"/>
      <w:marLeft w:val="0"/>
      <w:marRight w:val="0"/>
      <w:marTop w:val="0"/>
      <w:marBottom w:val="0"/>
      <w:divBdr>
        <w:top w:val="none" w:sz="0" w:space="0" w:color="auto"/>
        <w:left w:val="none" w:sz="0" w:space="0" w:color="auto"/>
        <w:bottom w:val="none" w:sz="0" w:space="0" w:color="auto"/>
        <w:right w:val="none" w:sz="0" w:space="0" w:color="auto"/>
      </w:divBdr>
    </w:div>
    <w:div w:id="2076080054">
      <w:bodyDiv w:val="1"/>
      <w:marLeft w:val="0"/>
      <w:marRight w:val="0"/>
      <w:marTop w:val="0"/>
      <w:marBottom w:val="0"/>
      <w:divBdr>
        <w:top w:val="none" w:sz="0" w:space="0" w:color="auto"/>
        <w:left w:val="none" w:sz="0" w:space="0" w:color="auto"/>
        <w:bottom w:val="none" w:sz="0" w:space="0" w:color="auto"/>
        <w:right w:val="none" w:sz="0" w:space="0" w:color="auto"/>
      </w:divBdr>
    </w:div>
    <w:div w:id="2081563270">
      <w:bodyDiv w:val="1"/>
      <w:marLeft w:val="0"/>
      <w:marRight w:val="0"/>
      <w:marTop w:val="0"/>
      <w:marBottom w:val="0"/>
      <w:divBdr>
        <w:top w:val="none" w:sz="0" w:space="0" w:color="auto"/>
        <w:left w:val="none" w:sz="0" w:space="0" w:color="auto"/>
        <w:bottom w:val="none" w:sz="0" w:space="0" w:color="auto"/>
        <w:right w:val="none" w:sz="0" w:space="0" w:color="auto"/>
      </w:divBdr>
    </w:div>
    <w:div w:id="2087679097">
      <w:bodyDiv w:val="1"/>
      <w:marLeft w:val="0"/>
      <w:marRight w:val="0"/>
      <w:marTop w:val="0"/>
      <w:marBottom w:val="0"/>
      <w:divBdr>
        <w:top w:val="none" w:sz="0" w:space="0" w:color="auto"/>
        <w:left w:val="none" w:sz="0" w:space="0" w:color="auto"/>
        <w:bottom w:val="none" w:sz="0" w:space="0" w:color="auto"/>
        <w:right w:val="none" w:sz="0" w:space="0" w:color="auto"/>
      </w:divBdr>
      <w:divsChild>
        <w:div w:id="1618758744">
          <w:marLeft w:val="0"/>
          <w:marRight w:val="0"/>
          <w:marTop w:val="0"/>
          <w:marBottom w:val="150"/>
          <w:divBdr>
            <w:top w:val="none" w:sz="0" w:space="0" w:color="auto"/>
            <w:left w:val="none" w:sz="0" w:space="0" w:color="auto"/>
            <w:bottom w:val="none" w:sz="0" w:space="0" w:color="auto"/>
            <w:right w:val="none" w:sz="0" w:space="0" w:color="auto"/>
          </w:divBdr>
        </w:div>
        <w:div w:id="1634751897">
          <w:marLeft w:val="0"/>
          <w:marRight w:val="0"/>
          <w:marTop w:val="0"/>
          <w:marBottom w:val="150"/>
          <w:divBdr>
            <w:top w:val="none" w:sz="0" w:space="0" w:color="auto"/>
            <w:left w:val="none" w:sz="0" w:space="0" w:color="auto"/>
            <w:bottom w:val="none" w:sz="0" w:space="0" w:color="auto"/>
            <w:right w:val="none" w:sz="0" w:space="0" w:color="auto"/>
          </w:divBdr>
        </w:div>
      </w:divsChild>
    </w:div>
    <w:div w:id="2115979369">
      <w:bodyDiv w:val="1"/>
      <w:marLeft w:val="0"/>
      <w:marRight w:val="0"/>
      <w:marTop w:val="0"/>
      <w:marBottom w:val="0"/>
      <w:divBdr>
        <w:top w:val="none" w:sz="0" w:space="0" w:color="auto"/>
        <w:left w:val="none" w:sz="0" w:space="0" w:color="auto"/>
        <w:bottom w:val="none" w:sz="0" w:space="0" w:color="auto"/>
        <w:right w:val="none" w:sz="0" w:space="0" w:color="auto"/>
      </w:divBdr>
    </w:div>
    <w:div w:id="2130708161">
      <w:bodyDiv w:val="1"/>
      <w:marLeft w:val="0"/>
      <w:marRight w:val="0"/>
      <w:marTop w:val="0"/>
      <w:marBottom w:val="0"/>
      <w:divBdr>
        <w:top w:val="none" w:sz="0" w:space="0" w:color="auto"/>
        <w:left w:val="none" w:sz="0" w:space="0" w:color="auto"/>
        <w:bottom w:val="none" w:sz="0" w:space="0" w:color="auto"/>
        <w:right w:val="none" w:sz="0" w:space="0" w:color="auto"/>
      </w:divBdr>
      <w:divsChild>
        <w:div w:id="1966891675">
          <w:marLeft w:val="0"/>
          <w:marRight w:val="0"/>
          <w:marTop w:val="0"/>
          <w:marBottom w:val="150"/>
          <w:divBdr>
            <w:top w:val="none" w:sz="0" w:space="0" w:color="auto"/>
            <w:left w:val="none" w:sz="0" w:space="0" w:color="auto"/>
            <w:bottom w:val="none" w:sz="0" w:space="0" w:color="auto"/>
            <w:right w:val="none" w:sz="0" w:space="0" w:color="auto"/>
          </w:divBdr>
        </w:div>
        <w:div w:id="2013677850">
          <w:marLeft w:val="0"/>
          <w:marRight w:val="0"/>
          <w:marTop w:val="0"/>
          <w:marBottom w:val="150"/>
          <w:divBdr>
            <w:top w:val="none" w:sz="0" w:space="0" w:color="auto"/>
            <w:left w:val="none" w:sz="0" w:space="0" w:color="auto"/>
            <w:bottom w:val="none" w:sz="0" w:space="0" w:color="auto"/>
            <w:right w:val="none" w:sz="0" w:space="0" w:color="auto"/>
          </w:divBdr>
        </w:div>
      </w:divsChild>
    </w:div>
    <w:div w:id="2131050161">
      <w:bodyDiv w:val="1"/>
      <w:marLeft w:val="0"/>
      <w:marRight w:val="0"/>
      <w:marTop w:val="0"/>
      <w:marBottom w:val="0"/>
      <w:divBdr>
        <w:top w:val="none" w:sz="0" w:space="0" w:color="auto"/>
        <w:left w:val="none" w:sz="0" w:space="0" w:color="auto"/>
        <w:bottom w:val="none" w:sz="0" w:space="0" w:color="auto"/>
        <w:right w:val="none" w:sz="0" w:space="0" w:color="auto"/>
      </w:divBdr>
    </w:div>
    <w:div w:id="214446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2.wmf" Type="http://schemas.openxmlformats.org/officeDocument/2006/relationships/image"/><Relationship Id="rId12" Target="https://sites.ed.gov/idea/files/2024_Part-B_SPP-APR_Measurement_Table.pdf" TargetMode="External" Type="http://schemas.openxmlformats.org/officeDocument/2006/relationships/hyperlink"/><Relationship Id="rId13" Target="https://nam10.safelinks.protection.outlook.com/?url=https%3A%2F%2Fsites.ed.gov%2Fidea%2Fhow-the-department-made-determinations%2F&amp;data=05%7C01%7Cdan.royal%40aemcorp.com%7C56561a053eed4e4dffea08db4cd0ea7f%7C7a41925ef6974f7cbec30470887ac752%7C0%7C0%7C638188232405320922%7CUnknown%7CTWFpbGZsb3d8eyJWIjoiMC4wLjAwMDAiLCJQIjoiV2luMzIiLCJBTiI6Ik1haWwiLCJXVCI6Mn0%3D%7C3000%7C%7C%7C&amp;sdata=REJfNg%2BRs0Gk73rS2KzO2SIVRCUhHLglGd6vbm9wEwc%3D&amp;reserved=0" TargetMode="External" Type="http://schemas.openxmlformats.org/officeDocument/2006/relationships/hyperlink"/><Relationship Id="rId14" Target="header1.xml" Type="http://schemas.openxmlformats.org/officeDocument/2006/relationships/header"/><Relationship Id="rId15" Target="footer1.xml" Type="http://schemas.openxmlformats.org/officeDocument/2006/relationships/footer"/><Relationship Id="rId16" Target="https://sites.ed.gov/idea/how-the-department-made-determinations/" TargetMode="External" Type="http://schemas.openxmlformats.org/officeDocument/2006/relationships/hyperlink"/><Relationship Id="rId17" Target="https://emaps.ed.gov/suite/" TargetMode="External" Type="http://schemas.openxmlformats.org/officeDocument/2006/relationships/hyperlink"/><Relationship Id="rId18" Target="https://sites.ed.gov/idea/how-the-department-made-determinations/" TargetMode="External" Type="http://schemas.openxmlformats.org/officeDocument/2006/relationships/hyperlink"/><Relationship Id="rId19" Target="https://sites.ed.gov/idea/topic-areas/" TargetMode="External" Type="http://schemas.openxmlformats.org/officeDocument/2006/relationships/hyperlink"/><Relationship Id="rId2" Target="../customXml/item2.xml" Type="http://schemas.openxmlformats.org/officeDocument/2006/relationships/customXml"/><Relationship Id="rId20" Target="https://compcenternetwork.org/states" TargetMode="External" Type="http://schemas.openxmlformats.org/officeDocument/2006/relationships/hyperlink"/><Relationship Id="rId21" Target="media/image3.jpeg" Type="http://schemas.openxmlformats.org/officeDocument/2006/relationships/image"/><Relationship Id="rId22" Target="header2.xml" Type="http://schemas.openxmlformats.org/officeDocument/2006/relationships/header"/><Relationship Id="rId23" Target="footer2.xml" Type="http://schemas.openxmlformats.org/officeDocument/2006/relationships/footer"/><Relationship Id="rId24" Target="fontTable.xml" Type="http://schemas.openxmlformats.org/officeDocument/2006/relationships/fontTable"/><Relationship Id="rId25"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_rels/header2.xml.rels><?xml version="1.0" encoding="UTF-8" standalone="no"?><Relationships xmlns="http://schemas.openxmlformats.org/package/2006/relationships"><Relationship Id="rId1" Target="media/image4.emf" Type="http://schemas.openxmlformats.org/officeDocument/2006/relationships/image"/></Relationships>
</file>

<file path=word/_rels/numbering.xml.rels><?xml version="1.0" encoding="UTF-8" standalone="no"?><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721A7242F9CD49BD1E05495CEFC5E9" ma:contentTypeVersion="39" ma:contentTypeDescription="Create a new document." ma:contentTypeScope="" ma:versionID="c3e24bf7aafe855da359270fb3175a4e">
  <xsd:schema xmlns:xsd="http://www.w3.org/2001/XMLSchema" xmlns:xs="http://www.w3.org/2001/XMLSchema" xmlns:p="http://schemas.microsoft.com/office/2006/metadata/properties" xmlns:ns1="http://schemas.microsoft.com/sharepoint/v3" xmlns:ns2="292db1e8-b3d0-4356-8ef3-2a6d7ed77883" xmlns:ns3="4f36bac4-6705-4a36-974b-7c07450fedf2" targetNamespace="http://schemas.microsoft.com/office/2006/metadata/properties" ma:root="true" ma:fieldsID="dcf66c8206fc74f4d79f0ec460abc3a7" ns1:_="" ns2:_="" ns3:_="">
    <xsd:import namespace="http://schemas.microsoft.com/sharepoint/v3"/>
    <xsd:import namespace="292db1e8-b3d0-4356-8ef3-2a6d7ed77883"/>
    <xsd:import namespace="4f36bac4-6705-4a36-974b-7c07450fedf2"/>
    <xsd:element name="properties">
      <xsd:complexType>
        <xsd:sequence>
          <xsd:element name="documentManagement">
            <xsd:complexType>
              <xsd:all>
                <xsd:element ref="ns1:PublishingStartDate" minOccurs="0"/>
                <xsd:element ref="ns1:PublishingExpirationDate" minOccurs="0"/>
                <xsd:element ref="ns1:RoutingTargetFolder" minOccurs="0"/>
                <xsd:element ref="ns2:Document_x0020_Purpose"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RoutingTargetFolder" ma:index="6" nillable="true" ma:displayName="Target Folder" ma:description="" ma:hidden="true" ma:internalName="RoutingTargetFolder" ma:readOnly="false">
      <xsd:simpleType>
        <xsd:restriction base="dms:Text">
          <xsd:maxLength value="255"/>
        </xsd:restrictio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db1e8-b3d0-4356-8ef3-2a6d7ed77883" elementFormDefault="qualified">
    <xsd:import namespace="http://schemas.microsoft.com/office/2006/documentManagement/types"/>
    <xsd:import namespace="http://schemas.microsoft.com/office/infopath/2007/PartnerControls"/>
    <xsd:element name="Document_x0020_Purpose" ma:index="7" nillable="true" ma:displayName="Document Notes" ma:internalName="Document_x0020_Purpose" ma:readOnly="fals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d40567-abf2-423e-8514-1118c328f75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36bac4-6705-4a36-974b-7c07450fed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fb947-9aca-4507-8ac0-df076e40e05b}" ma:internalName="TaxCatchAll" ma:showField="CatchAllData" ma:web="4f36bac4-6705-4a36-974b-7c07450fedf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Purpose xmlns="292db1e8-b3d0-4356-8ef3-2a6d7ed77883" xsi:nil="true"/>
    <_ip_UnifiedCompliancePolicyUIAction xmlns="http://schemas.microsoft.com/sharepoint/v3" xsi:nil="true"/>
    <TaxCatchAll xmlns="4f36bac4-6705-4a36-974b-7c07450fedf2" xsi:nil="true"/>
    <RoutingTargetFolder xmlns="http://schemas.microsoft.com/sharepoint/v3" xsi:nil="true"/>
    <lcf76f155ced4ddcb4097134ff3c332f xmlns="292db1e8-b3d0-4356-8ef3-2a6d7ed77883">
      <Terms xmlns="http://schemas.microsoft.com/office/infopath/2007/PartnerControls"/>
    </lcf76f155ced4ddcb4097134ff3c332f>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A1C8D-8733-4A90-A3A0-FDEFEBCF1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2db1e8-b3d0-4356-8ef3-2a6d7ed77883"/>
    <ds:schemaRef ds:uri="4f36bac4-6705-4a36-974b-7c07450fe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4A9DCB-E3D8-4048-BDD4-1F7881EB959B}">
  <ds:schemaRefs>
    <ds:schemaRef ds:uri="http://schemas.microsoft.com/office/2006/metadata/properties"/>
    <ds:schemaRef ds:uri="http://schemas.microsoft.com/office/infopath/2007/PartnerControls"/>
    <ds:schemaRef ds:uri="292db1e8-b3d0-4356-8ef3-2a6d7ed77883"/>
    <ds:schemaRef ds:uri="http://schemas.microsoft.com/sharepoint/v3"/>
    <ds:schemaRef ds:uri="4f36bac4-6705-4a36-974b-7c07450fedf2"/>
  </ds:schemaRefs>
</ds:datastoreItem>
</file>

<file path=customXml/itemProps3.xml><?xml version="1.0" encoding="utf-8"?>
<ds:datastoreItem xmlns:ds="http://schemas.openxmlformats.org/officeDocument/2006/customXml" ds:itemID="{7881BCB8-03D0-4290-935D-F6B299B61C87}">
  <ds:schemaRefs>
    <ds:schemaRef ds:uri="http://schemas.microsoft.com/sharepoint/v3/contenttype/forms"/>
  </ds:schemaRefs>
</ds:datastoreItem>
</file>

<file path=customXml/itemProps4.xml><?xml version="1.0" encoding="utf-8"?>
<ds:datastoreItem xmlns:ds="http://schemas.openxmlformats.org/officeDocument/2006/customXml" ds:itemID="{3DB16239-2E83-4543-A07E-6AFF5384A3D6}">
  <ds:schemaRefs>
    <ds:schemaRef ds:uri="http://schemas.openxmlformats.org/officeDocument/2006/bibliography"/>
  </ds:schemaRefs>
</ds:datastoreItem>
</file>

<file path=docMetadata/LabelInfo.xml><?xml version="1.0" encoding="utf-8"?>
<clbl:labelList xmlns:clbl="http://schemas.microsoft.com/office/2020/mipLabelMetadata">
  <clbl:label id="{afded6f5-d1d0-4596-a1c0-00c047dd6749}" enabled="1" method="Standard" siteId="{7a41925e-f697-4f7c-bec3-0470887ac752}" removed="0"/>
</clbl:labelList>
</file>

<file path=docProps/app.xml><?xml version="1.0" encoding="utf-8"?>
<Properties xmlns="http://schemas.openxmlformats.org/officeDocument/2006/extended-properties" xmlns:vt="http://schemas.openxmlformats.org/officeDocument/2006/docPropsVTypes">
  <Template>Normal.dotm</Template>
  <TotalTime>2265</TotalTime>
  <Pages>110</Pages>
  <Words>46436</Words>
  <Characters>264687</Characters>
  <Application>Microsoft Office Word</Application>
  <DocSecurity>0</DocSecurity>
  <Lines>2205</Lines>
  <Paragraphs>621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310502</CharactersWithSpaces>
  <SharedDoc>false</SharedDoc>
  <HLinks>
    <vt:vector size="12" baseType="variant">
      <vt:variant>
        <vt:i4>2687072</vt:i4>
      </vt:variant>
      <vt:variant>
        <vt:i4>6</vt:i4>
      </vt:variant>
      <vt:variant>
        <vt:i4>0</vt:i4>
      </vt:variant>
      <vt:variant>
        <vt:i4>5</vt:i4>
      </vt:variant>
      <vt:variant>
        <vt:lpwstr>https://nam10.safelinks.protection.outlook.com/?url=https%3A%2F%2Fsites.ed.gov%2Fidea%2Fhow-the-department-made-determinations%2F&amp;data=05%7C01%7Cdan.royal%40aemcorp.com%7C56561a053eed4e4dffea08db4cd0ea7f%7C7a41925ef6974f7cbec30470887ac752%7C0%7C0%7C638188232405320922%7CUnknown%7CTWFpbGZsb3d8eyJWIjoiMC4wLjAwMDAiLCJQIjoiV2luMzIiLCJBTiI6Ik1haWwiLCJXVCI6Mn0%3D%7C3000%7C%7C%7C&amp;sdata=REJfNg%2BRs0Gk73rS2KzO2SIVRCUhHLglGd6vbm9wEwc%3D&amp;reserved=0</vt:lpwstr>
      </vt:variant>
      <vt:variant>
        <vt:lpwstr/>
      </vt:variant>
      <vt:variant>
        <vt:i4>4128885</vt:i4>
      </vt:variant>
      <vt:variant>
        <vt:i4>3</vt:i4>
      </vt:variant>
      <vt:variant>
        <vt:i4>0</vt:i4>
      </vt:variant>
      <vt:variant>
        <vt:i4>5</vt:i4>
      </vt:variant>
      <vt:variant>
        <vt:lpwstr>https://sites.ed.gov/idea/files/2024_Part-B_SPP-APR_Measurement_Table.pdf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2024-02-24T15:25:00Z</dcterms:created>
  <dc:creator>Sarah O'Grady</dc:creator>
  <cp:lastModifiedBy>Sharmila Premji</cp:lastModifiedBy>
  <cp:lastPrinted>2014-08-19T19:56:00Z</cp:lastPrinted>
  <dcterms:modified xsi:type="dcterms:W3CDTF">2024-06-14T17:59:00Z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0x01010000721A7242F9CD49BD1E05495CEFC5E9</vt:lpwstr>
  </property>
  <property fmtid="{D5CDD505-2E9C-101B-9397-08002B2CF9AE}" pid="3" name="_dlc_DocIdItemGuid">
    <vt:lpwstr>d1961a7b-789a-475e-aff2-ded90ef3b8b9</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Order">
    <vt:r8>41383400</vt:r8>
  </property>
  <property fmtid="{D5CDD505-2E9C-101B-9397-08002B2CF9AE}" pid="8" name="Body">
    <vt:lpwstr/>
  </property>
  <property fmtid="{D5CDD505-2E9C-101B-9397-08002B2CF9AE}" pid="9" name="TaskStatus">
    <vt:lpwstr/>
  </property>
  <property fmtid="{D5CDD505-2E9C-101B-9397-08002B2CF9AE}" pid="10" name="WorkflowName">
    <vt:lpwstr/>
  </property>
  <property fmtid="{D5CDD505-2E9C-101B-9397-08002B2CF9AE}" pid="11" name="Document Notes">
    <vt:lpwstr/>
  </property>
  <property fmtid="{D5CDD505-2E9C-101B-9397-08002B2CF9AE}" pid="12" name="Document Notes0">
    <vt:lpwstr/>
  </property>
  <property fmtid="{D5CDD505-2E9C-101B-9397-08002B2CF9AE}" pid="13" name="Priority">
    <vt:lpwstr/>
  </property>
  <property fmtid="{D5CDD505-2E9C-101B-9397-08002B2CF9AE}" pid="14" name="_CopySource">
    <vt:lpwstr>https://sharepoint.aemcorp.com/ed/EDMITS/Shared Documents/51 - APR/SPP APR/FFY 2021 - TO-Q/40 IT/01 Requirements/Part 1 - APR Tool/Part B/Part B SPP-APR FFY 2021 Form with abbreviations.docx</vt:lpwstr>
  </property>
  <property fmtid="{D5CDD505-2E9C-101B-9397-08002B2CF9AE}" pid="15" name="MediaServiceImageTags">
    <vt:lpwstr/>
  </property>
  <property fmtid="{D5CDD505-2E9C-101B-9397-08002B2CF9AE}" pid="16" name="Predecessors">
    <vt:lpwstr/>
  </property>
  <property fmtid="{D5CDD505-2E9C-101B-9397-08002B2CF9AE}" pid="17" name="AssignedTo">
    <vt:lpwstr/>
  </property>
  <property fmtid="{D5CDD505-2E9C-101B-9397-08002B2CF9AE}" pid="18" name="MSIP_Label_4ad35bab-6e18-4b1b-82b4-d81f4f36a979_Enabled">
    <vt:lpwstr>true</vt:lpwstr>
  </property>
  <property fmtid="{D5CDD505-2E9C-101B-9397-08002B2CF9AE}" pid="19" name="MSIP_Label_4ad35bab-6e18-4b1b-82b4-d81f4f36a979_SetDate">
    <vt:lpwstr>2023-03-14T00:12:18Z</vt:lpwstr>
  </property>
  <property fmtid="{D5CDD505-2E9C-101B-9397-08002B2CF9AE}" pid="20" name="MSIP_Label_4ad35bab-6e18-4b1b-82b4-d81f4f36a979_Method">
    <vt:lpwstr>Standard</vt:lpwstr>
  </property>
  <property fmtid="{D5CDD505-2E9C-101B-9397-08002B2CF9AE}" pid="21" name="MSIP_Label_4ad35bab-6e18-4b1b-82b4-d81f4f36a979_Name">
    <vt:lpwstr>Public</vt:lpwstr>
  </property>
  <property fmtid="{D5CDD505-2E9C-101B-9397-08002B2CF9AE}" pid="22" name="MSIP_Label_4ad35bab-6e18-4b1b-82b4-d81f4f36a979_SiteId">
    <vt:lpwstr>7a41925e-f697-4f7c-bec3-0470887ac752</vt:lpwstr>
  </property>
  <property fmtid="{D5CDD505-2E9C-101B-9397-08002B2CF9AE}" pid="23" name="MSIP_Label_4ad35bab-6e18-4b1b-82b4-d81f4f36a979_ActionId">
    <vt:lpwstr>212e3d3a-8d9d-47e5-ba89-5887e937e98c</vt:lpwstr>
  </property>
  <property fmtid="{D5CDD505-2E9C-101B-9397-08002B2CF9AE}" pid="24" name="MSIP_Label_4ad35bab-6e18-4b1b-82b4-d81f4f36a979_ContentBits">
    <vt:lpwstr>0</vt:lpwstr>
  </property>
</Properties>
</file>