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18AA" w14:textId="4535469E" w:rsidR="00FC62DB" w:rsidRPr="00C1753F" w:rsidRDefault="00FC62DB" w:rsidP="00FE782C">
      <w:pPr>
        <w:shd w:val="clear" w:color="auto" w:fill="C985E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3F">
        <w:rPr>
          <w:rFonts w:ascii="Times New Roman" w:hAnsi="Times New Roman" w:cs="Times New Roman"/>
          <w:b/>
          <w:sz w:val="28"/>
          <w:szCs w:val="28"/>
        </w:rPr>
        <w:t>SAMPLE</w:t>
      </w:r>
      <w:r w:rsidRPr="00C1753F">
        <w:rPr>
          <w:rFonts w:ascii="Times New Roman" w:hAnsi="Times New Roman" w:cs="Times New Roman"/>
          <w:b/>
          <w:color w:val="57998B"/>
          <w:sz w:val="28"/>
          <w:szCs w:val="28"/>
        </w:rPr>
        <w:t xml:space="preserve"> </w:t>
      </w:r>
      <w:r w:rsidRPr="00C1753F">
        <w:rPr>
          <w:rFonts w:ascii="Times New Roman" w:hAnsi="Times New Roman" w:cs="Times New Roman"/>
          <w:b/>
          <w:sz w:val="28"/>
          <w:szCs w:val="28"/>
        </w:rPr>
        <w:t xml:space="preserve">Monitoring Worksheet for Reclassified Fluent English Proficient Students </w:t>
      </w:r>
    </w:p>
    <w:p w14:paraId="4A86DF8A" w14:textId="5CEF2624" w:rsidR="00FC62DB" w:rsidRPr="00C1753F" w:rsidRDefault="00FC62DB" w:rsidP="00FE782C">
      <w:pPr>
        <w:shd w:val="clear" w:color="auto" w:fill="C985E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3F">
        <w:rPr>
          <w:rFonts w:ascii="Times New Roman" w:hAnsi="Times New Roman" w:cs="Times New Roman"/>
          <w:b/>
          <w:sz w:val="28"/>
          <w:szCs w:val="28"/>
        </w:rPr>
        <w:t>(Exited English Learner Students)</w:t>
      </w:r>
    </w:p>
    <w:p w14:paraId="5D972258" w14:textId="77777777" w:rsidR="00FC62DB" w:rsidRPr="002E3EA2" w:rsidRDefault="00FC62DB" w:rsidP="00C1753F">
      <w:pPr>
        <w:shd w:val="clear" w:color="auto" w:fill="FFFFFF" w:themeFill="background1"/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311B1625" w14:textId="385D661A" w:rsidR="00D17261" w:rsidRPr="00C1753F" w:rsidRDefault="00044356" w:rsidP="00C175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53F">
        <w:rPr>
          <w:rFonts w:ascii="Times New Roman" w:eastAsia="Times New Roman" w:hAnsi="Times New Roman" w:cs="Times New Roman"/>
          <w:bCs/>
          <w:color w:val="000000"/>
        </w:rPr>
        <w:t xml:space="preserve">Per </w:t>
      </w:r>
      <w:r w:rsidR="009918AB" w:rsidRPr="00C1753F">
        <w:rPr>
          <w:rFonts w:ascii="Times New Roman" w:eastAsia="Times New Roman" w:hAnsi="Times New Roman" w:cs="Times New Roman"/>
          <w:bCs/>
          <w:color w:val="000000"/>
        </w:rPr>
        <w:t>state regulation 6.29.5.12 NMAC</w:t>
      </w:r>
      <w:r w:rsidR="0049715D">
        <w:rPr>
          <w:rStyle w:val="FootnoteReference"/>
          <w:rFonts w:ascii="Times New Roman" w:eastAsia="Times New Roman" w:hAnsi="Times New Roman" w:cs="Times New Roman"/>
          <w:bCs/>
          <w:color w:val="000000"/>
        </w:rPr>
        <w:footnoteReference w:id="1"/>
      </w:r>
      <w:r w:rsidR="0049715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918AB" w:rsidRPr="00C1753F">
        <w:rPr>
          <w:rFonts w:ascii="Times New Roman" w:eastAsia="Times New Roman" w:hAnsi="Times New Roman" w:cs="Times New Roman"/>
          <w:color w:val="000000"/>
        </w:rPr>
        <w:t>English learners (ELs</w:t>
      </w:r>
      <w:r w:rsidR="00096A3F" w:rsidRPr="00C1753F">
        <w:rPr>
          <w:rFonts w:ascii="Times New Roman" w:eastAsia="Times New Roman" w:hAnsi="Times New Roman" w:cs="Times New Roman"/>
          <w:color w:val="000000"/>
        </w:rPr>
        <w:t>),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 who attain an overall </w:t>
      </w:r>
      <w:r w:rsidRPr="00C1753F">
        <w:rPr>
          <w:rFonts w:ascii="Times New Roman" w:eastAsia="Times New Roman" w:hAnsi="Times New Roman" w:cs="Times New Roman"/>
          <w:color w:val="000000"/>
        </w:rPr>
        <w:t xml:space="preserve">composite score 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of </w:t>
      </w:r>
      <w:r w:rsidR="00AB4DA3" w:rsidRPr="00C1753F">
        <w:rPr>
          <w:rFonts w:ascii="Times New Roman" w:eastAsia="Times New Roman" w:hAnsi="Times New Roman" w:cs="Times New Roman"/>
          <w:color w:val="000000"/>
        </w:rPr>
        <w:t>4.7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 or higher on the ACCESS for ELLs </w:t>
      </w:r>
      <w:r w:rsidR="00096A3F" w:rsidRPr="00C1753F">
        <w:rPr>
          <w:rFonts w:ascii="Times New Roman" w:eastAsia="Times New Roman" w:hAnsi="Times New Roman" w:cs="Times New Roman"/>
          <w:color w:val="000000"/>
        </w:rPr>
        <w:t xml:space="preserve">assessment 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or an overall composite score of </w:t>
      </w:r>
      <w:r w:rsidR="001E7E71" w:rsidRPr="00C1753F">
        <w:rPr>
          <w:rFonts w:ascii="Times New Roman" w:eastAsia="Times New Roman" w:hAnsi="Times New Roman" w:cs="Times New Roman"/>
          <w:color w:val="000000"/>
        </w:rPr>
        <w:t>Level 3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 </w:t>
      </w:r>
      <w:r w:rsidR="00096A3F" w:rsidRPr="00C1753F">
        <w:rPr>
          <w:rFonts w:ascii="Times New Roman" w:eastAsia="Times New Roman" w:hAnsi="Times New Roman" w:cs="Times New Roman"/>
          <w:color w:val="000000"/>
        </w:rPr>
        <w:t xml:space="preserve">or higher 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on </w:t>
      </w:r>
      <w:r w:rsidR="00096A3F" w:rsidRPr="00C1753F">
        <w:rPr>
          <w:rFonts w:ascii="Times New Roman" w:eastAsia="Times New Roman" w:hAnsi="Times New Roman" w:cs="Times New Roman"/>
          <w:color w:val="000000"/>
        </w:rPr>
        <w:t xml:space="preserve">the </w:t>
      </w:r>
      <w:r w:rsidR="009918AB" w:rsidRPr="00C1753F">
        <w:rPr>
          <w:rFonts w:ascii="Times New Roman" w:eastAsia="Times New Roman" w:hAnsi="Times New Roman" w:cs="Times New Roman"/>
          <w:color w:val="000000"/>
        </w:rPr>
        <w:t>Alternate ACCESS assessment</w:t>
      </w:r>
      <w:r w:rsidR="00096A3F" w:rsidRPr="00C1753F">
        <w:rPr>
          <w:rFonts w:ascii="Times New Roman" w:eastAsia="Times New Roman" w:hAnsi="Times New Roman" w:cs="Times New Roman"/>
          <w:color w:val="000000"/>
        </w:rPr>
        <w:t>,</w:t>
      </w:r>
      <w:r w:rsidR="009918AB" w:rsidRPr="00C1753F">
        <w:rPr>
          <w:rFonts w:ascii="Times New Roman" w:eastAsia="Times New Roman" w:hAnsi="Times New Roman" w:cs="Times New Roman"/>
          <w:color w:val="000000"/>
        </w:rPr>
        <w:t xml:space="preserve"> </w:t>
      </w:r>
      <w:r w:rsidR="00096A3F" w:rsidRPr="00C1753F">
        <w:rPr>
          <w:rFonts w:ascii="Times New Roman" w:eastAsia="Times New Roman" w:hAnsi="Times New Roman" w:cs="Times New Roman"/>
          <w:color w:val="000000"/>
        </w:rPr>
        <w:t>are reclassified as fluent English proficient (RFEP). RFEP students must be monitored for academic progress after exiting EL status for two subsequent school years by the school district</w:t>
      </w:r>
      <w:r w:rsidR="001C4455" w:rsidRPr="00C1753F">
        <w:rPr>
          <w:rFonts w:ascii="Times New Roman" w:eastAsia="Times New Roman" w:hAnsi="Times New Roman" w:cs="Times New Roman"/>
          <w:color w:val="000000"/>
        </w:rPr>
        <w:t xml:space="preserve"> or charter school</w:t>
      </w:r>
      <w:r w:rsidR="00CD6226" w:rsidRPr="00C1753F">
        <w:rPr>
          <w:rFonts w:ascii="Times New Roman" w:eastAsia="Times New Roman" w:hAnsi="Times New Roman" w:cs="Times New Roman"/>
          <w:color w:val="000000"/>
        </w:rPr>
        <w:t>.</w:t>
      </w:r>
      <w:r w:rsidR="00096A3F" w:rsidRPr="00C1753F">
        <w:rPr>
          <w:rFonts w:ascii="Times New Roman" w:eastAsia="Times New Roman" w:hAnsi="Times New Roman" w:cs="Times New Roman"/>
          <w:color w:val="000000"/>
        </w:rPr>
        <w:t xml:space="preserve"> </w:t>
      </w:r>
      <w:r w:rsidR="007A3CEF" w:rsidRPr="00C1753F">
        <w:rPr>
          <w:rFonts w:ascii="Times New Roman" w:hAnsi="Times New Roman" w:cs="Times New Roman"/>
        </w:rPr>
        <w:t>If a student is not making academic progress, the M</w:t>
      </w:r>
      <w:r w:rsidR="00CD6226" w:rsidRPr="00C1753F">
        <w:rPr>
          <w:rFonts w:ascii="Times New Roman" w:hAnsi="Times New Roman" w:cs="Times New Roman"/>
        </w:rPr>
        <w:t xml:space="preserve">ulti-Layered System of Supports (MLSS) </w:t>
      </w:r>
      <w:r w:rsidR="007A3CEF" w:rsidRPr="00C1753F">
        <w:rPr>
          <w:rFonts w:ascii="Times New Roman" w:hAnsi="Times New Roman" w:cs="Times New Roman"/>
        </w:rPr>
        <w:t xml:space="preserve">framework should be </w:t>
      </w:r>
      <w:r w:rsidR="00F752CC" w:rsidRPr="00C1753F">
        <w:rPr>
          <w:rFonts w:ascii="Times New Roman" w:hAnsi="Times New Roman" w:cs="Times New Roman"/>
        </w:rPr>
        <w:t>utilized</w:t>
      </w:r>
      <w:r w:rsidR="007A3CEF" w:rsidRPr="00C1753F">
        <w:rPr>
          <w:rFonts w:ascii="Times New Roman" w:hAnsi="Times New Roman" w:cs="Times New Roman"/>
        </w:rPr>
        <w:t xml:space="preserve"> to </w:t>
      </w:r>
      <w:r w:rsidR="00CD6226" w:rsidRPr="00C1753F">
        <w:rPr>
          <w:rFonts w:ascii="Times New Roman" w:hAnsi="Times New Roman" w:cs="Times New Roman"/>
        </w:rPr>
        <w:t xml:space="preserve">ensure students are </w:t>
      </w:r>
      <w:r w:rsidR="008D79A8" w:rsidRPr="00C1753F">
        <w:rPr>
          <w:rFonts w:ascii="Times New Roman" w:hAnsi="Times New Roman" w:cs="Times New Roman"/>
        </w:rPr>
        <w:t>abetted</w:t>
      </w:r>
      <w:r w:rsidR="00CD6226" w:rsidRPr="00C1753F">
        <w:rPr>
          <w:rFonts w:ascii="Times New Roman" w:hAnsi="Times New Roman" w:cs="Times New Roman"/>
        </w:rPr>
        <w:t xml:space="preserve">. </w:t>
      </w:r>
      <w:r w:rsidR="00D17261" w:rsidRPr="00C1753F">
        <w:rPr>
          <w:rFonts w:ascii="Times New Roman" w:hAnsi="Times New Roman" w:cs="Times New Roman"/>
        </w:rPr>
        <w:t xml:space="preserve">Each district </w:t>
      </w:r>
      <w:r w:rsidRPr="00C1753F">
        <w:rPr>
          <w:rFonts w:ascii="Times New Roman" w:hAnsi="Times New Roman" w:cs="Times New Roman"/>
        </w:rPr>
        <w:t xml:space="preserve">can </w:t>
      </w:r>
      <w:r w:rsidR="00096A3F" w:rsidRPr="00C1753F">
        <w:rPr>
          <w:rFonts w:ascii="Times New Roman" w:hAnsi="Times New Roman" w:cs="Times New Roman"/>
        </w:rPr>
        <w:t>create its</w:t>
      </w:r>
      <w:r w:rsidR="00D17261" w:rsidRPr="00C1753F">
        <w:rPr>
          <w:rFonts w:ascii="Times New Roman" w:hAnsi="Times New Roman" w:cs="Times New Roman"/>
        </w:rPr>
        <w:t xml:space="preserve"> own monitoring system for RFEPs</w:t>
      </w:r>
      <w:r w:rsidR="000B1F0C" w:rsidRPr="00C1753F">
        <w:rPr>
          <w:rFonts w:ascii="Times New Roman" w:hAnsi="Times New Roman" w:cs="Times New Roman"/>
        </w:rPr>
        <w:t>,</w:t>
      </w:r>
      <w:r w:rsidR="00D17261" w:rsidRPr="00C1753F">
        <w:rPr>
          <w:rFonts w:ascii="Times New Roman" w:hAnsi="Times New Roman" w:cs="Times New Roman"/>
        </w:rPr>
        <w:t xml:space="preserve"> including </w:t>
      </w:r>
      <w:r w:rsidR="000B1F0C" w:rsidRPr="00C1753F">
        <w:rPr>
          <w:rFonts w:ascii="Times New Roman" w:hAnsi="Times New Roman" w:cs="Times New Roman"/>
        </w:rPr>
        <w:t xml:space="preserve">considerations for </w:t>
      </w:r>
      <w:r w:rsidR="00D17261" w:rsidRPr="00C1753F">
        <w:rPr>
          <w:rFonts w:ascii="Times New Roman" w:hAnsi="Times New Roman" w:cs="Times New Roman"/>
        </w:rPr>
        <w:t>documents used. Such documents inform the dist</w:t>
      </w:r>
      <w:r w:rsidR="00160120" w:rsidRPr="00C1753F">
        <w:rPr>
          <w:rFonts w:ascii="Times New Roman" w:hAnsi="Times New Roman" w:cs="Times New Roman"/>
        </w:rPr>
        <w:t xml:space="preserve">rict of the effectiveness of </w:t>
      </w:r>
      <w:r w:rsidR="00C1753F" w:rsidRPr="00C1753F">
        <w:rPr>
          <w:rFonts w:ascii="Times New Roman" w:hAnsi="Times New Roman" w:cs="Times New Roman"/>
        </w:rPr>
        <w:t>the</w:t>
      </w:r>
      <w:r w:rsidR="000B1F0C" w:rsidRPr="00C1753F">
        <w:rPr>
          <w:rFonts w:ascii="Times New Roman" w:hAnsi="Times New Roman" w:cs="Times New Roman"/>
        </w:rPr>
        <w:t xml:space="preserve"> chosen</w:t>
      </w:r>
      <w:r w:rsidR="00D17261" w:rsidRPr="00C1753F">
        <w:rPr>
          <w:rFonts w:ascii="Times New Roman" w:hAnsi="Times New Roman" w:cs="Times New Roman"/>
        </w:rPr>
        <w:t xml:space="preserve"> EL </w:t>
      </w:r>
      <w:r w:rsidR="00160120" w:rsidRPr="00C1753F">
        <w:rPr>
          <w:rFonts w:ascii="Times New Roman" w:hAnsi="Times New Roman" w:cs="Times New Roman"/>
        </w:rPr>
        <w:t>program</w:t>
      </w:r>
      <w:r w:rsidR="00D51699" w:rsidRPr="00C1753F">
        <w:rPr>
          <w:rFonts w:ascii="Times New Roman" w:hAnsi="Times New Roman" w:cs="Times New Roman"/>
        </w:rPr>
        <w:t xml:space="preserve"> </w:t>
      </w:r>
      <w:r w:rsidR="000B1F0C" w:rsidRPr="00C1753F">
        <w:rPr>
          <w:rFonts w:ascii="Times New Roman" w:hAnsi="Times New Roman" w:cs="Times New Roman"/>
        </w:rPr>
        <w:t>or services</w:t>
      </w:r>
      <w:r w:rsidR="00160120" w:rsidRPr="00C1753F">
        <w:rPr>
          <w:rFonts w:ascii="Times New Roman" w:hAnsi="Times New Roman" w:cs="Times New Roman"/>
        </w:rPr>
        <w:t xml:space="preserve"> </w:t>
      </w:r>
      <w:r w:rsidR="00D17261" w:rsidRPr="00C1753F">
        <w:rPr>
          <w:rFonts w:ascii="Times New Roman" w:hAnsi="Times New Roman" w:cs="Times New Roman"/>
        </w:rPr>
        <w:t xml:space="preserve">as well as how well the </w:t>
      </w:r>
      <w:r w:rsidR="00C1753F" w:rsidRPr="00C1753F">
        <w:rPr>
          <w:rFonts w:ascii="Times New Roman" w:hAnsi="Times New Roman" w:cs="Times New Roman"/>
        </w:rPr>
        <w:t>EL</w:t>
      </w:r>
      <w:r w:rsidR="00D17261" w:rsidRPr="00C1753F">
        <w:rPr>
          <w:rFonts w:ascii="Times New Roman" w:hAnsi="Times New Roman" w:cs="Times New Roman"/>
        </w:rPr>
        <w:t xml:space="preserve"> program(s) </w:t>
      </w:r>
      <w:r w:rsidR="000B1F0C" w:rsidRPr="00C1753F">
        <w:rPr>
          <w:rFonts w:ascii="Times New Roman" w:hAnsi="Times New Roman" w:cs="Times New Roman"/>
        </w:rPr>
        <w:t>and instruction</w:t>
      </w:r>
      <w:r w:rsidR="00D51699" w:rsidRPr="00C1753F">
        <w:rPr>
          <w:rFonts w:ascii="Times New Roman" w:hAnsi="Times New Roman" w:cs="Times New Roman"/>
        </w:rPr>
        <w:t xml:space="preserve"> </w:t>
      </w:r>
      <w:r w:rsidR="00D17261" w:rsidRPr="00C1753F">
        <w:rPr>
          <w:rFonts w:ascii="Times New Roman" w:hAnsi="Times New Roman" w:cs="Times New Roman"/>
        </w:rPr>
        <w:t xml:space="preserve">has </w:t>
      </w:r>
      <w:r w:rsidR="000B1F0C" w:rsidRPr="00C1753F">
        <w:rPr>
          <w:rFonts w:ascii="Times New Roman" w:hAnsi="Times New Roman" w:cs="Times New Roman"/>
        </w:rPr>
        <w:t xml:space="preserve">succeeded in </w:t>
      </w:r>
      <w:r w:rsidR="00D17261" w:rsidRPr="00C1753F">
        <w:rPr>
          <w:rFonts w:ascii="Times New Roman" w:hAnsi="Times New Roman" w:cs="Times New Roman"/>
        </w:rPr>
        <w:t>creat</w:t>
      </w:r>
      <w:r w:rsidR="000B1F0C" w:rsidRPr="00C1753F">
        <w:rPr>
          <w:rFonts w:ascii="Times New Roman" w:hAnsi="Times New Roman" w:cs="Times New Roman"/>
        </w:rPr>
        <w:t>ing</w:t>
      </w:r>
      <w:r w:rsidR="00D17261" w:rsidRPr="00C1753F">
        <w:rPr>
          <w:rFonts w:ascii="Times New Roman" w:hAnsi="Times New Roman" w:cs="Times New Roman"/>
        </w:rPr>
        <w:t xml:space="preserve"> a </w:t>
      </w:r>
      <w:r w:rsidR="008F662A" w:rsidRPr="00C1753F">
        <w:rPr>
          <w:rFonts w:ascii="Times New Roman" w:hAnsi="Times New Roman" w:cs="Times New Roman"/>
        </w:rPr>
        <w:t xml:space="preserve">foundation </w:t>
      </w:r>
      <w:r w:rsidR="00D17261" w:rsidRPr="00C1753F">
        <w:rPr>
          <w:rFonts w:ascii="Times New Roman" w:hAnsi="Times New Roman" w:cs="Times New Roman"/>
        </w:rPr>
        <w:t xml:space="preserve">for continued success for RFEPs. </w:t>
      </w:r>
      <w:r w:rsidR="00F4731C" w:rsidRPr="00C1753F">
        <w:rPr>
          <w:rFonts w:ascii="Times New Roman" w:hAnsi="Times New Roman" w:cs="Times New Roman"/>
          <w:color w:val="000000"/>
        </w:rPr>
        <w:t xml:space="preserve">The </w:t>
      </w:r>
      <w:hyperlink r:id="rId10" w:history="1">
        <w:r w:rsidR="00F4731C" w:rsidRPr="00C1753F">
          <w:rPr>
            <w:rStyle w:val="Hyperlink"/>
            <w:rFonts w:ascii="Times New Roman" w:hAnsi="Times New Roman" w:cs="Times New Roman"/>
          </w:rPr>
          <w:t>English Learner Tool Kit (chapter 8)</w:t>
        </w:r>
      </w:hyperlink>
      <w:r w:rsidR="00F4731C" w:rsidRPr="00C1753F">
        <w:rPr>
          <w:rFonts w:ascii="Times New Roman" w:hAnsi="Times New Roman" w:cs="Times New Roman"/>
          <w:color w:val="000000"/>
        </w:rPr>
        <w:t xml:space="preserve"> provides guidance and resources </w:t>
      </w:r>
      <w:r w:rsidR="002E3EA2" w:rsidRPr="00C1753F">
        <w:rPr>
          <w:rFonts w:ascii="Times New Roman" w:hAnsi="Times New Roman" w:cs="Times New Roman"/>
          <w:color w:val="000000"/>
        </w:rPr>
        <w:t xml:space="preserve">for </w:t>
      </w:r>
      <w:r w:rsidR="00F4731C" w:rsidRPr="00C1753F">
        <w:rPr>
          <w:rFonts w:ascii="Times New Roman" w:hAnsi="Times New Roman" w:cs="Times New Roman"/>
          <w:color w:val="000000"/>
        </w:rPr>
        <w:t xml:space="preserve">monitoring </w:t>
      </w:r>
      <w:r w:rsidR="002E3EA2" w:rsidRPr="00C1753F">
        <w:rPr>
          <w:rFonts w:ascii="Times New Roman" w:hAnsi="Times New Roman" w:cs="Times New Roman"/>
          <w:color w:val="000000"/>
        </w:rPr>
        <w:t xml:space="preserve">exited </w:t>
      </w:r>
      <w:r w:rsidR="0029695A" w:rsidRPr="00C1753F">
        <w:rPr>
          <w:rFonts w:ascii="Times New Roman" w:hAnsi="Times New Roman" w:cs="Times New Roman"/>
          <w:color w:val="000000"/>
        </w:rPr>
        <w:t>EL</w:t>
      </w:r>
      <w:r w:rsidR="00F4731C" w:rsidRPr="00C1753F">
        <w:rPr>
          <w:rFonts w:ascii="Times New Roman" w:hAnsi="Times New Roman" w:cs="Times New Roman"/>
          <w:color w:val="000000"/>
        </w:rPr>
        <w:t xml:space="preserve"> students. </w:t>
      </w:r>
      <w:r w:rsidR="0024155B" w:rsidRPr="00C1753F">
        <w:rPr>
          <w:rFonts w:ascii="Times New Roman" w:hAnsi="Times New Roman" w:cs="Times New Roman"/>
        </w:rPr>
        <w:t>A</w:t>
      </w:r>
      <w:r w:rsidR="000B1F0C" w:rsidRPr="00C1753F">
        <w:rPr>
          <w:rFonts w:ascii="Times New Roman" w:hAnsi="Times New Roman" w:cs="Times New Roman"/>
        </w:rPr>
        <w:t xml:space="preserve">bove all, let’s remember to </w:t>
      </w:r>
      <w:r w:rsidR="00005C0C" w:rsidRPr="00C1753F">
        <w:rPr>
          <w:rFonts w:ascii="Times New Roman" w:hAnsi="Times New Roman" w:cs="Times New Roman"/>
        </w:rPr>
        <w:t xml:space="preserve">recognize </w:t>
      </w:r>
      <w:r w:rsidR="000B1F0C" w:rsidRPr="00C1753F">
        <w:rPr>
          <w:rFonts w:ascii="Times New Roman" w:hAnsi="Times New Roman" w:cs="Times New Roman"/>
        </w:rPr>
        <w:t>students who have reached English language proficiency!</w:t>
      </w:r>
      <w:r w:rsidR="00D17261" w:rsidRPr="00C1753F">
        <w:rPr>
          <w:rFonts w:ascii="Times New Roman" w:hAnsi="Times New Roman" w:cs="Times New Roman"/>
        </w:rPr>
        <w:t xml:space="preserve"> </w:t>
      </w:r>
      <w:r w:rsidR="00D17261" w:rsidRPr="00C1753F">
        <w:rPr>
          <w:rFonts w:ascii="Times New Roman" w:hAnsi="Times New Roman" w:cs="Times New Roman"/>
        </w:rPr>
        <w:tab/>
      </w:r>
    </w:p>
    <w:p w14:paraId="25888883" w14:textId="77777777" w:rsidR="001E7E71" w:rsidRPr="00044356" w:rsidRDefault="001E7E71" w:rsidP="00044356">
      <w:pPr>
        <w:spacing w:after="0" w:line="240" w:lineRule="auto"/>
        <w:rPr>
          <w:rFonts w:cstheme="minorHAnsi"/>
        </w:rPr>
      </w:pPr>
    </w:p>
    <w:tbl>
      <w:tblPr>
        <w:tblStyle w:val="GridTable1Light-Accent6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080"/>
        <w:gridCol w:w="1080"/>
        <w:gridCol w:w="990"/>
        <w:gridCol w:w="900"/>
        <w:gridCol w:w="990"/>
        <w:gridCol w:w="90"/>
        <w:gridCol w:w="1530"/>
        <w:gridCol w:w="1620"/>
      </w:tblGrid>
      <w:tr w:rsidR="004A36EA" w:rsidRPr="00C1753F" w14:paraId="2CC0DAA5" w14:textId="77777777" w:rsidTr="00FE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5" w:type="dxa"/>
            <w:gridSpan w:val="7"/>
            <w:tcBorders>
              <w:bottom w:val="none" w:sz="0" w:space="0" w:color="auto"/>
            </w:tcBorders>
            <w:shd w:val="clear" w:color="auto" w:fill="C985EF"/>
            <w:noWrap/>
            <w:hideMark/>
          </w:tcPr>
          <w:p w14:paraId="1EC8C690" w14:textId="2DD8E439" w:rsidR="004A36EA" w:rsidRPr="00C1753F" w:rsidRDefault="004A36EA" w:rsidP="00C175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753F">
              <w:rPr>
                <w:rFonts w:ascii="Times New Roman" w:eastAsia="Times New Roman" w:hAnsi="Times New Roman" w:cs="Times New Roman"/>
                <w:color w:val="000000"/>
              </w:rPr>
              <w:t>Student Name:</w:t>
            </w:r>
          </w:p>
        </w:tc>
        <w:tc>
          <w:tcPr>
            <w:tcW w:w="3150" w:type="dxa"/>
            <w:gridSpan w:val="2"/>
            <w:tcBorders>
              <w:bottom w:val="none" w:sz="0" w:space="0" w:color="auto"/>
            </w:tcBorders>
            <w:shd w:val="clear" w:color="auto" w:fill="C985EF"/>
            <w:noWrap/>
            <w:hideMark/>
          </w:tcPr>
          <w:p w14:paraId="1776344B" w14:textId="77777777" w:rsidR="004A36EA" w:rsidRPr="00C1753F" w:rsidRDefault="004A36EA" w:rsidP="004A3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1753F">
              <w:rPr>
                <w:rFonts w:ascii="Times New Roman" w:eastAsia="Times New Roman" w:hAnsi="Times New Roman" w:cs="Times New Roman"/>
                <w:color w:val="000000"/>
              </w:rPr>
              <w:t>Grade:</w:t>
            </w:r>
          </w:p>
        </w:tc>
      </w:tr>
      <w:tr w:rsidR="005506C3" w:rsidRPr="00C1753F" w14:paraId="6129AB3B" w14:textId="77777777" w:rsidTr="00FE782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5" w:type="dxa"/>
            <w:gridSpan w:val="7"/>
            <w:shd w:val="clear" w:color="auto" w:fill="E1BCF6"/>
            <w:noWrap/>
          </w:tcPr>
          <w:p w14:paraId="7D90A4A9" w14:textId="77777777" w:rsidR="005506C3" w:rsidRPr="00C1753F" w:rsidRDefault="005506C3" w:rsidP="005506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753F">
              <w:rPr>
                <w:rFonts w:ascii="Times New Roman" w:hAnsi="Times New Roman" w:cs="Times New Roman"/>
                <w:color w:val="000000"/>
              </w:rPr>
              <w:t xml:space="preserve">Date </w:t>
            </w:r>
            <w:r w:rsidR="000B1F0C" w:rsidRPr="00C1753F">
              <w:rPr>
                <w:rFonts w:ascii="Times New Roman" w:hAnsi="Times New Roman" w:cs="Times New Roman"/>
                <w:color w:val="000000"/>
              </w:rPr>
              <w:t xml:space="preserve">EL proficiency was achieved </w:t>
            </w:r>
            <w:r w:rsidRPr="00C1753F">
              <w:rPr>
                <w:rFonts w:ascii="Times New Roman" w:hAnsi="Times New Roman" w:cs="Times New Roman"/>
                <w:color w:val="000000"/>
              </w:rPr>
              <w:t xml:space="preserve"> (Must be monitored 2 years from this date)</w:t>
            </w:r>
          </w:p>
        </w:tc>
        <w:tc>
          <w:tcPr>
            <w:tcW w:w="3150" w:type="dxa"/>
            <w:gridSpan w:val="2"/>
            <w:shd w:val="clear" w:color="auto" w:fill="E1BCF6"/>
            <w:noWrap/>
          </w:tcPr>
          <w:p w14:paraId="3109D47E" w14:textId="77777777" w:rsidR="005506C3" w:rsidRPr="00C1753F" w:rsidRDefault="005506C3" w:rsidP="00550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7261" w:rsidRPr="00C1753F" w14:paraId="4E6565E2" w14:textId="77777777" w:rsidTr="00FE782C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9"/>
            <w:shd w:val="clear" w:color="auto" w:fill="E1BCF6"/>
            <w:noWrap/>
          </w:tcPr>
          <w:p w14:paraId="169ADEE3" w14:textId="77777777" w:rsidR="00D17261" w:rsidRPr="00C1753F" w:rsidRDefault="00D17261" w:rsidP="00D172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53F">
              <w:rPr>
                <w:rFonts w:ascii="Times New Roman" w:eastAsia="Times New Roman" w:hAnsi="Times New Roman" w:cs="Times New Roman"/>
                <w:color w:val="000000"/>
              </w:rPr>
              <w:t xml:space="preserve">ACCESS for ELLs </w:t>
            </w:r>
            <w:r w:rsidR="000B1F0C" w:rsidRPr="00C1753F">
              <w:rPr>
                <w:rFonts w:ascii="Times New Roman" w:eastAsia="Times New Roman" w:hAnsi="Times New Roman" w:cs="Times New Roman"/>
                <w:color w:val="000000"/>
              </w:rPr>
              <w:t xml:space="preserve">Proficiency </w:t>
            </w:r>
            <w:r w:rsidRPr="00C1753F">
              <w:rPr>
                <w:rFonts w:ascii="Times New Roman" w:eastAsia="Times New Roman" w:hAnsi="Times New Roman" w:cs="Times New Roman"/>
                <w:color w:val="000000"/>
              </w:rPr>
              <w:t>Results:</w:t>
            </w:r>
          </w:p>
        </w:tc>
      </w:tr>
      <w:tr w:rsidR="00FE782C" w:rsidRPr="00C1753F" w14:paraId="25820136" w14:textId="77777777" w:rsidTr="00FE782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3026A84" w14:textId="59514264" w:rsidR="005340A1" w:rsidRPr="003602F7" w:rsidRDefault="0029695A" w:rsidP="003602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Overall </w:t>
            </w:r>
            <w:r w:rsidR="003602F7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D17261" w:rsidRPr="003602F7">
              <w:rPr>
                <w:rFonts w:ascii="Times New Roman" w:eastAsia="Times New Roman" w:hAnsi="Times New Roman" w:cs="Times New Roman"/>
                <w:color w:val="000000"/>
              </w:rPr>
              <w:t>omposite</w:t>
            </w:r>
            <w:r w:rsidR="003602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40A1" w:rsidRPr="003602F7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D1482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88ECD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Speaking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B2490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69D33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99528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Literacy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BDB06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Comprehension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E5790" w14:textId="77777777" w:rsidR="00D17261" w:rsidRPr="003602F7" w:rsidRDefault="00D17261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Oral Language</w:t>
            </w:r>
          </w:p>
        </w:tc>
      </w:tr>
      <w:tr w:rsidR="00FE782C" w:rsidRPr="00C1753F" w14:paraId="780FFE6F" w14:textId="77777777" w:rsidTr="00FE782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C1E6E92" w14:textId="77777777" w:rsidR="00FE782C" w:rsidRPr="003602F7" w:rsidRDefault="00FE782C" w:rsidP="003602F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84CBC7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8A6B22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3CC907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F8C491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99E343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B07375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4A1B8F" w14:textId="77777777" w:rsidR="00FE782C" w:rsidRPr="003602F7" w:rsidRDefault="00FE782C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E4BD53F" w14:textId="77777777" w:rsidR="0024155B" w:rsidRDefault="0024155B" w:rsidP="00241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GridTable1Light-Accent6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160"/>
        <w:gridCol w:w="2250"/>
        <w:gridCol w:w="630"/>
        <w:gridCol w:w="630"/>
        <w:gridCol w:w="540"/>
        <w:gridCol w:w="3420"/>
      </w:tblGrid>
      <w:tr w:rsidR="0073511D" w:rsidRPr="003602F7" w14:paraId="556FC935" w14:textId="77777777" w:rsidTr="00FE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7"/>
            <w:shd w:val="clear" w:color="auto" w:fill="C985EF"/>
            <w:noWrap/>
          </w:tcPr>
          <w:p w14:paraId="3E40C26E" w14:textId="0872B52B" w:rsidR="0073511D" w:rsidRPr="003602F7" w:rsidRDefault="00E31941" w:rsidP="00D172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715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Y</w:t>
            </w:r>
            <w:r w:rsidR="0049715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ear</w:t>
            </w:r>
            <w:r w:rsidRPr="0049715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1</w:t>
            </w:r>
            <w:r w:rsidR="0049715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of Monitoring</w:t>
            </w:r>
          </w:p>
        </w:tc>
      </w:tr>
      <w:tr w:rsidR="0049715D" w:rsidRPr="003602F7" w14:paraId="4B590B10" w14:textId="77777777" w:rsidTr="00FE782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E1BCF6"/>
            <w:noWrap/>
            <w:vAlign w:val="center"/>
            <w:hideMark/>
          </w:tcPr>
          <w:p w14:paraId="3C86C887" w14:textId="77777777" w:rsidR="00C31CCB" w:rsidRPr="003602F7" w:rsidRDefault="00C31CCB" w:rsidP="003602F7">
            <w:pPr>
              <w:ind w:left="-120" w:right="-10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Monitoring Date</w:t>
            </w:r>
          </w:p>
        </w:tc>
        <w:tc>
          <w:tcPr>
            <w:tcW w:w="2160" w:type="dxa"/>
            <w:shd w:val="clear" w:color="auto" w:fill="E1BCF6"/>
            <w:noWrap/>
            <w:vAlign w:val="center"/>
            <w:hideMark/>
          </w:tcPr>
          <w:p w14:paraId="19C7A775" w14:textId="77777777" w:rsidR="00C31CCB" w:rsidRPr="003602F7" w:rsidRDefault="00C31CCB" w:rsidP="003602F7">
            <w:pPr>
              <w:ind w:left="-105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Content Area</w:t>
            </w:r>
          </w:p>
        </w:tc>
        <w:tc>
          <w:tcPr>
            <w:tcW w:w="2250" w:type="dxa"/>
            <w:shd w:val="clear" w:color="auto" w:fill="E1BCF6"/>
            <w:vAlign w:val="center"/>
            <w:hideMark/>
          </w:tcPr>
          <w:p w14:paraId="1B6FE0C3" w14:textId="56952019" w:rsidR="00C31CCB" w:rsidRPr="003602F7" w:rsidRDefault="00C31CCB" w:rsidP="00FE782C">
            <w:pPr>
              <w:ind w:left="-1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How </w:t>
            </w:r>
            <w:r w:rsidR="0073511D" w:rsidRPr="003602F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s this</w:t>
            </w:r>
            <w:r w:rsidR="003602F7"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 m</w:t>
            </w:r>
            <w:r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easured? </w:t>
            </w:r>
            <w:r w:rsidRPr="00FE7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(Formative, short cycle, state assessment)</w:t>
            </w:r>
          </w:p>
        </w:tc>
        <w:tc>
          <w:tcPr>
            <w:tcW w:w="1800" w:type="dxa"/>
            <w:gridSpan w:val="3"/>
            <w:shd w:val="clear" w:color="auto" w:fill="E1BCF6"/>
            <w:vAlign w:val="center"/>
          </w:tcPr>
          <w:p w14:paraId="2E0E6797" w14:textId="7E884A12" w:rsidR="00C31CCB" w:rsidRPr="003602F7" w:rsidRDefault="00C31CCB" w:rsidP="00360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  <w:r w:rsidR="009137A1" w:rsidRPr="003602F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49715D"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3420" w:type="dxa"/>
            <w:shd w:val="clear" w:color="auto" w:fill="E1BCF6"/>
            <w:vAlign w:val="center"/>
            <w:hideMark/>
          </w:tcPr>
          <w:p w14:paraId="79A8E205" w14:textId="645EB829" w:rsidR="00C31CCB" w:rsidRPr="003602F7" w:rsidRDefault="00C31CCB" w:rsidP="003602F7">
            <w:pPr>
              <w:ind w:left="-15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Recommendations/Notes:</w:t>
            </w:r>
          </w:p>
          <w:p w14:paraId="5EF3D5AC" w14:textId="77777777" w:rsidR="00C31CCB" w:rsidRPr="003602F7" w:rsidRDefault="00896F22" w:rsidP="003602F7">
            <w:pPr>
              <w:ind w:left="-15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What kinds of</w:t>
            </w:r>
            <w:r w:rsidR="00C31CCB"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3511D"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support or enrichment activities </w:t>
            </w:r>
            <w:r w:rsidRPr="003602F7">
              <w:rPr>
                <w:rFonts w:ascii="Times New Roman" w:eastAsia="Times New Roman" w:hAnsi="Times New Roman" w:cs="Times New Roman"/>
                <w:color w:val="000000"/>
              </w:rPr>
              <w:t xml:space="preserve">does the student need </w:t>
            </w:r>
            <w:r w:rsidR="00C31CCB" w:rsidRPr="003602F7">
              <w:rPr>
                <w:rFonts w:ascii="Times New Roman" w:eastAsia="Times New Roman" w:hAnsi="Times New Roman" w:cs="Times New Roman"/>
                <w:color w:val="000000"/>
              </w:rPr>
              <w:t>during the coming weeks or months?</w:t>
            </w:r>
          </w:p>
        </w:tc>
      </w:tr>
      <w:tr w:rsidR="003602F7" w:rsidRPr="003602F7" w14:paraId="00F9BE5A" w14:textId="77777777" w:rsidTr="00FE782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320A4E03" w14:textId="77777777" w:rsidR="00C31CCB" w:rsidRPr="003602F7" w:rsidRDefault="00C31CCB" w:rsidP="004971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E1BCF6"/>
            <w:noWrap/>
            <w:vAlign w:val="center"/>
          </w:tcPr>
          <w:p w14:paraId="505FA3D4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English Language Arts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01CD496" w14:textId="77777777" w:rsidR="00C31CCB" w:rsidRPr="003602F7" w:rsidRDefault="00C31CCB" w:rsidP="0049715D">
            <w:pPr>
              <w:ind w:left="-12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E1BCF6"/>
            <w:vAlign w:val="center"/>
          </w:tcPr>
          <w:p w14:paraId="6D14266D" w14:textId="0B7CA19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1BCF6"/>
            <w:vAlign w:val="center"/>
          </w:tcPr>
          <w:p w14:paraId="39131CAF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1BCF6"/>
            <w:vAlign w:val="center"/>
          </w:tcPr>
          <w:p w14:paraId="2D403BD1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EOY</w:t>
            </w:r>
          </w:p>
        </w:tc>
        <w:tc>
          <w:tcPr>
            <w:tcW w:w="3420" w:type="dxa"/>
            <w:vAlign w:val="center"/>
          </w:tcPr>
          <w:p w14:paraId="14439D64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2F7" w:rsidRPr="003602F7" w14:paraId="617EED8C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08083EF1" w14:textId="77777777" w:rsidR="00C31CCB" w:rsidRPr="003602F7" w:rsidRDefault="00C31CCB" w:rsidP="004971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E1BCF6"/>
            <w:noWrap/>
            <w:vAlign w:val="center"/>
          </w:tcPr>
          <w:p w14:paraId="3F635887" w14:textId="77777777" w:rsidR="00C31CCB" w:rsidRPr="003602F7" w:rsidRDefault="00C31CCB" w:rsidP="0049715D">
            <w:pPr>
              <w:ind w:left="-105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1480221" w14:textId="77777777" w:rsidR="00C31CCB" w:rsidRPr="003602F7" w:rsidRDefault="00C31CCB" w:rsidP="0049715D">
            <w:pPr>
              <w:ind w:left="-12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E1BCF6"/>
            <w:vAlign w:val="center"/>
          </w:tcPr>
          <w:p w14:paraId="22868E4C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1BCF6"/>
            <w:vAlign w:val="center"/>
          </w:tcPr>
          <w:p w14:paraId="1F0DB913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1BCF6"/>
            <w:vAlign w:val="center"/>
          </w:tcPr>
          <w:p w14:paraId="6C81E1F8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EOY</w:t>
            </w:r>
          </w:p>
        </w:tc>
        <w:tc>
          <w:tcPr>
            <w:tcW w:w="3420" w:type="dxa"/>
            <w:vAlign w:val="center"/>
          </w:tcPr>
          <w:p w14:paraId="4DC6DFA7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2F7" w:rsidRPr="003602F7" w14:paraId="659FD217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5D6BF291" w14:textId="77777777" w:rsidR="00C31CCB" w:rsidRPr="003602F7" w:rsidRDefault="00C31CCB" w:rsidP="004971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E1BCF6"/>
            <w:noWrap/>
            <w:vAlign w:val="center"/>
          </w:tcPr>
          <w:p w14:paraId="1145954C" w14:textId="77777777" w:rsidR="00C31CCB" w:rsidRPr="003602F7" w:rsidRDefault="00C31CCB" w:rsidP="0049715D">
            <w:pPr>
              <w:ind w:left="-105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Science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7D3850" w14:textId="77777777" w:rsidR="00C31CCB" w:rsidRPr="003602F7" w:rsidRDefault="00C31CCB" w:rsidP="0049715D">
            <w:pPr>
              <w:ind w:left="-12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shd w:val="clear" w:color="auto" w:fill="E1BCF6"/>
            <w:vAlign w:val="center"/>
          </w:tcPr>
          <w:p w14:paraId="1FE61547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1BCF6"/>
            <w:vAlign w:val="center"/>
          </w:tcPr>
          <w:p w14:paraId="58CB11D1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1BCF6"/>
            <w:vAlign w:val="center"/>
          </w:tcPr>
          <w:p w14:paraId="017774A4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EOY</w:t>
            </w:r>
          </w:p>
        </w:tc>
        <w:tc>
          <w:tcPr>
            <w:tcW w:w="3420" w:type="dxa"/>
            <w:vAlign w:val="center"/>
          </w:tcPr>
          <w:p w14:paraId="5EC278C4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2F7" w:rsidRPr="003602F7" w14:paraId="63346EBF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sz="12" w:space="0" w:color="auto"/>
            </w:tcBorders>
            <w:noWrap/>
            <w:vAlign w:val="center"/>
          </w:tcPr>
          <w:p w14:paraId="3F4BAE52" w14:textId="77777777" w:rsidR="00C31CCB" w:rsidRPr="003602F7" w:rsidRDefault="00C31CCB" w:rsidP="004971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E1BCF6"/>
            <w:noWrap/>
            <w:vAlign w:val="center"/>
          </w:tcPr>
          <w:p w14:paraId="556B6431" w14:textId="77777777" w:rsidR="00C31CCB" w:rsidRPr="003602F7" w:rsidRDefault="00C31CCB" w:rsidP="0049715D">
            <w:pPr>
              <w:ind w:left="-105" w:right="-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Social Studies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EF94EE" w14:textId="77777777" w:rsidR="00C31CCB" w:rsidRPr="003602F7" w:rsidRDefault="00C31CCB" w:rsidP="0049715D">
            <w:pPr>
              <w:ind w:left="-12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1BCF6"/>
            <w:vAlign w:val="center"/>
          </w:tcPr>
          <w:p w14:paraId="69311BDE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BOY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1BCF6"/>
            <w:vAlign w:val="center"/>
          </w:tcPr>
          <w:p w14:paraId="1C06F056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MOY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1BCF6"/>
            <w:vAlign w:val="center"/>
          </w:tcPr>
          <w:p w14:paraId="513EE12B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3602F7">
              <w:rPr>
                <w:rFonts w:ascii="Times New Roman" w:eastAsia="Times New Roman" w:hAnsi="Times New Roman" w:cs="Times New Roman"/>
                <w:color w:val="000000"/>
              </w:rPr>
              <w:t>EOY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14:paraId="745104DC" w14:textId="77777777" w:rsidR="00C31CCB" w:rsidRPr="003602F7" w:rsidRDefault="00C31CC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4356" w:rsidRPr="003602F7" w14:paraId="29082341" w14:textId="77777777" w:rsidTr="00FE782C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gridSpan w:val="6"/>
            <w:shd w:val="clear" w:color="auto" w:fill="E1BCF6"/>
            <w:noWrap/>
            <w:vAlign w:val="center"/>
          </w:tcPr>
          <w:p w14:paraId="6D8974EB" w14:textId="77777777" w:rsidR="00044356" w:rsidRPr="0049715D" w:rsidRDefault="00044356" w:rsidP="0073511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4971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Is the student participating in other programs or services? (Gifted, Special education, Bilingual Multicultural Education Program, etc.)</w:t>
            </w:r>
          </w:p>
        </w:tc>
        <w:tc>
          <w:tcPr>
            <w:tcW w:w="3420" w:type="dxa"/>
            <w:shd w:val="clear" w:color="auto" w:fill="E1BCF6"/>
          </w:tcPr>
          <w:p w14:paraId="4D574BEA" w14:textId="77777777" w:rsidR="00044356" w:rsidRPr="003602F7" w:rsidRDefault="00044356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155B" w:rsidRPr="003602F7" w14:paraId="0BA70300" w14:textId="77777777" w:rsidTr="00FE782C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gridSpan w:val="6"/>
            <w:shd w:val="clear" w:color="auto" w:fill="E1BCF6"/>
            <w:noWrap/>
            <w:vAlign w:val="center"/>
          </w:tcPr>
          <w:p w14:paraId="383D46E3" w14:textId="77777777" w:rsidR="0024155B" w:rsidRPr="0049715D" w:rsidRDefault="0024155B" w:rsidP="0024155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49715D">
              <w:rPr>
                <w:rFonts w:ascii="Times New Roman" w:hAnsi="Times New Roman" w:cs="Times New Roman"/>
                <w:b w:val="0"/>
                <w:bCs w:val="0"/>
              </w:rPr>
              <w:t xml:space="preserve">Are there other qualitative considerations? </w:t>
            </w:r>
          </w:p>
        </w:tc>
        <w:tc>
          <w:tcPr>
            <w:tcW w:w="3420" w:type="dxa"/>
            <w:shd w:val="clear" w:color="auto" w:fill="E1BCF6"/>
          </w:tcPr>
          <w:p w14:paraId="21D536E0" w14:textId="77777777" w:rsidR="0024155B" w:rsidRPr="003602F7" w:rsidRDefault="0024155B" w:rsidP="003602F7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FFD0F21" w14:textId="2697C6DA" w:rsidR="0049715D" w:rsidRDefault="0049715D"/>
    <w:p w14:paraId="27B46639" w14:textId="77777777" w:rsidR="0049715D" w:rsidRDefault="0049715D">
      <w:r>
        <w:br w:type="page"/>
      </w:r>
    </w:p>
    <w:tbl>
      <w:tblPr>
        <w:tblStyle w:val="GridTable1Light-Accent6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070"/>
        <w:gridCol w:w="2340"/>
        <w:gridCol w:w="540"/>
        <w:gridCol w:w="630"/>
        <w:gridCol w:w="540"/>
        <w:gridCol w:w="3510"/>
      </w:tblGrid>
      <w:tr w:rsidR="00E31941" w:rsidRPr="00D17261" w14:paraId="1CA2220D" w14:textId="77777777" w:rsidTr="00FE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7"/>
            <w:shd w:val="clear" w:color="auto" w:fill="C5E0B3" w:themeFill="accent6" w:themeFillTint="66"/>
            <w:noWrap/>
          </w:tcPr>
          <w:p w14:paraId="2A3A60D9" w14:textId="320712BA" w:rsidR="00E31941" w:rsidRPr="00D17261" w:rsidRDefault="00E31941" w:rsidP="00E3194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15D">
              <w:rPr>
                <w:rFonts w:ascii="Calibri" w:eastAsia="Times New Roman" w:hAnsi="Calibri" w:cs="Calibri"/>
                <w:color w:val="000000"/>
                <w:sz w:val="28"/>
                <w:szCs w:val="18"/>
              </w:rPr>
              <w:lastRenderedPageBreak/>
              <w:t>Y</w:t>
            </w:r>
            <w:r w:rsidR="0049715D" w:rsidRPr="0049715D">
              <w:rPr>
                <w:rFonts w:ascii="Calibri" w:eastAsia="Times New Roman" w:hAnsi="Calibri" w:cs="Calibri"/>
                <w:color w:val="000000"/>
                <w:sz w:val="28"/>
                <w:szCs w:val="18"/>
              </w:rPr>
              <w:t>ear</w:t>
            </w:r>
            <w:r w:rsidRPr="0049715D">
              <w:rPr>
                <w:rFonts w:ascii="Calibri" w:eastAsia="Times New Roman" w:hAnsi="Calibri" w:cs="Calibri"/>
                <w:color w:val="000000"/>
                <w:sz w:val="28"/>
                <w:szCs w:val="18"/>
              </w:rPr>
              <w:t xml:space="preserve"> 2</w:t>
            </w:r>
            <w:r w:rsidR="0049715D" w:rsidRPr="0049715D">
              <w:rPr>
                <w:rFonts w:ascii="Calibri" w:eastAsia="Times New Roman" w:hAnsi="Calibri" w:cs="Calibri"/>
                <w:color w:val="000000"/>
                <w:sz w:val="28"/>
                <w:szCs w:val="18"/>
              </w:rPr>
              <w:t xml:space="preserve"> of Monitoring</w:t>
            </w:r>
          </w:p>
        </w:tc>
      </w:tr>
      <w:tr w:rsidR="00FE782C" w:rsidRPr="00D17261" w14:paraId="1378C6C9" w14:textId="77777777" w:rsidTr="00FE782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E2EFD9" w:themeFill="accent6" w:themeFillTint="33"/>
            <w:noWrap/>
            <w:vAlign w:val="center"/>
            <w:hideMark/>
          </w:tcPr>
          <w:p w14:paraId="13010F90" w14:textId="77777777" w:rsidR="00E31941" w:rsidRPr="0049715D" w:rsidRDefault="00E31941" w:rsidP="00FE782C">
            <w:pPr>
              <w:ind w:left="-120" w:right="-105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9715D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Monitoring Date</w:t>
            </w:r>
          </w:p>
        </w:tc>
        <w:tc>
          <w:tcPr>
            <w:tcW w:w="2070" w:type="dxa"/>
            <w:shd w:val="clear" w:color="auto" w:fill="E2EFD9" w:themeFill="accent6" w:themeFillTint="33"/>
            <w:noWrap/>
            <w:vAlign w:val="center"/>
            <w:hideMark/>
          </w:tcPr>
          <w:p w14:paraId="2ABEBBB0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D17261">
              <w:rPr>
                <w:rFonts w:ascii="Calibri" w:eastAsia="Times New Roman" w:hAnsi="Calibri" w:cs="Calibri"/>
                <w:color w:val="000000"/>
              </w:rPr>
              <w:t>Content Area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  <w:hideMark/>
          </w:tcPr>
          <w:p w14:paraId="72332780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044356">
              <w:rPr>
                <w:rFonts w:ascii="Calibri" w:eastAsia="Times New Roman" w:hAnsi="Calibri" w:cs="Calibri"/>
                <w:color w:val="000000"/>
              </w:rPr>
              <w:t xml:space="preserve">How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044356">
              <w:rPr>
                <w:rFonts w:ascii="Calibri" w:eastAsia="Times New Roman" w:hAnsi="Calibri" w:cs="Calibri"/>
                <w:color w:val="000000"/>
              </w:rPr>
              <w:t xml:space="preserve">s this measured? </w:t>
            </w:r>
            <w:r w:rsidRPr="000443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(Formative, short cycle, state assessment)</w:t>
            </w:r>
          </w:p>
        </w:tc>
        <w:tc>
          <w:tcPr>
            <w:tcW w:w="1710" w:type="dxa"/>
            <w:gridSpan w:val="3"/>
            <w:shd w:val="clear" w:color="auto" w:fill="E2EFD9" w:themeFill="accent6" w:themeFillTint="33"/>
            <w:vAlign w:val="center"/>
          </w:tcPr>
          <w:p w14:paraId="2F7F4E2A" w14:textId="77777777" w:rsidR="00E31941" w:rsidRPr="00D17261" w:rsidRDefault="00E31941" w:rsidP="00FE7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Scores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  <w:hideMark/>
          </w:tcPr>
          <w:p w14:paraId="41E6740E" w14:textId="6C1F72B3" w:rsidR="00E31941" w:rsidRPr="004A36EA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D17261">
              <w:rPr>
                <w:rFonts w:ascii="Calibri" w:eastAsia="Times New Roman" w:hAnsi="Calibri" w:cs="Calibri"/>
                <w:color w:val="000000"/>
              </w:rPr>
              <w:t>Recommendations</w:t>
            </w:r>
            <w:r>
              <w:rPr>
                <w:rFonts w:ascii="Calibri" w:eastAsia="Times New Roman" w:hAnsi="Calibri" w:cs="Calibri"/>
                <w:color w:val="000000"/>
              </w:rPr>
              <w:t>/Notes</w:t>
            </w:r>
            <w:r w:rsidRPr="00D17261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40FF0BE9" w14:textId="489574D1" w:rsidR="00E31941" w:rsidRPr="00D17261" w:rsidRDefault="00783E17" w:rsidP="00FE782C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What kinds of </w:t>
            </w:r>
            <w:r w:rsidR="00E31941">
              <w:rPr>
                <w:rFonts w:ascii="Calibri" w:eastAsia="Times New Roman" w:hAnsi="Calibri" w:cs="Calibri"/>
                <w:color w:val="000000"/>
              </w:rPr>
              <w:t xml:space="preserve">support or enrichment activities </w:t>
            </w:r>
            <w:r w:rsidR="0049715D">
              <w:rPr>
                <w:rFonts w:ascii="Calibri" w:eastAsia="Times New Roman" w:hAnsi="Calibri" w:cs="Calibri"/>
                <w:color w:val="000000"/>
              </w:rPr>
              <w:t xml:space="preserve">does the student need </w:t>
            </w:r>
            <w:r w:rsidR="00E31941" w:rsidRPr="00D17261">
              <w:rPr>
                <w:rFonts w:ascii="Calibri" w:eastAsia="Times New Roman" w:hAnsi="Calibri" w:cs="Calibri"/>
                <w:color w:val="000000"/>
              </w:rPr>
              <w:t>during the coming weeks or months?</w:t>
            </w:r>
          </w:p>
        </w:tc>
      </w:tr>
      <w:tr w:rsidR="00FE782C" w:rsidRPr="00D17261" w14:paraId="76455B92" w14:textId="77777777" w:rsidTr="00FE782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1B6EB808" w14:textId="77777777" w:rsidR="00E31941" w:rsidRPr="00D17261" w:rsidRDefault="00E31941" w:rsidP="00FE782C">
            <w:pPr>
              <w:ind w:left="-120" w:right="-10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noWrap/>
            <w:vAlign w:val="center"/>
          </w:tcPr>
          <w:p w14:paraId="0196C86D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Language Arts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093B5F2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0DB7CF2C" w14:textId="733D4C4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2EFD9" w:themeFill="accent6" w:themeFillTint="33"/>
            <w:vAlign w:val="center"/>
          </w:tcPr>
          <w:p w14:paraId="5F938A2F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3A29224D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EOY</w:t>
            </w:r>
          </w:p>
        </w:tc>
        <w:tc>
          <w:tcPr>
            <w:tcW w:w="3510" w:type="dxa"/>
            <w:vAlign w:val="center"/>
          </w:tcPr>
          <w:p w14:paraId="5715B173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782C" w:rsidRPr="00D17261" w14:paraId="53B4B8CB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5DD6E53A" w14:textId="77777777" w:rsidR="00E31941" w:rsidRPr="00D17261" w:rsidRDefault="00E31941" w:rsidP="00FE782C">
            <w:pPr>
              <w:ind w:left="-120" w:right="-10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noWrap/>
            <w:vAlign w:val="center"/>
          </w:tcPr>
          <w:p w14:paraId="1824BF35" w14:textId="77777777" w:rsidR="00E3194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Mathematics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C825A0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1D584F02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2EFD9" w:themeFill="accent6" w:themeFillTint="33"/>
            <w:vAlign w:val="center"/>
          </w:tcPr>
          <w:p w14:paraId="5FDBB812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0B317B29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EOY</w:t>
            </w:r>
          </w:p>
        </w:tc>
        <w:tc>
          <w:tcPr>
            <w:tcW w:w="3510" w:type="dxa"/>
            <w:vAlign w:val="center"/>
          </w:tcPr>
          <w:p w14:paraId="044E8799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782C" w:rsidRPr="00D17261" w14:paraId="55E722A8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vAlign w:val="center"/>
          </w:tcPr>
          <w:p w14:paraId="57223722" w14:textId="77777777" w:rsidR="00E31941" w:rsidRPr="00D17261" w:rsidRDefault="00E31941" w:rsidP="00FE782C">
            <w:pPr>
              <w:ind w:left="-120" w:right="-10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noWrap/>
            <w:vAlign w:val="center"/>
          </w:tcPr>
          <w:p w14:paraId="56AA0910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Science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2A925D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003DD4AD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BOY</w:t>
            </w:r>
          </w:p>
        </w:tc>
        <w:tc>
          <w:tcPr>
            <w:tcW w:w="630" w:type="dxa"/>
            <w:shd w:val="clear" w:color="auto" w:fill="E2EFD9" w:themeFill="accent6" w:themeFillTint="33"/>
            <w:vAlign w:val="center"/>
          </w:tcPr>
          <w:p w14:paraId="5F14B0FC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MOY</w:t>
            </w: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37D69FF8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EOY</w:t>
            </w:r>
          </w:p>
        </w:tc>
        <w:tc>
          <w:tcPr>
            <w:tcW w:w="3510" w:type="dxa"/>
            <w:vAlign w:val="center"/>
          </w:tcPr>
          <w:p w14:paraId="3FC3CEF3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782C" w:rsidRPr="00D17261" w14:paraId="05842673" w14:textId="77777777" w:rsidTr="00FE782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bottom w:val="single" w:sz="12" w:space="0" w:color="auto"/>
            </w:tcBorders>
            <w:noWrap/>
            <w:vAlign w:val="center"/>
          </w:tcPr>
          <w:p w14:paraId="1F2973D4" w14:textId="77777777" w:rsidR="00E31941" w:rsidRPr="00D17261" w:rsidRDefault="00E31941" w:rsidP="00FE782C">
            <w:pPr>
              <w:ind w:left="-120" w:right="-10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</w:tcPr>
          <w:p w14:paraId="144D5BF8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Social Studies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CDE54C" w14:textId="77777777" w:rsidR="00E31941" w:rsidRPr="00D17261" w:rsidRDefault="00E31941" w:rsidP="00FE782C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3E29B41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BOY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76AF630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MOY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D7366A8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EOY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14:paraId="6F35FEFD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1941" w:rsidRPr="00D17261" w14:paraId="6E583DCA" w14:textId="77777777" w:rsidTr="00FE782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5" w:type="dxa"/>
            <w:gridSpan w:val="6"/>
            <w:shd w:val="clear" w:color="auto" w:fill="E2EFD9" w:themeFill="accent6" w:themeFillTint="33"/>
            <w:noWrap/>
            <w:vAlign w:val="center"/>
          </w:tcPr>
          <w:p w14:paraId="39C3CB0A" w14:textId="77777777" w:rsidR="00E31941" w:rsidRPr="0049715D" w:rsidRDefault="00E31941" w:rsidP="00E45E1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9715D">
              <w:rPr>
                <w:rFonts w:ascii="Calibri" w:eastAsia="Times New Roman" w:hAnsi="Calibri" w:cs="Arial"/>
                <w:b w:val="0"/>
                <w:bCs w:val="0"/>
                <w:color w:val="000000"/>
              </w:rPr>
              <w:t>Is the student participating in other programs or services? (Gifted, Special education, Bilingual Multicultural Education Program, etc.)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751207E" w14:textId="77777777" w:rsidR="00E31941" w:rsidRPr="00D17261" w:rsidRDefault="00E31941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55B" w:rsidRPr="00D17261" w14:paraId="433BFCF7" w14:textId="77777777" w:rsidTr="00FE782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5" w:type="dxa"/>
            <w:gridSpan w:val="6"/>
            <w:shd w:val="clear" w:color="auto" w:fill="E2EFD9" w:themeFill="accent6" w:themeFillTint="33"/>
            <w:noWrap/>
            <w:vAlign w:val="center"/>
          </w:tcPr>
          <w:p w14:paraId="4A475B2E" w14:textId="77777777" w:rsidR="0024155B" w:rsidRPr="0049715D" w:rsidRDefault="0024155B" w:rsidP="00E45E1E">
            <w:pPr>
              <w:rPr>
                <w:rFonts w:ascii="Calibri" w:eastAsia="Times New Roman" w:hAnsi="Calibri" w:cs="Arial"/>
                <w:b w:val="0"/>
                <w:bCs w:val="0"/>
                <w:color w:val="000000"/>
              </w:rPr>
            </w:pPr>
            <w:r w:rsidRPr="0049715D">
              <w:rPr>
                <w:b w:val="0"/>
                <w:bCs w:val="0"/>
              </w:rPr>
              <w:t xml:space="preserve">Are there other qualitative considerations? 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E81C3A9" w14:textId="77777777" w:rsidR="0024155B" w:rsidRPr="00D17261" w:rsidRDefault="0024155B" w:rsidP="0049715D">
            <w:pPr>
              <w:ind w:left="-105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2A0C96" w14:textId="77777777" w:rsidR="00E31941" w:rsidRDefault="00E31941" w:rsidP="009918AB">
      <w:pPr>
        <w:spacing w:after="0" w:line="240" w:lineRule="auto"/>
        <w:rPr>
          <w:rFonts w:ascii="Copperplate" w:eastAsia="Times New Roman" w:hAnsi="Copperplate" w:cs="Times New Roman"/>
          <w:color w:val="000000"/>
        </w:rPr>
      </w:pPr>
    </w:p>
    <w:p w14:paraId="1731CD1B" w14:textId="23D5EA59" w:rsidR="001E7E71" w:rsidRDefault="00D17261" w:rsidP="002E3EA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1E7E71" w:rsidSect="000032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67FE" w14:textId="77777777" w:rsidR="0075621E" w:rsidRDefault="0075621E" w:rsidP="00375FFB">
      <w:pPr>
        <w:spacing w:after="0" w:line="240" w:lineRule="auto"/>
      </w:pPr>
      <w:r>
        <w:separator/>
      </w:r>
    </w:p>
  </w:endnote>
  <w:endnote w:type="continuationSeparator" w:id="0">
    <w:p w14:paraId="2F7F6469" w14:textId="77777777" w:rsidR="0075621E" w:rsidRDefault="0075621E" w:rsidP="0037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36C3" w14:textId="77777777" w:rsidR="0075621E" w:rsidRDefault="0075621E" w:rsidP="00375FFB">
      <w:pPr>
        <w:spacing w:after="0" w:line="240" w:lineRule="auto"/>
      </w:pPr>
      <w:r>
        <w:separator/>
      </w:r>
    </w:p>
  </w:footnote>
  <w:footnote w:type="continuationSeparator" w:id="0">
    <w:p w14:paraId="33DFA654" w14:textId="77777777" w:rsidR="0075621E" w:rsidRDefault="0075621E" w:rsidP="00375FFB">
      <w:pPr>
        <w:spacing w:after="0" w:line="240" w:lineRule="auto"/>
      </w:pPr>
      <w:r>
        <w:continuationSeparator/>
      </w:r>
    </w:p>
  </w:footnote>
  <w:footnote w:id="1">
    <w:p w14:paraId="42822721" w14:textId="15C8DB7E" w:rsidR="0049715D" w:rsidRPr="001E7E71" w:rsidRDefault="0049715D" w:rsidP="0049715D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NMAC 6</w:t>
      </w:r>
      <w:r w:rsidRPr="001E7E71">
        <w:rPr>
          <w:rFonts w:eastAsia="Times New Roman" w:cstheme="minorHAnsi"/>
          <w:b/>
          <w:bCs/>
          <w:color w:val="000000"/>
          <w:sz w:val="20"/>
          <w:szCs w:val="20"/>
        </w:rPr>
        <w:t>.29.5.12 EXIT CRITERIA FOR ENGLISH LANGUAGE LEARNER STATUS:</w:t>
      </w:r>
    </w:p>
    <w:p w14:paraId="1623EF90" w14:textId="77777777" w:rsidR="0049715D" w:rsidRPr="001E7E71" w:rsidRDefault="0049715D" w:rsidP="0049715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E7E71">
        <w:rPr>
          <w:rFonts w:eastAsia="Times New Roman" w:cstheme="minorHAnsi"/>
          <w:b/>
          <w:bCs/>
          <w:color w:val="000000"/>
          <w:sz w:val="20"/>
          <w:szCs w:val="20"/>
        </w:rPr>
        <w:t> A.</w:t>
      </w:r>
      <w:r w:rsidRPr="001E7E71">
        <w:rPr>
          <w:rFonts w:eastAsia="Times New Roman" w:cstheme="minorHAnsi"/>
          <w:color w:val="000000"/>
          <w:sz w:val="20"/>
          <w:szCs w:val="20"/>
        </w:rPr>
        <w:t>  English language learners attaining a composite score as determined by the department on the department-approved English language proficiency assessment will exit English language learner status and shall be reclassified as fluent English proficient.</w:t>
      </w:r>
      <w:r>
        <w:rPr>
          <w:rFonts w:eastAsia="Times New Roman" w:cstheme="minorHAnsi"/>
          <w:color w:val="000000"/>
        </w:rPr>
        <w:t xml:space="preserve"> </w:t>
      </w:r>
      <w:r w:rsidRPr="001E7E71">
        <w:rPr>
          <w:rFonts w:eastAsia="Times New Roman" w:cstheme="minorHAnsi"/>
          <w:b/>
          <w:bCs/>
          <w:color w:val="000000"/>
          <w:sz w:val="20"/>
          <w:szCs w:val="20"/>
        </w:rPr>
        <w:t>B.</w:t>
      </w:r>
      <w:r w:rsidRPr="001E7E71">
        <w:rPr>
          <w:rFonts w:eastAsia="Times New Roman" w:cstheme="minorHAnsi"/>
          <w:color w:val="000000"/>
          <w:sz w:val="20"/>
          <w:szCs w:val="20"/>
        </w:rPr>
        <w:t> Students attaining the composite score identified in Subsection A must be monitored for academic progress for two subsequent school years by the school district.</w:t>
      </w:r>
    </w:p>
    <w:p w14:paraId="7222B7A1" w14:textId="7BAA213B" w:rsidR="0049715D" w:rsidRDefault="0049715D">
      <w:pPr>
        <w:pStyle w:val="FootnoteText"/>
      </w:pPr>
    </w:p>
  </w:footnote>
  <w:footnote w:id="2">
    <w:p w14:paraId="270E6382" w14:textId="77777777" w:rsidR="0049715D" w:rsidRDefault="0049715D" w:rsidP="0049715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t>BOY= Beginning of the year</w:t>
      </w:r>
    </w:p>
    <w:p w14:paraId="6E0C35A9" w14:textId="77777777" w:rsidR="0049715D" w:rsidRDefault="0049715D" w:rsidP="0049715D">
      <w:pPr>
        <w:spacing w:after="0" w:line="240" w:lineRule="auto"/>
      </w:pPr>
      <w:r>
        <w:t>MOY = Middle of the year</w:t>
      </w:r>
    </w:p>
    <w:p w14:paraId="65738084" w14:textId="77777777" w:rsidR="0049715D" w:rsidRDefault="0049715D" w:rsidP="0049715D">
      <w:pPr>
        <w:spacing w:after="0" w:line="240" w:lineRule="auto"/>
      </w:pPr>
      <w:r>
        <w:t>EOY = End of the year</w:t>
      </w:r>
    </w:p>
    <w:p w14:paraId="4D8E82FC" w14:textId="1B1625FE" w:rsidR="0049715D" w:rsidRDefault="0049715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61"/>
    <w:rsid w:val="0000321C"/>
    <w:rsid w:val="00005C0C"/>
    <w:rsid w:val="00044356"/>
    <w:rsid w:val="000536D6"/>
    <w:rsid w:val="00071F28"/>
    <w:rsid w:val="00090F4A"/>
    <w:rsid w:val="00096A3F"/>
    <w:rsid w:val="000A66F2"/>
    <w:rsid w:val="000B1F0C"/>
    <w:rsid w:val="00133CFF"/>
    <w:rsid w:val="00160120"/>
    <w:rsid w:val="001965E6"/>
    <w:rsid w:val="001C4455"/>
    <w:rsid w:val="001E7E71"/>
    <w:rsid w:val="00235ACF"/>
    <w:rsid w:val="0024155B"/>
    <w:rsid w:val="00274240"/>
    <w:rsid w:val="0029695A"/>
    <w:rsid w:val="002E3EA2"/>
    <w:rsid w:val="003077E4"/>
    <w:rsid w:val="003602F7"/>
    <w:rsid w:val="00375FFB"/>
    <w:rsid w:val="00396A66"/>
    <w:rsid w:val="003A709E"/>
    <w:rsid w:val="003C56FE"/>
    <w:rsid w:val="00437510"/>
    <w:rsid w:val="00464D37"/>
    <w:rsid w:val="0049715D"/>
    <w:rsid w:val="004A36EA"/>
    <w:rsid w:val="004A58A3"/>
    <w:rsid w:val="00514240"/>
    <w:rsid w:val="00532CE2"/>
    <w:rsid w:val="005340A1"/>
    <w:rsid w:val="005506C3"/>
    <w:rsid w:val="00576746"/>
    <w:rsid w:val="007140E5"/>
    <w:rsid w:val="0073511D"/>
    <w:rsid w:val="0075621E"/>
    <w:rsid w:val="00783E17"/>
    <w:rsid w:val="007A3CEF"/>
    <w:rsid w:val="007C4DCB"/>
    <w:rsid w:val="007C7C9D"/>
    <w:rsid w:val="007E005E"/>
    <w:rsid w:val="007F251A"/>
    <w:rsid w:val="00842857"/>
    <w:rsid w:val="00852AE7"/>
    <w:rsid w:val="00877016"/>
    <w:rsid w:val="00896F22"/>
    <w:rsid w:val="008A6A23"/>
    <w:rsid w:val="008D79A8"/>
    <w:rsid w:val="008F662A"/>
    <w:rsid w:val="008F78E1"/>
    <w:rsid w:val="00906C00"/>
    <w:rsid w:val="00911AA7"/>
    <w:rsid w:val="00911BCD"/>
    <w:rsid w:val="009137A1"/>
    <w:rsid w:val="009918AB"/>
    <w:rsid w:val="009C4295"/>
    <w:rsid w:val="009E4B5B"/>
    <w:rsid w:val="00A00B4A"/>
    <w:rsid w:val="00A80CCA"/>
    <w:rsid w:val="00AB4DA3"/>
    <w:rsid w:val="00B8120D"/>
    <w:rsid w:val="00BC1BBB"/>
    <w:rsid w:val="00BC38FE"/>
    <w:rsid w:val="00BD000B"/>
    <w:rsid w:val="00BE3704"/>
    <w:rsid w:val="00C13A56"/>
    <w:rsid w:val="00C1753F"/>
    <w:rsid w:val="00C20E36"/>
    <w:rsid w:val="00C31CCB"/>
    <w:rsid w:val="00C4198B"/>
    <w:rsid w:val="00C47AE2"/>
    <w:rsid w:val="00C47EC8"/>
    <w:rsid w:val="00CB6ABC"/>
    <w:rsid w:val="00CD6226"/>
    <w:rsid w:val="00CE1F57"/>
    <w:rsid w:val="00D02020"/>
    <w:rsid w:val="00D072CB"/>
    <w:rsid w:val="00D17261"/>
    <w:rsid w:val="00D51699"/>
    <w:rsid w:val="00D91289"/>
    <w:rsid w:val="00DC5F64"/>
    <w:rsid w:val="00DD151E"/>
    <w:rsid w:val="00E02B32"/>
    <w:rsid w:val="00E12D3F"/>
    <w:rsid w:val="00E31941"/>
    <w:rsid w:val="00EC0FAC"/>
    <w:rsid w:val="00EE6F28"/>
    <w:rsid w:val="00F4731C"/>
    <w:rsid w:val="00F752CC"/>
    <w:rsid w:val="00F81BA3"/>
    <w:rsid w:val="00F94B7B"/>
    <w:rsid w:val="00FB577C"/>
    <w:rsid w:val="00FC62DB"/>
    <w:rsid w:val="00FE51BC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4C3E"/>
  <w15:chartTrackingRefBased/>
  <w15:docId w15:val="{1D148A13-8B03-42C8-9689-9F9FF5F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4A36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11A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FB"/>
  </w:style>
  <w:style w:type="paragraph" w:styleId="Footer">
    <w:name w:val="footer"/>
    <w:basedOn w:val="Normal"/>
    <w:link w:val="FooterChar"/>
    <w:uiPriority w:val="99"/>
    <w:unhideWhenUsed/>
    <w:rsid w:val="0037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FB"/>
  </w:style>
  <w:style w:type="character" w:styleId="CommentReference">
    <w:name w:val="annotation reference"/>
    <w:basedOn w:val="DefaultParagraphFont"/>
    <w:uiPriority w:val="99"/>
    <w:semiHidden/>
    <w:unhideWhenUsed/>
    <w:rsid w:val="000B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731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7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2.ed.gov/about/offices/list/oela/english-learner-toolkit/chap8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40944F82C644DB2E40CA88FC1AB81" ma:contentTypeVersion="3" ma:contentTypeDescription="Create a new document." ma:contentTypeScope="" ma:versionID="a8c082dac82c226cb5f92ed6089f3618">
  <xsd:schema xmlns:xsd="http://www.w3.org/2001/XMLSchema" xmlns:xs="http://www.w3.org/2001/XMLSchema" xmlns:p="http://schemas.microsoft.com/office/2006/metadata/properties" xmlns:ns2="40a1b848-764f-45de-8d15-a8733ce57f7e" targetNamespace="http://schemas.microsoft.com/office/2006/metadata/properties" ma:root="true" ma:fieldsID="fe0dfdbc0b66c7c4c5b091ef9cc786fb" ns2:_="">
    <xsd:import namespace="40a1b848-764f-45de-8d15-a8733ce57f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1b848-764f-45de-8d15-a8733ce57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89E0-4C17-4098-B645-092C4E4D3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0BA5E-7F0C-4081-BFF6-301F3FAF9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FA0F5-90A0-45F0-ADEA-33F79B8C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1b848-764f-45de-8d15-a8733ce57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F4CBA-8619-4F42-919D-24958C0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Hernandez</dc:creator>
  <cp:keywords/>
  <dc:description/>
  <cp:lastModifiedBy>Jimenez, Leah, PED</cp:lastModifiedBy>
  <cp:revision>2</cp:revision>
  <dcterms:created xsi:type="dcterms:W3CDTF">2025-02-03T16:35:00Z</dcterms:created>
  <dcterms:modified xsi:type="dcterms:W3CDTF">2025-02-03T16:35:00Z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0x01010089140944F82C644DB2E40CA88FC1AB81</vt:lpwstr>
  </property>
</Properties>
</file>